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E6C4" w14:textId="77777777" w:rsidR="00433968" w:rsidRPr="000D756E" w:rsidRDefault="00433968">
      <w:pPr>
        <w:rPr>
          <w:rFonts w:ascii="Arial" w:hAnsi="Arial" w:cs="Arial"/>
          <w:sz w:val="24"/>
          <w:szCs w:val="24"/>
        </w:rPr>
      </w:pPr>
    </w:p>
    <w:p w14:paraId="22694073" w14:textId="77777777" w:rsidR="009D608C" w:rsidRPr="000D756E" w:rsidRDefault="009D608C"/>
    <w:p w14:paraId="232CAE4E" w14:textId="220CA233" w:rsidR="005B4214" w:rsidRPr="000D756E" w:rsidRDefault="005B4214"/>
    <w:tbl>
      <w:tblPr>
        <w:tblW w:w="9443" w:type="dxa"/>
        <w:tblLook w:val="01E0" w:firstRow="1" w:lastRow="1" w:firstColumn="1" w:lastColumn="1" w:noHBand="0" w:noVBand="0"/>
      </w:tblPr>
      <w:tblGrid>
        <w:gridCol w:w="9443"/>
      </w:tblGrid>
      <w:tr w:rsidR="000D756E" w:rsidRPr="000D756E" w14:paraId="0382F5D8" w14:textId="77777777" w:rsidTr="53DB96EC">
        <w:trPr>
          <w:trHeight w:val="2324"/>
        </w:trPr>
        <w:tc>
          <w:tcPr>
            <w:tcW w:w="9443" w:type="dxa"/>
          </w:tcPr>
          <w:p w14:paraId="0427BCCF" w14:textId="275ED083" w:rsidR="00E02DFE" w:rsidRPr="000D756E" w:rsidRDefault="007012DD" w:rsidP="002A7C01">
            <w:pPr>
              <w:ind w:left="-120"/>
            </w:pPr>
            <w:r w:rsidRPr="000D756E">
              <w:rPr>
                <w:noProof/>
              </w:rPr>
              <w:drawing>
                <wp:inline distT="0" distB="0" distL="0" distR="0" wp14:anchorId="1CDD5B3D" wp14:editId="4FD1491A">
                  <wp:extent cx="5934076" cy="1781175"/>
                  <wp:effectExtent l="0" t="0" r="0" b="0"/>
                  <wp:docPr id="1604172050" name="Picture 160417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34076" cy="1781175"/>
                          </a:xfrm>
                          <a:prstGeom prst="rect">
                            <a:avLst/>
                          </a:prstGeom>
                        </pic:spPr>
                      </pic:pic>
                    </a:graphicData>
                  </a:graphic>
                </wp:inline>
              </w:drawing>
            </w:r>
          </w:p>
        </w:tc>
      </w:tr>
      <w:tr w:rsidR="000D756E" w:rsidRPr="000D756E" w14:paraId="65C40B5A" w14:textId="77777777" w:rsidTr="53DB96EC">
        <w:trPr>
          <w:trHeight w:val="1000"/>
        </w:trPr>
        <w:tc>
          <w:tcPr>
            <w:tcW w:w="9443" w:type="dxa"/>
          </w:tcPr>
          <w:p w14:paraId="521E0C20" w14:textId="77777777" w:rsidR="00E02DFE" w:rsidRPr="000D756E" w:rsidRDefault="00E02DFE" w:rsidP="002A7C01"/>
        </w:tc>
      </w:tr>
      <w:tr w:rsidR="00E02DFE" w:rsidRPr="000D756E" w14:paraId="709495B0" w14:textId="77777777" w:rsidTr="53DB96EC">
        <w:trPr>
          <w:trHeight w:val="2868"/>
        </w:trPr>
        <w:tc>
          <w:tcPr>
            <w:tcW w:w="9443" w:type="dxa"/>
          </w:tcPr>
          <w:p w14:paraId="2CF472D5" w14:textId="77777777" w:rsidR="00E02DFE" w:rsidRPr="000D756E" w:rsidRDefault="00E02DFE" w:rsidP="002A7C01">
            <w:pPr>
              <w:ind w:left="600"/>
              <w:rPr>
                <w:rFonts w:ascii="Arial" w:hAnsi="Arial" w:cs="Arial"/>
                <w:b/>
                <w:sz w:val="48"/>
                <w:szCs w:val="48"/>
              </w:rPr>
            </w:pPr>
            <w:r w:rsidRPr="000D756E">
              <w:rPr>
                <w:rFonts w:ascii="Arial" w:hAnsi="Arial" w:cs="Arial"/>
                <w:b/>
                <w:sz w:val="48"/>
                <w:szCs w:val="48"/>
              </w:rPr>
              <w:t>Statement of Accounts</w:t>
            </w:r>
          </w:p>
          <w:p w14:paraId="38E627E0" w14:textId="7B929C32" w:rsidR="00E02DFE" w:rsidRPr="000D756E" w:rsidRDefault="007C5851" w:rsidP="00A955EC">
            <w:pPr>
              <w:spacing w:before="120"/>
              <w:ind w:left="600"/>
              <w:rPr>
                <w:rFonts w:ascii="Arial" w:hAnsi="Arial" w:cs="Arial"/>
                <w:b/>
                <w:sz w:val="36"/>
                <w:szCs w:val="36"/>
              </w:rPr>
            </w:pPr>
            <w:r w:rsidRPr="000D756E">
              <w:rPr>
                <w:rFonts w:ascii="Arial" w:hAnsi="Arial" w:cs="Arial"/>
                <w:sz w:val="36"/>
                <w:szCs w:val="36"/>
              </w:rPr>
              <w:t>20</w:t>
            </w:r>
            <w:r w:rsidR="00263044" w:rsidRPr="000D756E">
              <w:rPr>
                <w:rFonts w:ascii="Arial" w:hAnsi="Arial" w:cs="Arial"/>
                <w:sz w:val="36"/>
                <w:szCs w:val="36"/>
              </w:rPr>
              <w:t>2</w:t>
            </w:r>
            <w:r w:rsidR="00E3485C">
              <w:rPr>
                <w:rFonts w:ascii="Arial" w:hAnsi="Arial" w:cs="Arial"/>
                <w:sz w:val="36"/>
                <w:szCs w:val="36"/>
              </w:rPr>
              <w:t>4/25</w:t>
            </w:r>
          </w:p>
        </w:tc>
      </w:tr>
    </w:tbl>
    <w:p w14:paraId="0F3F6E90" w14:textId="77777777" w:rsidR="00E02DFE" w:rsidRPr="000D756E" w:rsidRDefault="00E02DFE" w:rsidP="002A7C01">
      <w:pPr>
        <w:ind w:left="600"/>
      </w:pPr>
    </w:p>
    <w:p w14:paraId="0F8133E7" w14:textId="451AB4C7" w:rsidR="005B3E60" w:rsidRPr="000D756E" w:rsidRDefault="007012DD" w:rsidP="002A7C01">
      <w:pPr>
        <w:tabs>
          <w:tab w:val="left" w:pos="360"/>
        </w:tabs>
      </w:pPr>
      <w:r w:rsidRPr="000D756E">
        <w:rPr>
          <w:noProof/>
          <w:lang w:val="en-US"/>
        </w:rPr>
        <mc:AlternateContent>
          <mc:Choice Requires="wps">
            <w:drawing>
              <wp:anchor distT="0" distB="0" distL="114300" distR="114300" simplePos="0" relativeHeight="251658240" behindDoc="0" locked="0" layoutInCell="1" allowOverlap="1" wp14:anchorId="7301FF22" wp14:editId="31FA457D">
                <wp:simplePos x="0" y="0"/>
                <wp:positionH relativeFrom="column">
                  <wp:posOffset>3613785</wp:posOffset>
                </wp:positionH>
                <wp:positionV relativeFrom="paragraph">
                  <wp:posOffset>-458470</wp:posOffset>
                </wp:positionV>
                <wp:extent cx="2528570" cy="6896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689610"/>
                        </a:xfrm>
                        <a:prstGeom prst="rect">
                          <a:avLst/>
                        </a:prstGeom>
                        <a:solidFill>
                          <a:srgbClr val="FFFFFF"/>
                        </a:solidFill>
                        <a:ln w="9525">
                          <a:solidFill>
                            <a:srgbClr val="FFFFFF"/>
                          </a:solidFill>
                          <a:miter lim="800000"/>
                          <a:headEnd/>
                          <a:tailEnd/>
                        </a:ln>
                      </wps:spPr>
                      <wps:txbx>
                        <w:txbxContent>
                          <w:p w14:paraId="21CCA69E" w14:textId="77777777" w:rsidR="00BD4E44" w:rsidRPr="00BC04CE" w:rsidRDefault="00BD4E44" w:rsidP="00BC0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1FF22" id="_x0000_t202" coordsize="21600,21600" o:spt="202" path="m,l,21600r21600,l21600,xe">
                <v:stroke joinstyle="miter"/>
                <v:path gradientshapeok="t" o:connecttype="rect"/>
              </v:shapetype>
              <v:shape id="Text Box 7" o:spid="_x0000_s1026" type="#_x0000_t202" style="position:absolute;margin-left:284.55pt;margin-top:-36.1pt;width:199.1pt;height:5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" strokecolor="white">
                <v:textbox>
                  <w:txbxContent>
                    <w:p w14:paraId="21CCA69E" w14:textId="77777777" w:rsidR="00BD4E44" w:rsidRPr="00BC04CE" w:rsidRDefault="00BD4E44" w:rsidP="00BC04CE"/>
                  </w:txbxContent>
                </v:textbox>
              </v:shape>
            </w:pict>
          </mc:Fallback>
        </mc:AlternateContent>
      </w:r>
    </w:p>
    <w:p w14:paraId="6AB0D120" w14:textId="77777777" w:rsidR="005B3E60" w:rsidRPr="000D756E" w:rsidRDefault="005B3E60" w:rsidP="002A7C01">
      <w:pPr>
        <w:rPr>
          <w:rFonts w:ascii="Arial" w:hAnsi="Arial" w:cs="Arial"/>
        </w:rPr>
      </w:pPr>
    </w:p>
    <w:p w14:paraId="1C5398E9" w14:textId="77777777" w:rsidR="005B3E60" w:rsidRPr="000D756E" w:rsidRDefault="005B3E60" w:rsidP="002A7C01">
      <w:pPr>
        <w:rPr>
          <w:rFonts w:ascii="Arial" w:hAnsi="Arial" w:cs="Arial"/>
        </w:rPr>
      </w:pPr>
    </w:p>
    <w:p w14:paraId="4E1DE5C8" w14:textId="77777777" w:rsidR="005B3E60" w:rsidRPr="000D756E" w:rsidRDefault="005B3E60" w:rsidP="002A7C01">
      <w:pPr>
        <w:rPr>
          <w:rFonts w:ascii="Arial" w:hAnsi="Arial" w:cs="Arial"/>
        </w:rPr>
      </w:pPr>
    </w:p>
    <w:p w14:paraId="6C04F9E7" w14:textId="77777777" w:rsidR="005B3E60" w:rsidRPr="000D756E" w:rsidRDefault="005B3E60" w:rsidP="002A7C01">
      <w:pPr>
        <w:rPr>
          <w:rFonts w:ascii="Arial" w:hAnsi="Arial" w:cs="Arial"/>
        </w:rPr>
      </w:pPr>
    </w:p>
    <w:p w14:paraId="15F4015D" w14:textId="77777777" w:rsidR="005B3E60" w:rsidRPr="000D756E" w:rsidRDefault="005B3E60" w:rsidP="002A7C01">
      <w:pPr>
        <w:rPr>
          <w:rFonts w:ascii="Arial" w:hAnsi="Arial" w:cs="Arial"/>
        </w:rPr>
      </w:pPr>
    </w:p>
    <w:p w14:paraId="4CE51CBC" w14:textId="77777777" w:rsidR="005B3E60" w:rsidRPr="000D756E" w:rsidRDefault="005B3E60" w:rsidP="002A7C01">
      <w:pPr>
        <w:rPr>
          <w:rFonts w:ascii="Arial" w:hAnsi="Arial" w:cs="Arial"/>
        </w:rPr>
      </w:pPr>
    </w:p>
    <w:p w14:paraId="0C8C2ADF" w14:textId="77777777" w:rsidR="005B3E60" w:rsidRPr="000D756E" w:rsidRDefault="005B3E60" w:rsidP="002A7C01">
      <w:pPr>
        <w:rPr>
          <w:rFonts w:ascii="Arial" w:hAnsi="Arial" w:cs="Arial"/>
        </w:rPr>
      </w:pPr>
    </w:p>
    <w:p w14:paraId="785566EE" w14:textId="77777777" w:rsidR="005B3E60" w:rsidRPr="000D756E" w:rsidRDefault="005B3E60" w:rsidP="002A7C01">
      <w:pPr>
        <w:pStyle w:val="Header"/>
        <w:tabs>
          <w:tab w:val="clear" w:pos="4153"/>
          <w:tab w:val="clear" w:pos="8306"/>
        </w:tabs>
        <w:rPr>
          <w:rFonts w:ascii="Arial" w:hAnsi="Arial" w:cs="Arial"/>
        </w:rPr>
      </w:pPr>
    </w:p>
    <w:p w14:paraId="7F5AA1F5" w14:textId="77777777" w:rsidR="009D2B26" w:rsidRPr="000D756E" w:rsidRDefault="009D2B26" w:rsidP="002A7C01">
      <w:pPr>
        <w:pStyle w:val="Header"/>
        <w:tabs>
          <w:tab w:val="clear" w:pos="4153"/>
          <w:tab w:val="clear" w:pos="8306"/>
        </w:tabs>
        <w:rPr>
          <w:rFonts w:ascii="Arial" w:hAnsi="Arial" w:cs="Arial"/>
        </w:rPr>
      </w:pPr>
    </w:p>
    <w:p w14:paraId="53042A9D" w14:textId="77777777" w:rsidR="009D2B26" w:rsidRPr="000D756E" w:rsidRDefault="009D2B26" w:rsidP="002A7C01">
      <w:pPr>
        <w:pStyle w:val="Header"/>
        <w:tabs>
          <w:tab w:val="clear" w:pos="4153"/>
          <w:tab w:val="clear" w:pos="8306"/>
        </w:tabs>
        <w:rPr>
          <w:rFonts w:ascii="Arial" w:hAnsi="Arial" w:cs="Arial"/>
        </w:rPr>
      </w:pPr>
    </w:p>
    <w:p w14:paraId="61E3B78D" w14:textId="77777777" w:rsidR="007C5DDF" w:rsidRPr="000D756E" w:rsidRDefault="007C5DDF" w:rsidP="002A7C01">
      <w:pPr>
        <w:rPr>
          <w:rFonts w:ascii="Arial" w:hAnsi="Arial" w:cs="Arial"/>
          <w:sz w:val="24"/>
        </w:rPr>
        <w:sectPr w:rsidR="007C5DDF" w:rsidRPr="000D756E" w:rsidSect="00540FFA">
          <w:headerReference w:type="default" r:id="rId13"/>
          <w:footerReference w:type="default" r:id="rId14"/>
          <w:headerReference w:type="first" r:id="rId15"/>
          <w:footerReference w:type="first" r:id="rId16"/>
          <w:pgSz w:w="11909" w:h="16834" w:code="9"/>
          <w:pgMar w:top="1440" w:right="1440" w:bottom="1440" w:left="1440" w:header="706" w:footer="432" w:gutter="0"/>
          <w:cols w:space="720"/>
        </w:sectPr>
      </w:pPr>
    </w:p>
    <w:tbl>
      <w:tblPr>
        <w:tblW w:w="9648" w:type="dxa"/>
        <w:tblLayout w:type="fixed"/>
        <w:tblLook w:val="0000" w:firstRow="0" w:lastRow="0" w:firstColumn="0" w:lastColumn="0" w:noHBand="0" w:noVBand="0"/>
      </w:tblPr>
      <w:tblGrid>
        <w:gridCol w:w="7938"/>
        <w:gridCol w:w="1710"/>
      </w:tblGrid>
      <w:tr w:rsidR="006329E6" w:rsidRPr="000D756E" w14:paraId="131F794A" w14:textId="77777777" w:rsidTr="00AD3E6D">
        <w:trPr>
          <w:trHeight w:val="792"/>
        </w:trPr>
        <w:tc>
          <w:tcPr>
            <w:tcW w:w="7938" w:type="dxa"/>
            <w:tcBorders>
              <w:bottom w:val="single" w:sz="4" w:space="0" w:color="auto"/>
              <w:right w:val="single" w:sz="4" w:space="0" w:color="auto"/>
            </w:tcBorders>
          </w:tcPr>
          <w:p w14:paraId="7805995A" w14:textId="77777777" w:rsidR="005F4DF8" w:rsidRPr="000D756E" w:rsidRDefault="005F4DF8" w:rsidP="002A7C01">
            <w:pPr>
              <w:pStyle w:val="Heading1"/>
              <w:spacing w:after="120"/>
              <w:rPr>
                <w:rFonts w:ascii="Arial" w:hAnsi="Arial" w:cs="Arial"/>
                <w:b/>
              </w:rPr>
            </w:pPr>
          </w:p>
        </w:tc>
        <w:tc>
          <w:tcPr>
            <w:tcW w:w="1710" w:type="dxa"/>
            <w:tcBorders>
              <w:top w:val="single" w:sz="4" w:space="0" w:color="auto"/>
              <w:left w:val="single" w:sz="4" w:space="0" w:color="auto"/>
              <w:bottom w:val="single" w:sz="4" w:space="0" w:color="auto"/>
              <w:right w:val="single" w:sz="4" w:space="0" w:color="auto"/>
            </w:tcBorders>
            <w:vAlign w:val="center"/>
          </w:tcPr>
          <w:p w14:paraId="09D8F893" w14:textId="77777777" w:rsidR="00623DE2" w:rsidRPr="000D756E" w:rsidRDefault="00623DE2" w:rsidP="002A7C01">
            <w:pPr>
              <w:spacing w:after="120"/>
              <w:rPr>
                <w:rFonts w:ascii="Arial" w:hAnsi="Arial" w:cs="Arial"/>
                <w:b/>
                <w:sz w:val="24"/>
                <w:szCs w:val="24"/>
              </w:rPr>
            </w:pPr>
          </w:p>
          <w:p w14:paraId="63C4E203" w14:textId="77777777" w:rsidR="005F4DF8" w:rsidRPr="000D756E" w:rsidRDefault="002D72CE" w:rsidP="004C5C2D">
            <w:pPr>
              <w:spacing w:after="120"/>
              <w:jc w:val="center"/>
              <w:rPr>
                <w:rFonts w:ascii="Arial" w:hAnsi="Arial" w:cs="Arial"/>
                <w:b/>
                <w:sz w:val="24"/>
                <w:szCs w:val="24"/>
              </w:rPr>
            </w:pPr>
            <w:r w:rsidRPr="000D756E">
              <w:rPr>
                <w:rFonts w:ascii="Arial" w:hAnsi="Arial" w:cs="Arial"/>
                <w:b/>
                <w:sz w:val="24"/>
                <w:szCs w:val="24"/>
              </w:rPr>
              <w:t>Page</w:t>
            </w:r>
          </w:p>
        </w:tc>
      </w:tr>
      <w:tr w:rsidR="006329E6" w:rsidRPr="000D756E" w14:paraId="6466EFED"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397CCA73" w14:textId="77777777" w:rsidR="005F4DF8" w:rsidRPr="000D756E" w:rsidRDefault="00EB5E69" w:rsidP="002A7C01">
            <w:pPr>
              <w:pStyle w:val="Heading1"/>
              <w:spacing w:after="120"/>
              <w:rPr>
                <w:rFonts w:ascii="Arial" w:hAnsi="Arial" w:cs="Arial"/>
              </w:rPr>
            </w:pPr>
            <w:r w:rsidRPr="000D756E">
              <w:rPr>
                <w:rFonts w:ascii="Arial" w:hAnsi="Arial" w:cs="Arial"/>
              </w:rPr>
              <w:t>Narrative Report</w:t>
            </w:r>
          </w:p>
        </w:tc>
        <w:tc>
          <w:tcPr>
            <w:tcW w:w="1710" w:type="dxa"/>
            <w:tcBorders>
              <w:top w:val="single" w:sz="4" w:space="0" w:color="auto"/>
              <w:left w:val="single" w:sz="4" w:space="0" w:color="auto"/>
              <w:bottom w:val="single" w:sz="4" w:space="0" w:color="auto"/>
              <w:right w:val="single" w:sz="4" w:space="0" w:color="auto"/>
            </w:tcBorders>
            <w:vAlign w:val="center"/>
          </w:tcPr>
          <w:p w14:paraId="036F6AF5" w14:textId="4CE97DD8" w:rsidR="000748DC" w:rsidRPr="000D756E" w:rsidRDefault="00D67575" w:rsidP="000748DC">
            <w:pPr>
              <w:spacing w:after="120"/>
              <w:jc w:val="center"/>
              <w:rPr>
                <w:rFonts w:ascii="Arial" w:hAnsi="Arial" w:cs="Arial"/>
                <w:sz w:val="24"/>
                <w:szCs w:val="24"/>
              </w:rPr>
            </w:pPr>
            <w:r>
              <w:rPr>
                <w:rFonts w:ascii="Arial" w:hAnsi="Arial" w:cs="Arial"/>
                <w:sz w:val="24"/>
                <w:szCs w:val="24"/>
              </w:rPr>
              <w:t>3</w:t>
            </w:r>
          </w:p>
        </w:tc>
      </w:tr>
      <w:tr w:rsidR="006329E6" w:rsidRPr="000D756E" w14:paraId="7A075B54"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5C0F3668" w14:textId="77777777" w:rsidR="005F4DF8" w:rsidRPr="000D756E" w:rsidRDefault="005F4DF8" w:rsidP="002A7C01">
            <w:pPr>
              <w:spacing w:after="120"/>
              <w:rPr>
                <w:rFonts w:ascii="Arial" w:hAnsi="Arial" w:cs="Arial"/>
                <w:sz w:val="24"/>
              </w:rPr>
            </w:pPr>
            <w:r w:rsidRPr="000D756E">
              <w:rPr>
                <w:rFonts w:ascii="Arial" w:hAnsi="Arial" w:cs="Arial"/>
                <w:sz w:val="24"/>
              </w:rPr>
              <w:t>Annual Governance Statement</w:t>
            </w:r>
          </w:p>
        </w:tc>
        <w:tc>
          <w:tcPr>
            <w:tcW w:w="1710" w:type="dxa"/>
            <w:tcBorders>
              <w:top w:val="single" w:sz="4" w:space="0" w:color="auto"/>
              <w:left w:val="single" w:sz="4" w:space="0" w:color="auto"/>
              <w:bottom w:val="single" w:sz="4" w:space="0" w:color="auto"/>
              <w:right w:val="single" w:sz="4" w:space="0" w:color="auto"/>
            </w:tcBorders>
            <w:vAlign w:val="center"/>
          </w:tcPr>
          <w:p w14:paraId="4EA70F6B" w14:textId="38892456" w:rsidR="005F4DF8" w:rsidRPr="000D756E" w:rsidRDefault="00D67575" w:rsidP="002D72CE">
            <w:pPr>
              <w:spacing w:after="120"/>
              <w:jc w:val="center"/>
              <w:rPr>
                <w:rFonts w:ascii="Arial" w:hAnsi="Arial" w:cs="Arial"/>
                <w:sz w:val="24"/>
                <w:szCs w:val="24"/>
              </w:rPr>
            </w:pPr>
            <w:r>
              <w:rPr>
                <w:rFonts w:ascii="Arial" w:hAnsi="Arial" w:cs="Arial"/>
                <w:sz w:val="24"/>
                <w:szCs w:val="24"/>
              </w:rPr>
              <w:t>18</w:t>
            </w:r>
          </w:p>
        </w:tc>
      </w:tr>
      <w:tr w:rsidR="006329E6" w:rsidRPr="000D756E" w14:paraId="17A8773C"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07478F18" w14:textId="77777777" w:rsidR="005F4DF8" w:rsidRPr="000D756E" w:rsidRDefault="005F4DF8" w:rsidP="002A7C01">
            <w:pPr>
              <w:spacing w:after="120"/>
              <w:rPr>
                <w:rFonts w:ascii="Arial" w:hAnsi="Arial" w:cs="Arial"/>
              </w:rPr>
            </w:pPr>
            <w:r w:rsidRPr="000D756E">
              <w:rPr>
                <w:rFonts w:ascii="Arial" w:hAnsi="Arial" w:cs="Arial"/>
                <w:sz w:val="24"/>
              </w:rPr>
              <w:t>Statement of Responsibilities</w:t>
            </w:r>
          </w:p>
        </w:tc>
        <w:tc>
          <w:tcPr>
            <w:tcW w:w="1710" w:type="dxa"/>
            <w:tcBorders>
              <w:top w:val="single" w:sz="4" w:space="0" w:color="auto"/>
              <w:left w:val="single" w:sz="4" w:space="0" w:color="auto"/>
              <w:bottom w:val="single" w:sz="4" w:space="0" w:color="auto"/>
              <w:right w:val="single" w:sz="4" w:space="0" w:color="auto"/>
            </w:tcBorders>
            <w:vAlign w:val="center"/>
          </w:tcPr>
          <w:p w14:paraId="5F493CA5" w14:textId="45769BC4" w:rsidR="005F4DF8" w:rsidRPr="000D756E" w:rsidRDefault="00D67575" w:rsidP="002D72CE">
            <w:pPr>
              <w:spacing w:after="120"/>
              <w:jc w:val="center"/>
              <w:rPr>
                <w:rFonts w:ascii="Arial" w:hAnsi="Arial" w:cs="Arial"/>
                <w:sz w:val="24"/>
                <w:szCs w:val="24"/>
              </w:rPr>
            </w:pPr>
            <w:r>
              <w:rPr>
                <w:rFonts w:ascii="Arial" w:hAnsi="Arial" w:cs="Arial"/>
                <w:sz w:val="24"/>
                <w:szCs w:val="24"/>
              </w:rPr>
              <w:t>27</w:t>
            </w:r>
          </w:p>
        </w:tc>
      </w:tr>
      <w:tr w:rsidR="006329E6" w:rsidRPr="000D756E" w14:paraId="317169F9"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34F304DA" w14:textId="77777777" w:rsidR="005F4DF8" w:rsidRPr="000D756E" w:rsidRDefault="005F4DF8" w:rsidP="002A7C01">
            <w:pPr>
              <w:spacing w:after="120"/>
              <w:rPr>
                <w:rFonts w:ascii="Arial" w:hAnsi="Arial" w:cs="Arial"/>
              </w:rPr>
            </w:pPr>
            <w:r w:rsidRPr="000D756E">
              <w:rPr>
                <w:rFonts w:ascii="Arial" w:hAnsi="Arial" w:cs="Arial"/>
                <w:sz w:val="24"/>
              </w:rPr>
              <w:t>Audit Certificate</w:t>
            </w:r>
          </w:p>
        </w:tc>
        <w:tc>
          <w:tcPr>
            <w:tcW w:w="1710" w:type="dxa"/>
            <w:tcBorders>
              <w:top w:val="single" w:sz="4" w:space="0" w:color="auto"/>
              <w:left w:val="single" w:sz="4" w:space="0" w:color="auto"/>
              <w:bottom w:val="single" w:sz="4" w:space="0" w:color="auto"/>
              <w:right w:val="single" w:sz="4" w:space="0" w:color="auto"/>
            </w:tcBorders>
            <w:vAlign w:val="center"/>
          </w:tcPr>
          <w:p w14:paraId="6A0DE0AE" w14:textId="7CD474C7" w:rsidR="005F4DF8" w:rsidRPr="000D756E" w:rsidRDefault="00D67575" w:rsidP="002D72CE">
            <w:pPr>
              <w:spacing w:after="120"/>
              <w:jc w:val="center"/>
              <w:rPr>
                <w:rFonts w:ascii="Arial" w:hAnsi="Arial" w:cs="Arial"/>
                <w:sz w:val="24"/>
                <w:szCs w:val="24"/>
              </w:rPr>
            </w:pPr>
            <w:r>
              <w:rPr>
                <w:rFonts w:ascii="Arial" w:hAnsi="Arial" w:cs="Arial"/>
                <w:sz w:val="24"/>
                <w:szCs w:val="24"/>
              </w:rPr>
              <w:t>28</w:t>
            </w:r>
          </w:p>
        </w:tc>
      </w:tr>
      <w:tr w:rsidR="006329E6" w:rsidRPr="000D756E" w14:paraId="685DD31F"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66FB4B79" w14:textId="77777777" w:rsidR="005F4DF8" w:rsidRPr="000D756E" w:rsidRDefault="005F4DF8" w:rsidP="002A7C01">
            <w:pPr>
              <w:spacing w:after="120"/>
              <w:rPr>
                <w:rFonts w:ascii="Arial" w:hAnsi="Arial" w:cs="Arial"/>
                <w:sz w:val="24"/>
              </w:rPr>
            </w:pPr>
            <w:r w:rsidRPr="000D756E">
              <w:rPr>
                <w:rFonts w:ascii="Arial" w:hAnsi="Arial" w:cs="Arial"/>
                <w:sz w:val="24"/>
              </w:rPr>
              <w:t>Statement of Accounting Policies</w:t>
            </w:r>
          </w:p>
        </w:tc>
        <w:tc>
          <w:tcPr>
            <w:tcW w:w="1710" w:type="dxa"/>
            <w:tcBorders>
              <w:top w:val="single" w:sz="4" w:space="0" w:color="auto"/>
              <w:left w:val="single" w:sz="4" w:space="0" w:color="auto"/>
              <w:bottom w:val="single" w:sz="4" w:space="0" w:color="auto"/>
              <w:right w:val="single" w:sz="4" w:space="0" w:color="auto"/>
            </w:tcBorders>
            <w:vAlign w:val="center"/>
          </w:tcPr>
          <w:p w14:paraId="518B4EE0" w14:textId="3A285C18" w:rsidR="005F4DF8" w:rsidRPr="000D756E" w:rsidRDefault="00D67575" w:rsidP="0042656D">
            <w:pPr>
              <w:spacing w:after="120"/>
              <w:jc w:val="center"/>
              <w:rPr>
                <w:rFonts w:ascii="Arial" w:hAnsi="Arial" w:cs="Arial"/>
                <w:sz w:val="24"/>
                <w:szCs w:val="24"/>
              </w:rPr>
            </w:pPr>
            <w:r>
              <w:rPr>
                <w:rFonts w:ascii="Arial" w:hAnsi="Arial" w:cs="Arial"/>
                <w:sz w:val="24"/>
                <w:szCs w:val="24"/>
              </w:rPr>
              <w:t>29</w:t>
            </w:r>
          </w:p>
        </w:tc>
      </w:tr>
      <w:tr w:rsidR="006329E6" w:rsidRPr="000D756E" w14:paraId="33982510" w14:textId="77777777" w:rsidTr="00E26705">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72792DBE" w14:textId="77777777" w:rsidR="009E18F5" w:rsidRPr="000D756E" w:rsidRDefault="009E18F5" w:rsidP="002A7C01">
            <w:pPr>
              <w:spacing w:after="120"/>
              <w:rPr>
                <w:rFonts w:ascii="Arial" w:hAnsi="Arial" w:cs="Arial"/>
                <w:sz w:val="24"/>
              </w:rPr>
            </w:pPr>
          </w:p>
          <w:p w14:paraId="2DDCB7ED" w14:textId="77777777" w:rsidR="005F4DF8" w:rsidRPr="000D756E" w:rsidRDefault="009E18F5" w:rsidP="002A7C01">
            <w:pPr>
              <w:spacing w:after="120"/>
              <w:rPr>
                <w:rFonts w:ascii="Arial" w:hAnsi="Arial" w:cs="Arial"/>
                <w:sz w:val="24"/>
              </w:rPr>
            </w:pPr>
            <w:r w:rsidRPr="000D756E">
              <w:rPr>
                <w:rFonts w:ascii="Arial" w:hAnsi="Arial" w:cs="Arial"/>
                <w:sz w:val="24"/>
              </w:rPr>
              <w:t>Core Financial Statements:</w:t>
            </w:r>
          </w:p>
          <w:p w14:paraId="0788DA24" w14:textId="77777777" w:rsidR="00166722" w:rsidRPr="000D756E" w:rsidRDefault="00166722" w:rsidP="002A7C01">
            <w:pPr>
              <w:spacing w:after="120"/>
              <w:rPr>
                <w:rFonts w:ascii="Arial" w:hAnsi="Arial" w:cs="Arial"/>
                <w:sz w:val="24"/>
              </w:rPr>
            </w:pPr>
          </w:p>
          <w:p w14:paraId="28253ECB" w14:textId="77777777" w:rsidR="00166722" w:rsidRPr="000D756E" w:rsidRDefault="00166722" w:rsidP="00166722">
            <w:pPr>
              <w:spacing w:after="120"/>
              <w:rPr>
                <w:rFonts w:ascii="Arial" w:hAnsi="Arial" w:cs="Arial"/>
                <w:sz w:val="24"/>
              </w:rPr>
            </w:pPr>
            <w:r w:rsidRPr="000D756E">
              <w:rPr>
                <w:rFonts w:ascii="Arial" w:hAnsi="Arial" w:cs="Arial"/>
                <w:sz w:val="24"/>
              </w:rPr>
              <w:t>Comprehensive Income and Expenditure Statement</w:t>
            </w:r>
          </w:p>
          <w:p w14:paraId="37E6AF90" w14:textId="77777777" w:rsidR="009E18F5" w:rsidRPr="000D756E" w:rsidRDefault="009E18F5" w:rsidP="002A7C01">
            <w:pPr>
              <w:spacing w:after="120"/>
              <w:rPr>
                <w:rFonts w:ascii="Arial" w:hAnsi="Arial" w:cs="Arial"/>
                <w:sz w:val="24"/>
              </w:rPr>
            </w:pPr>
            <w:r w:rsidRPr="000D756E">
              <w:rPr>
                <w:rFonts w:ascii="Arial" w:hAnsi="Arial" w:cs="Arial"/>
                <w:sz w:val="24"/>
              </w:rPr>
              <w:t xml:space="preserve">Movement in </w:t>
            </w:r>
            <w:r w:rsidR="0005012C" w:rsidRPr="000D756E">
              <w:rPr>
                <w:rFonts w:ascii="Arial" w:hAnsi="Arial" w:cs="Arial"/>
                <w:sz w:val="24"/>
              </w:rPr>
              <w:t>Reserves Statement</w:t>
            </w:r>
          </w:p>
          <w:p w14:paraId="27E9FB89" w14:textId="77777777" w:rsidR="009E18F5" w:rsidRPr="000D756E" w:rsidRDefault="009E18F5" w:rsidP="002A7C01">
            <w:pPr>
              <w:spacing w:after="120"/>
              <w:rPr>
                <w:rFonts w:ascii="Arial" w:hAnsi="Arial" w:cs="Arial"/>
                <w:sz w:val="24"/>
              </w:rPr>
            </w:pPr>
            <w:r w:rsidRPr="000D756E">
              <w:rPr>
                <w:rFonts w:ascii="Arial" w:hAnsi="Arial" w:cs="Arial"/>
                <w:sz w:val="24"/>
              </w:rPr>
              <w:t>Balance Sheet</w:t>
            </w:r>
          </w:p>
          <w:p w14:paraId="5663708A" w14:textId="77777777" w:rsidR="009E18F5" w:rsidRPr="000D756E" w:rsidRDefault="009E18F5" w:rsidP="002A7C01">
            <w:pPr>
              <w:spacing w:after="120"/>
              <w:rPr>
                <w:rFonts w:ascii="Arial" w:hAnsi="Arial" w:cs="Arial"/>
                <w:sz w:val="24"/>
              </w:rPr>
            </w:pPr>
            <w:r w:rsidRPr="000D756E">
              <w:rPr>
                <w:rFonts w:ascii="Arial" w:hAnsi="Arial" w:cs="Arial"/>
                <w:sz w:val="24"/>
              </w:rPr>
              <w:t>Cash Flow Statement</w:t>
            </w:r>
          </w:p>
          <w:p w14:paraId="3FE139B2" w14:textId="77777777" w:rsidR="009E18F5" w:rsidRPr="000D756E" w:rsidRDefault="009E18F5" w:rsidP="002A7C01">
            <w:pPr>
              <w:spacing w:after="120"/>
              <w:rPr>
                <w:rFonts w:ascii="Arial" w:hAnsi="Arial" w:cs="Arial"/>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26313A90" w14:textId="77777777" w:rsidR="009D1A82" w:rsidRDefault="009D1A82" w:rsidP="00E26705">
            <w:pPr>
              <w:spacing w:after="120"/>
              <w:jc w:val="center"/>
              <w:rPr>
                <w:rFonts w:ascii="Arial" w:hAnsi="Arial" w:cs="Arial"/>
                <w:sz w:val="24"/>
                <w:szCs w:val="24"/>
              </w:rPr>
            </w:pPr>
          </w:p>
          <w:p w14:paraId="27D80999" w14:textId="77777777" w:rsidR="009D1A82" w:rsidRDefault="009D1A82" w:rsidP="00E26705">
            <w:pPr>
              <w:spacing w:after="120"/>
              <w:jc w:val="center"/>
              <w:rPr>
                <w:rFonts w:ascii="Arial" w:hAnsi="Arial" w:cs="Arial"/>
                <w:sz w:val="24"/>
                <w:szCs w:val="24"/>
              </w:rPr>
            </w:pPr>
          </w:p>
          <w:p w14:paraId="1908C706" w14:textId="49A05B36" w:rsidR="00182195" w:rsidRDefault="009D1A82" w:rsidP="00E26705">
            <w:pPr>
              <w:spacing w:after="120"/>
              <w:jc w:val="center"/>
              <w:rPr>
                <w:rFonts w:ascii="Arial" w:hAnsi="Arial" w:cs="Arial"/>
                <w:sz w:val="24"/>
                <w:szCs w:val="24"/>
              </w:rPr>
            </w:pPr>
            <w:r>
              <w:rPr>
                <w:rFonts w:ascii="Arial" w:hAnsi="Arial" w:cs="Arial"/>
                <w:sz w:val="24"/>
                <w:szCs w:val="24"/>
              </w:rPr>
              <w:t>43</w:t>
            </w:r>
          </w:p>
          <w:p w14:paraId="51EB45AF" w14:textId="77777777" w:rsidR="009D1A82" w:rsidRDefault="009D1A82" w:rsidP="00E26705">
            <w:pPr>
              <w:spacing w:after="120"/>
              <w:jc w:val="center"/>
              <w:rPr>
                <w:rFonts w:ascii="Arial" w:hAnsi="Arial" w:cs="Arial"/>
                <w:sz w:val="24"/>
                <w:szCs w:val="24"/>
              </w:rPr>
            </w:pPr>
            <w:r>
              <w:rPr>
                <w:rFonts w:ascii="Arial" w:hAnsi="Arial" w:cs="Arial"/>
                <w:sz w:val="24"/>
                <w:szCs w:val="24"/>
              </w:rPr>
              <w:t>44</w:t>
            </w:r>
          </w:p>
          <w:p w14:paraId="1BE51376" w14:textId="77777777" w:rsidR="009D1A82" w:rsidRDefault="009D1A82" w:rsidP="00E26705">
            <w:pPr>
              <w:spacing w:after="120"/>
              <w:jc w:val="center"/>
              <w:rPr>
                <w:rFonts w:ascii="Arial" w:hAnsi="Arial" w:cs="Arial"/>
                <w:sz w:val="24"/>
                <w:szCs w:val="24"/>
              </w:rPr>
            </w:pPr>
            <w:r>
              <w:rPr>
                <w:rFonts w:ascii="Arial" w:hAnsi="Arial" w:cs="Arial"/>
                <w:sz w:val="24"/>
                <w:szCs w:val="24"/>
              </w:rPr>
              <w:t>46</w:t>
            </w:r>
          </w:p>
          <w:p w14:paraId="7586131D" w14:textId="2C5B9214" w:rsidR="009D1A82" w:rsidRPr="000D756E" w:rsidRDefault="009D1A82" w:rsidP="00E26705">
            <w:pPr>
              <w:spacing w:after="120"/>
              <w:jc w:val="center"/>
              <w:rPr>
                <w:rFonts w:ascii="Arial" w:hAnsi="Arial" w:cs="Arial"/>
                <w:sz w:val="24"/>
                <w:szCs w:val="24"/>
              </w:rPr>
            </w:pPr>
            <w:r>
              <w:rPr>
                <w:rFonts w:ascii="Arial" w:hAnsi="Arial" w:cs="Arial"/>
                <w:sz w:val="24"/>
                <w:szCs w:val="24"/>
              </w:rPr>
              <w:t>47</w:t>
            </w:r>
          </w:p>
        </w:tc>
      </w:tr>
      <w:tr w:rsidR="006329E6" w:rsidRPr="000D756E" w14:paraId="06E00427"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6ED2B572" w14:textId="77777777" w:rsidR="005F4DF8" w:rsidRPr="000D756E" w:rsidRDefault="009E18F5" w:rsidP="002A7C01">
            <w:pPr>
              <w:spacing w:after="120"/>
              <w:rPr>
                <w:rFonts w:ascii="Arial" w:hAnsi="Arial" w:cs="Arial"/>
                <w:sz w:val="24"/>
              </w:rPr>
            </w:pPr>
            <w:r w:rsidRPr="000D756E">
              <w:rPr>
                <w:rFonts w:ascii="Arial" w:hAnsi="Arial" w:cs="Arial"/>
                <w:sz w:val="24"/>
              </w:rPr>
              <w:t>Note</w:t>
            </w:r>
            <w:r w:rsidR="0005012C" w:rsidRPr="000D756E">
              <w:rPr>
                <w:rFonts w:ascii="Arial" w:hAnsi="Arial" w:cs="Arial"/>
                <w:sz w:val="24"/>
              </w:rPr>
              <w:t>s</w:t>
            </w:r>
            <w:r w:rsidRPr="000D756E">
              <w:rPr>
                <w:rFonts w:ascii="Arial" w:hAnsi="Arial" w:cs="Arial"/>
                <w:sz w:val="24"/>
              </w:rPr>
              <w:t xml:space="preserve"> to the Core Financial Statements</w:t>
            </w:r>
          </w:p>
        </w:tc>
        <w:tc>
          <w:tcPr>
            <w:tcW w:w="1710" w:type="dxa"/>
            <w:tcBorders>
              <w:top w:val="single" w:sz="4" w:space="0" w:color="auto"/>
              <w:left w:val="single" w:sz="4" w:space="0" w:color="auto"/>
              <w:bottom w:val="single" w:sz="4" w:space="0" w:color="auto"/>
              <w:right w:val="single" w:sz="4" w:space="0" w:color="auto"/>
            </w:tcBorders>
            <w:vAlign w:val="center"/>
          </w:tcPr>
          <w:p w14:paraId="2487C011" w14:textId="449CC066" w:rsidR="005F4DF8" w:rsidRPr="000D756E" w:rsidRDefault="009D1A82" w:rsidP="00620097">
            <w:pPr>
              <w:spacing w:after="120"/>
              <w:jc w:val="center"/>
              <w:rPr>
                <w:rFonts w:ascii="Arial" w:hAnsi="Arial" w:cs="Arial"/>
                <w:sz w:val="24"/>
                <w:szCs w:val="24"/>
              </w:rPr>
            </w:pPr>
            <w:r>
              <w:rPr>
                <w:rFonts w:ascii="Arial" w:hAnsi="Arial" w:cs="Arial"/>
                <w:sz w:val="24"/>
                <w:szCs w:val="24"/>
              </w:rPr>
              <w:t>48</w:t>
            </w:r>
          </w:p>
        </w:tc>
      </w:tr>
      <w:tr w:rsidR="006329E6" w:rsidRPr="000D756E" w14:paraId="48CF7E07"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5B0BF394" w14:textId="77777777" w:rsidR="005F4DF8" w:rsidRPr="000D756E" w:rsidRDefault="009E18F5" w:rsidP="002A7C01">
            <w:pPr>
              <w:spacing w:after="120"/>
              <w:rPr>
                <w:rFonts w:ascii="Arial" w:hAnsi="Arial" w:cs="Arial"/>
                <w:sz w:val="24"/>
              </w:rPr>
            </w:pPr>
            <w:r w:rsidRPr="000D756E">
              <w:rPr>
                <w:rFonts w:ascii="Arial" w:hAnsi="Arial" w:cs="Arial"/>
                <w:sz w:val="24"/>
              </w:rPr>
              <w:t>Pension Fund Accounts</w:t>
            </w:r>
          </w:p>
        </w:tc>
        <w:tc>
          <w:tcPr>
            <w:tcW w:w="1710" w:type="dxa"/>
            <w:tcBorders>
              <w:top w:val="single" w:sz="4" w:space="0" w:color="auto"/>
              <w:left w:val="single" w:sz="4" w:space="0" w:color="auto"/>
              <w:bottom w:val="single" w:sz="4" w:space="0" w:color="auto"/>
              <w:right w:val="single" w:sz="4" w:space="0" w:color="auto"/>
            </w:tcBorders>
            <w:vAlign w:val="center"/>
          </w:tcPr>
          <w:p w14:paraId="748C636F" w14:textId="79A2643B" w:rsidR="005F4DF8" w:rsidRPr="000D756E" w:rsidRDefault="009D1A82" w:rsidP="006C4153">
            <w:pPr>
              <w:spacing w:after="120"/>
              <w:jc w:val="center"/>
              <w:rPr>
                <w:rFonts w:ascii="Arial" w:hAnsi="Arial" w:cs="Arial"/>
                <w:sz w:val="24"/>
                <w:szCs w:val="24"/>
              </w:rPr>
            </w:pPr>
            <w:r>
              <w:rPr>
                <w:rFonts w:ascii="Arial" w:hAnsi="Arial" w:cs="Arial"/>
                <w:sz w:val="24"/>
                <w:szCs w:val="24"/>
              </w:rPr>
              <w:t>91</w:t>
            </w:r>
          </w:p>
        </w:tc>
      </w:tr>
      <w:tr w:rsidR="00216142" w:rsidRPr="000D756E" w14:paraId="160AB8D3"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5B22B12D" w14:textId="77777777" w:rsidR="005F4DF8" w:rsidRPr="000D756E" w:rsidRDefault="009E18F5" w:rsidP="002A7C01">
            <w:pPr>
              <w:spacing w:after="120"/>
              <w:rPr>
                <w:rFonts w:ascii="Arial" w:hAnsi="Arial" w:cs="Arial"/>
                <w:sz w:val="24"/>
              </w:rPr>
            </w:pPr>
            <w:r w:rsidRPr="000D756E">
              <w:rPr>
                <w:rFonts w:ascii="Arial" w:hAnsi="Arial" w:cs="Arial"/>
                <w:sz w:val="24"/>
              </w:rPr>
              <w:t>Glossary of Terms</w:t>
            </w:r>
          </w:p>
        </w:tc>
        <w:tc>
          <w:tcPr>
            <w:tcW w:w="1710" w:type="dxa"/>
            <w:tcBorders>
              <w:top w:val="single" w:sz="4" w:space="0" w:color="auto"/>
              <w:left w:val="single" w:sz="4" w:space="0" w:color="auto"/>
              <w:bottom w:val="single" w:sz="4" w:space="0" w:color="auto"/>
              <w:right w:val="single" w:sz="4" w:space="0" w:color="auto"/>
            </w:tcBorders>
            <w:vAlign w:val="center"/>
          </w:tcPr>
          <w:p w14:paraId="5CF3F4FF" w14:textId="30F6B684" w:rsidR="008F582E" w:rsidRPr="000D756E" w:rsidRDefault="009D1A82" w:rsidP="008F582E">
            <w:pPr>
              <w:spacing w:after="120"/>
              <w:jc w:val="center"/>
              <w:rPr>
                <w:rFonts w:ascii="Arial" w:hAnsi="Arial" w:cs="Arial"/>
                <w:sz w:val="24"/>
                <w:szCs w:val="24"/>
              </w:rPr>
            </w:pPr>
            <w:r>
              <w:rPr>
                <w:rFonts w:ascii="Arial" w:hAnsi="Arial" w:cs="Arial"/>
                <w:sz w:val="24"/>
                <w:szCs w:val="24"/>
              </w:rPr>
              <w:t>93</w:t>
            </w:r>
          </w:p>
        </w:tc>
      </w:tr>
    </w:tbl>
    <w:p w14:paraId="3461367E" w14:textId="77777777" w:rsidR="00F4004F" w:rsidRPr="000D756E" w:rsidRDefault="00F4004F" w:rsidP="002A7C01">
      <w:pPr>
        <w:rPr>
          <w:rFonts w:ascii="Arial" w:hAnsi="Arial" w:cs="Arial"/>
          <w:b/>
          <w:sz w:val="24"/>
          <w:szCs w:val="24"/>
        </w:rPr>
      </w:pPr>
    </w:p>
    <w:p w14:paraId="10745053" w14:textId="77777777" w:rsidR="00AF639F" w:rsidRPr="000D756E" w:rsidRDefault="00AF639F" w:rsidP="002A7C01">
      <w:pPr>
        <w:rPr>
          <w:rFonts w:ascii="Arial" w:hAnsi="Arial" w:cs="Arial"/>
          <w:b/>
          <w:sz w:val="24"/>
          <w:szCs w:val="24"/>
        </w:rPr>
        <w:sectPr w:rsidR="00AF639F" w:rsidRPr="000D756E" w:rsidSect="00540FFA">
          <w:headerReference w:type="default" r:id="rId17"/>
          <w:headerReference w:type="first" r:id="rId18"/>
          <w:footerReference w:type="first" r:id="rId19"/>
          <w:pgSz w:w="11909" w:h="16834" w:code="9"/>
          <w:pgMar w:top="567" w:right="1185" w:bottom="992" w:left="1276" w:header="720" w:footer="720" w:gutter="0"/>
          <w:cols w:space="720"/>
        </w:sectPr>
      </w:pPr>
    </w:p>
    <w:p w14:paraId="593A3DBE" w14:textId="77777777" w:rsidR="00596502" w:rsidRPr="000D756E" w:rsidRDefault="00596502" w:rsidP="002A7C01">
      <w:pPr>
        <w:rPr>
          <w:rFonts w:ascii="Arial" w:hAnsi="Arial" w:cs="Arial"/>
          <w:b/>
          <w:sz w:val="26"/>
          <w:szCs w:val="26"/>
        </w:rPr>
      </w:pPr>
      <w:r w:rsidRPr="000D756E">
        <w:rPr>
          <w:rFonts w:ascii="Arial" w:hAnsi="Arial" w:cs="Arial"/>
          <w:b/>
          <w:sz w:val="26"/>
          <w:szCs w:val="26"/>
        </w:rPr>
        <w:lastRenderedPageBreak/>
        <w:t>Introduction</w:t>
      </w:r>
    </w:p>
    <w:p w14:paraId="2A5F87B4" w14:textId="77777777" w:rsidR="00596502" w:rsidRPr="000D756E" w:rsidRDefault="00596502" w:rsidP="002A7C01">
      <w:pPr>
        <w:rPr>
          <w:rFonts w:ascii="Arial" w:hAnsi="Arial" w:cs="Arial"/>
          <w:sz w:val="24"/>
          <w:szCs w:val="24"/>
        </w:rPr>
      </w:pPr>
    </w:p>
    <w:p w14:paraId="2DE5CA86" w14:textId="1FCBF50A" w:rsidR="00292DA2" w:rsidRPr="000D756E" w:rsidRDefault="00313495" w:rsidP="002A7C01">
      <w:pPr>
        <w:rPr>
          <w:rFonts w:ascii="Arial" w:hAnsi="Arial" w:cs="Arial"/>
          <w:sz w:val="24"/>
          <w:szCs w:val="24"/>
        </w:rPr>
      </w:pPr>
      <w:r w:rsidRPr="000D756E">
        <w:rPr>
          <w:rFonts w:ascii="Arial" w:hAnsi="Arial" w:cs="Arial"/>
          <w:sz w:val="24"/>
          <w:szCs w:val="24"/>
        </w:rPr>
        <w:t xml:space="preserve">This </w:t>
      </w:r>
      <w:r w:rsidR="008E7D0E" w:rsidRPr="000D756E">
        <w:rPr>
          <w:rFonts w:ascii="Arial" w:hAnsi="Arial" w:cs="Arial"/>
          <w:sz w:val="24"/>
          <w:szCs w:val="24"/>
        </w:rPr>
        <w:t xml:space="preserve">is </w:t>
      </w:r>
      <w:r w:rsidRPr="000D756E">
        <w:rPr>
          <w:rFonts w:ascii="Arial" w:hAnsi="Arial" w:cs="Arial"/>
          <w:sz w:val="24"/>
          <w:szCs w:val="24"/>
        </w:rPr>
        <w:t xml:space="preserve">the statement of accounts for Shropshire and Wrekin Fire </w:t>
      </w:r>
      <w:r w:rsidR="00670EA0" w:rsidRPr="000D756E">
        <w:rPr>
          <w:rFonts w:ascii="Arial" w:hAnsi="Arial" w:cs="Arial"/>
          <w:sz w:val="24"/>
          <w:szCs w:val="24"/>
        </w:rPr>
        <w:t xml:space="preserve">and Rescue </w:t>
      </w:r>
      <w:r w:rsidRPr="000D756E">
        <w:rPr>
          <w:rFonts w:ascii="Arial" w:hAnsi="Arial" w:cs="Arial"/>
          <w:sz w:val="24"/>
          <w:szCs w:val="24"/>
        </w:rPr>
        <w:t>Authority, for the financial year ended 31 March 20</w:t>
      </w:r>
      <w:r w:rsidR="00002D92" w:rsidRPr="000D756E">
        <w:rPr>
          <w:rFonts w:ascii="Arial" w:hAnsi="Arial" w:cs="Arial"/>
          <w:sz w:val="24"/>
          <w:szCs w:val="24"/>
        </w:rPr>
        <w:t>2</w:t>
      </w:r>
      <w:r w:rsidR="00E3485C">
        <w:rPr>
          <w:rFonts w:ascii="Arial" w:hAnsi="Arial" w:cs="Arial"/>
          <w:sz w:val="24"/>
          <w:szCs w:val="24"/>
        </w:rPr>
        <w:t>5</w:t>
      </w:r>
      <w:r w:rsidRPr="000D756E">
        <w:rPr>
          <w:rFonts w:ascii="Arial" w:hAnsi="Arial" w:cs="Arial"/>
          <w:sz w:val="24"/>
          <w:szCs w:val="24"/>
        </w:rPr>
        <w:t>. The purpose of the statement is to report how the Authority has performed over the last year, and also to show its financial position at the end of the year.</w:t>
      </w:r>
    </w:p>
    <w:p w14:paraId="6397511E" w14:textId="77777777" w:rsidR="00313495" w:rsidRPr="000D756E" w:rsidRDefault="00313495" w:rsidP="002A7C01">
      <w:pPr>
        <w:rPr>
          <w:rFonts w:ascii="Arial" w:hAnsi="Arial" w:cs="Arial"/>
          <w:sz w:val="24"/>
          <w:szCs w:val="24"/>
        </w:rPr>
      </w:pPr>
    </w:p>
    <w:p w14:paraId="3F0FCEF4" w14:textId="5697BA27" w:rsidR="00313495" w:rsidRPr="000D756E" w:rsidRDefault="00313495" w:rsidP="00313495">
      <w:pPr>
        <w:rPr>
          <w:rFonts w:ascii="Arial" w:hAnsi="Arial" w:cs="Arial"/>
          <w:sz w:val="24"/>
          <w:szCs w:val="24"/>
        </w:rPr>
      </w:pPr>
      <w:r w:rsidRPr="000D756E">
        <w:rPr>
          <w:rFonts w:ascii="Arial" w:hAnsi="Arial" w:cs="Arial"/>
          <w:sz w:val="24"/>
          <w:szCs w:val="24"/>
        </w:rPr>
        <w:t>The Statement has been prepared in accordance with the CIPFA/LASAAC Code of Practice on Local Authority Accounting in the United Kingdom 20</w:t>
      </w:r>
      <w:r w:rsidR="00263044" w:rsidRPr="000D756E">
        <w:rPr>
          <w:rFonts w:ascii="Arial" w:hAnsi="Arial" w:cs="Arial"/>
          <w:sz w:val="24"/>
          <w:szCs w:val="24"/>
        </w:rPr>
        <w:t>2</w:t>
      </w:r>
      <w:r w:rsidR="00646875">
        <w:rPr>
          <w:rFonts w:ascii="Arial" w:hAnsi="Arial" w:cs="Arial"/>
          <w:sz w:val="24"/>
          <w:szCs w:val="24"/>
        </w:rPr>
        <w:t>4/25</w:t>
      </w:r>
      <w:r w:rsidRPr="000D756E">
        <w:rPr>
          <w:rFonts w:ascii="Arial" w:hAnsi="Arial" w:cs="Arial"/>
          <w:sz w:val="24"/>
          <w:szCs w:val="24"/>
        </w:rPr>
        <w:t xml:space="preserve"> (the Code), which specifies the principles and practices of accounting required to give a ‘true and fair’ view of the financial position of a local authority. Its publication is required under the Accounts and Audit Regulations 2015.</w:t>
      </w:r>
    </w:p>
    <w:p w14:paraId="5C83456C" w14:textId="77777777" w:rsidR="00313495" w:rsidRPr="000D756E" w:rsidRDefault="00313495" w:rsidP="00313495">
      <w:pPr>
        <w:rPr>
          <w:rFonts w:ascii="Arial" w:hAnsi="Arial" w:cs="Arial"/>
          <w:sz w:val="24"/>
          <w:szCs w:val="24"/>
        </w:rPr>
      </w:pPr>
    </w:p>
    <w:p w14:paraId="330B37D2" w14:textId="532AFE51" w:rsidR="00313495" w:rsidRPr="000D756E" w:rsidRDefault="00313495" w:rsidP="002A7C01">
      <w:pPr>
        <w:rPr>
          <w:rFonts w:ascii="Arial" w:hAnsi="Arial" w:cs="Arial"/>
          <w:sz w:val="24"/>
          <w:szCs w:val="24"/>
        </w:rPr>
      </w:pPr>
      <w:r w:rsidRPr="000D756E">
        <w:rPr>
          <w:rFonts w:ascii="Arial" w:hAnsi="Arial" w:cs="Arial"/>
          <w:sz w:val="24"/>
          <w:szCs w:val="24"/>
        </w:rPr>
        <w:t xml:space="preserve">This </w:t>
      </w:r>
      <w:r w:rsidR="00EB5E69" w:rsidRPr="000D756E">
        <w:rPr>
          <w:rFonts w:ascii="Arial" w:hAnsi="Arial" w:cs="Arial"/>
          <w:sz w:val="24"/>
          <w:szCs w:val="24"/>
        </w:rPr>
        <w:t>narrative</w:t>
      </w:r>
      <w:r w:rsidRPr="000D756E">
        <w:rPr>
          <w:rFonts w:ascii="Arial" w:hAnsi="Arial" w:cs="Arial"/>
          <w:sz w:val="24"/>
          <w:szCs w:val="24"/>
        </w:rPr>
        <w:t xml:space="preserve"> will provide the reader with an insight about the Fire Authority and its Fire and Rescue Service and will outline its financial</w:t>
      </w:r>
      <w:r w:rsidR="00596502" w:rsidRPr="000D756E">
        <w:rPr>
          <w:rFonts w:ascii="Arial" w:hAnsi="Arial" w:cs="Arial"/>
          <w:sz w:val="24"/>
          <w:szCs w:val="24"/>
        </w:rPr>
        <w:t xml:space="preserve"> performance over the last year</w:t>
      </w:r>
      <w:r w:rsidRPr="000D756E">
        <w:rPr>
          <w:rFonts w:ascii="Arial" w:hAnsi="Arial" w:cs="Arial"/>
          <w:sz w:val="24"/>
          <w:szCs w:val="24"/>
        </w:rPr>
        <w:t xml:space="preserve"> and how it is positioned to deal with pressures both now and into the future</w:t>
      </w:r>
      <w:r w:rsidR="009C0BCC" w:rsidRPr="000D756E">
        <w:rPr>
          <w:rFonts w:ascii="Arial" w:hAnsi="Arial" w:cs="Arial"/>
          <w:sz w:val="24"/>
          <w:szCs w:val="24"/>
        </w:rPr>
        <w:t>. There is also guidance about the statement</w:t>
      </w:r>
      <w:r w:rsidR="00596502" w:rsidRPr="000D756E">
        <w:rPr>
          <w:rFonts w:ascii="Arial" w:hAnsi="Arial" w:cs="Arial"/>
          <w:sz w:val="24"/>
          <w:szCs w:val="24"/>
        </w:rPr>
        <w:t>s contained within the document</w:t>
      </w:r>
      <w:r w:rsidR="009C0BCC" w:rsidRPr="000D756E">
        <w:rPr>
          <w:rFonts w:ascii="Arial" w:hAnsi="Arial" w:cs="Arial"/>
          <w:sz w:val="24"/>
          <w:szCs w:val="24"/>
        </w:rPr>
        <w:t xml:space="preserve">. </w:t>
      </w:r>
    </w:p>
    <w:p w14:paraId="5069493B" w14:textId="77777777" w:rsidR="00313495" w:rsidRPr="000D756E" w:rsidRDefault="00313495" w:rsidP="002A7C01">
      <w:pPr>
        <w:rPr>
          <w:rFonts w:ascii="Arial" w:hAnsi="Arial" w:cs="Arial"/>
          <w:sz w:val="24"/>
          <w:szCs w:val="24"/>
        </w:rPr>
      </w:pPr>
    </w:p>
    <w:p w14:paraId="722B4362" w14:textId="77777777" w:rsidR="00313495" w:rsidRPr="000D756E" w:rsidRDefault="009C0BCC" w:rsidP="002A7C01">
      <w:pPr>
        <w:rPr>
          <w:rFonts w:ascii="Arial" w:hAnsi="Arial" w:cs="Arial"/>
          <w:b/>
          <w:sz w:val="26"/>
          <w:szCs w:val="26"/>
        </w:rPr>
      </w:pPr>
      <w:r w:rsidRPr="000D756E">
        <w:rPr>
          <w:rFonts w:ascii="Arial" w:hAnsi="Arial" w:cs="Arial"/>
          <w:b/>
          <w:sz w:val="26"/>
          <w:szCs w:val="26"/>
        </w:rPr>
        <w:t>The County of Shropshire</w:t>
      </w:r>
    </w:p>
    <w:p w14:paraId="00C4F679" w14:textId="77777777" w:rsidR="009C0BCC" w:rsidRPr="000D756E" w:rsidRDefault="009C0BCC" w:rsidP="002A7C01">
      <w:pPr>
        <w:rPr>
          <w:rFonts w:ascii="Arial" w:hAnsi="Arial" w:cs="Arial"/>
          <w:b/>
          <w:sz w:val="24"/>
          <w:szCs w:val="24"/>
        </w:rPr>
      </w:pPr>
    </w:p>
    <w:p w14:paraId="1F303AC7" w14:textId="41636978" w:rsidR="009C0BCC" w:rsidRPr="000D756E" w:rsidRDefault="009C0BCC" w:rsidP="002A7C01">
      <w:pPr>
        <w:rPr>
          <w:rFonts w:ascii="Arial" w:hAnsi="Arial" w:cs="Arial"/>
          <w:sz w:val="24"/>
          <w:szCs w:val="24"/>
        </w:rPr>
      </w:pPr>
      <w:r w:rsidRPr="000D756E">
        <w:rPr>
          <w:rFonts w:ascii="Arial" w:hAnsi="Arial" w:cs="Arial"/>
          <w:sz w:val="24"/>
          <w:szCs w:val="24"/>
        </w:rPr>
        <w:t>Shropshire is England’s largest inland county, covering an area of 3,487 square kilometres, and bordering Wales, Cheshire, Staffordshire, Worcestershire</w:t>
      </w:r>
      <w:r w:rsidR="00190D00" w:rsidRPr="000D756E">
        <w:rPr>
          <w:rFonts w:ascii="Arial" w:hAnsi="Arial" w:cs="Arial"/>
          <w:sz w:val="24"/>
          <w:szCs w:val="24"/>
        </w:rPr>
        <w:t xml:space="preserve">, </w:t>
      </w:r>
      <w:r w:rsidRPr="000D756E">
        <w:rPr>
          <w:rFonts w:ascii="Arial" w:hAnsi="Arial" w:cs="Arial"/>
          <w:sz w:val="24"/>
          <w:szCs w:val="24"/>
        </w:rPr>
        <w:t>Herefordshire and West Midlands. It contains numerous small towns and villages</w:t>
      </w:r>
      <w:r w:rsidR="5E5CAB46" w:rsidRPr="000D756E">
        <w:rPr>
          <w:rFonts w:ascii="Arial" w:hAnsi="Arial" w:cs="Arial"/>
          <w:sz w:val="24"/>
          <w:szCs w:val="24"/>
        </w:rPr>
        <w:t>,</w:t>
      </w:r>
      <w:r w:rsidRPr="000D756E">
        <w:rPr>
          <w:rFonts w:ascii="Arial" w:hAnsi="Arial" w:cs="Arial"/>
          <w:sz w:val="24"/>
          <w:szCs w:val="24"/>
        </w:rPr>
        <w:t xml:space="preserve"> but the population and economy </w:t>
      </w:r>
      <w:r w:rsidR="004D22D2" w:rsidRPr="000D756E">
        <w:rPr>
          <w:rFonts w:ascii="Arial" w:hAnsi="Arial" w:cs="Arial"/>
          <w:sz w:val="24"/>
          <w:szCs w:val="24"/>
        </w:rPr>
        <w:t>are</w:t>
      </w:r>
      <w:r w:rsidRPr="000D756E">
        <w:rPr>
          <w:rFonts w:ascii="Arial" w:hAnsi="Arial" w:cs="Arial"/>
          <w:sz w:val="24"/>
          <w:szCs w:val="24"/>
        </w:rPr>
        <w:t xml:space="preserve"> mainly centred around Shrewsbury, Telford, Oswestry, Bridgnorth and Ludlow.</w:t>
      </w:r>
    </w:p>
    <w:p w14:paraId="184BAE53" w14:textId="77777777" w:rsidR="007260DB" w:rsidRPr="000D756E" w:rsidRDefault="007260DB" w:rsidP="002A7C01">
      <w:pPr>
        <w:rPr>
          <w:rFonts w:ascii="Arial" w:hAnsi="Arial" w:cs="Arial"/>
          <w:sz w:val="24"/>
          <w:szCs w:val="24"/>
        </w:rPr>
      </w:pPr>
    </w:p>
    <w:p w14:paraId="2A6B76D0" w14:textId="77777777" w:rsidR="007260DB" w:rsidRPr="000D756E" w:rsidRDefault="001773E8" w:rsidP="002A7C01">
      <w:pPr>
        <w:rPr>
          <w:rFonts w:ascii="Arial" w:hAnsi="Arial" w:cs="Arial"/>
          <w:b/>
          <w:sz w:val="26"/>
          <w:szCs w:val="26"/>
        </w:rPr>
      </w:pPr>
      <w:r w:rsidRPr="000D756E">
        <w:rPr>
          <w:rFonts w:ascii="Arial" w:hAnsi="Arial" w:cs="Arial"/>
          <w:b/>
          <w:sz w:val="26"/>
          <w:szCs w:val="26"/>
        </w:rPr>
        <w:t>Governance</w:t>
      </w:r>
    </w:p>
    <w:p w14:paraId="77B9E4C9" w14:textId="77777777" w:rsidR="007260DB" w:rsidRPr="000D756E" w:rsidRDefault="007260DB" w:rsidP="002A7C01">
      <w:pPr>
        <w:rPr>
          <w:rFonts w:ascii="Arial" w:hAnsi="Arial" w:cs="Arial"/>
          <w:sz w:val="24"/>
          <w:szCs w:val="24"/>
        </w:rPr>
      </w:pPr>
    </w:p>
    <w:p w14:paraId="318AE5B3" w14:textId="77777777" w:rsidR="005A6984" w:rsidRPr="000D756E" w:rsidRDefault="005A6984" w:rsidP="002A7C01">
      <w:pPr>
        <w:rPr>
          <w:rFonts w:ascii="Arial" w:hAnsi="Arial" w:cs="Arial"/>
          <w:sz w:val="24"/>
          <w:szCs w:val="24"/>
        </w:rPr>
      </w:pPr>
      <w:r w:rsidRPr="000D756E">
        <w:rPr>
          <w:rFonts w:ascii="Arial" w:hAnsi="Arial" w:cs="Arial"/>
          <w:sz w:val="24"/>
          <w:szCs w:val="24"/>
        </w:rPr>
        <w:t>The Fire Authority was created through the Shropshire Fire Services (Combination Scheme) Order 1997.</w:t>
      </w:r>
    </w:p>
    <w:p w14:paraId="389ACAD6" w14:textId="77777777" w:rsidR="005A6984" w:rsidRPr="000D756E" w:rsidRDefault="005A6984" w:rsidP="002A7C01">
      <w:pPr>
        <w:rPr>
          <w:rFonts w:ascii="Arial" w:hAnsi="Arial" w:cs="Arial"/>
          <w:sz w:val="24"/>
          <w:szCs w:val="24"/>
        </w:rPr>
      </w:pPr>
    </w:p>
    <w:p w14:paraId="2564402C" w14:textId="77777777" w:rsidR="007260DB" w:rsidRPr="000D756E" w:rsidRDefault="007260DB" w:rsidP="002A7C01">
      <w:pPr>
        <w:rPr>
          <w:rFonts w:ascii="Arial" w:hAnsi="Arial" w:cs="Arial"/>
          <w:sz w:val="24"/>
          <w:szCs w:val="24"/>
        </w:rPr>
      </w:pPr>
      <w:r w:rsidRPr="000D756E">
        <w:rPr>
          <w:rFonts w:ascii="Arial" w:hAnsi="Arial" w:cs="Arial"/>
          <w:sz w:val="24"/>
          <w:szCs w:val="24"/>
        </w:rPr>
        <w:t xml:space="preserve">Shropshire and Wrekin Fire Authority is the statutory authority responsible for the fire and rescue functions of protection, prevention and response within Shropshire. Seventeen members are </w:t>
      </w:r>
      <w:r w:rsidR="005A6984" w:rsidRPr="000D756E">
        <w:rPr>
          <w:rFonts w:ascii="Arial" w:hAnsi="Arial" w:cs="Arial"/>
          <w:sz w:val="24"/>
          <w:szCs w:val="24"/>
        </w:rPr>
        <w:t>appointed</w:t>
      </w:r>
      <w:r w:rsidR="004D22D2" w:rsidRPr="000D756E">
        <w:rPr>
          <w:rFonts w:ascii="Arial" w:hAnsi="Arial" w:cs="Arial"/>
          <w:sz w:val="24"/>
          <w:szCs w:val="24"/>
        </w:rPr>
        <w:t>,</w:t>
      </w:r>
      <w:r w:rsidR="005A6984" w:rsidRPr="000D756E">
        <w:rPr>
          <w:rFonts w:ascii="Arial" w:hAnsi="Arial" w:cs="Arial"/>
          <w:sz w:val="24"/>
          <w:szCs w:val="24"/>
        </w:rPr>
        <w:t xml:space="preserve"> </w:t>
      </w:r>
      <w:r w:rsidRPr="000D756E">
        <w:rPr>
          <w:rFonts w:ascii="Arial" w:hAnsi="Arial" w:cs="Arial"/>
          <w:sz w:val="24"/>
          <w:szCs w:val="24"/>
        </w:rPr>
        <w:t>and their role is to represent the interests of Shropshire Council and Telford &amp; Wrekin Council.</w:t>
      </w:r>
    </w:p>
    <w:p w14:paraId="11FE95F4" w14:textId="77777777" w:rsidR="007260DB" w:rsidRPr="000D756E" w:rsidRDefault="007260DB" w:rsidP="002A7C01">
      <w:pPr>
        <w:rPr>
          <w:rFonts w:ascii="Arial" w:hAnsi="Arial" w:cs="Arial"/>
          <w:sz w:val="24"/>
          <w:szCs w:val="24"/>
        </w:rPr>
      </w:pPr>
    </w:p>
    <w:p w14:paraId="6ECB6D6E" w14:textId="77777777" w:rsidR="007260DB" w:rsidRPr="000D756E" w:rsidRDefault="007260DB" w:rsidP="002A7C01">
      <w:pPr>
        <w:rPr>
          <w:rFonts w:ascii="Arial" w:hAnsi="Arial" w:cs="Arial"/>
          <w:sz w:val="24"/>
          <w:szCs w:val="24"/>
        </w:rPr>
      </w:pPr>
      <w:r w:rsidRPr="000D756E">
        <w:rPr>
          <w:rFonts w:ascii="Arial" w:hAnsi="Arial" w:cs="Arial"/>
          <w:sz w:val="24"/>
          <w:szCs w:val="24"/>
        </w:rPr>
        <w:t>The Authority is responsible for the overall corporate governance of the organisation, its strategic direction, setting its budget and establishing and monitoring management goals. Business must also be conducted in accordance with legislation, regulation and government guidance to ensure that proper standards of conduct, probity and professional competence are set and adhered to.</w:t>
      </w:r>
    </w:p>
    <w:p w14:paraId="0D321338" w14:textId="77777777" w:rsidR="007260DB" w:rsidRPr="000D756E" w:rsidRDefault="007260DB" w:rsidP="002A7C01">
      <w:pPr>
        <w:rPr>
          <w:rFonts w:ascii="Arial" w:hAnsi="Arial" w:cs="Arial"/>
          <w:sz w:val="24"/>
          <w:szCs w:val="24"/>
        </w:rPr>
      </w:pPr>
    </w:p>
    <w:p w14:paraId="5518015E" w14:textId="3FB7F3EE" w:rsidR="005A6984" w:rsidRPr="000D756E" w:rsidRDefault="005A6984" w:rsidP="002A7C01">
      <w:pPr>
        <w:rPr>
          <w:rFonts w:ascii="Arial" w:hAnsi="Arial" w:cs="Arial"/>
          <w:sz w:val="24"/>
          <w:szCs w:val="24"/>
        </w:rPr>
      </w:pPr>
      <w:r w:rsidRPr="000D756E">
        <w:rPr>
          <w:rFonts w:ascii="Arial" w:hAnsi="Arial" w:cs="Arial"/>
          <w:sz w:val="24"/>
          <w:szCs w:val="24"/>
        </w:rPr>
        <w:t>Th</w:t>
      </w:r>
      <w:r w:rsidR="00C21A59" w:rsidRPr="000D756E">
        <w:rPr>
          <w:rFonts w:ascii="Arial" w:hAnsi="Arial" w:cs="Arial"/>
          <w:sz w:val="24"/>
          <w:szCs w:val="24"/>
        </w:rPr>
        <w:t>e Strategy &amp; Resources Committee and the Standards, Audit and Perf</w:t>
      </w:r>
      <w:r w:rsidR="00C86606" w:rsidRPr="000D756E">
        <w:rPr>
          <w:rFonts w:ascii="Arial" w:hAnsi="Arial" w:cs="Arial"/>
          <w:sz w:val="24"/>
          <w:szCs w:val="24"/>
        </w:rPr>
        <w:t xml:space="preserve">ormance </w:t>
      </w:r>
      <w:r w:rsidR="00C21A59" w:rsidRPr="000D756E">
        <w:rPr>
          <w:rFonts w:ascii="Arial" w:hAnsi="Arial" w:cs="Arial"/>
          <w:sz w:val="24"/>
          <w:szCs w:val="24"/>
        </w:rPr>
        <w:t xml:space="preserve">Committee </w:t>
      </w:r>
      <w:r w:rsidR="007260DB" w:rsidRPr="000D756E">
        <w:rPr>
          <w:rFonts w:ascii="Arial" w:hAnsi="Arial" w:cs="Arial"/>
          <w:sz w:val="24"/>
          <w:szCs w:val="24"/>
        </w:rPr>
        <w:t>support the Authority in carrying out its functions.</w:t>
      </w:r>
    </w:p>
    <w:p w14:paraId="14F94B91" w14:textId="77777777" w:rsidR="007260DB" w:rsidRPr="000D756E" w:rsidRDefault="005A6984" w:rsidP="002A7C01">
      <w:pPr>
        <w:rPr>
          <w:rFonts w:ascii="Arial" w:hAnsi="Arial" w:cs="Arial"/>
          <w:sz w:val="24"/>
          <w:szCs w:val="24"/>
        </w:rPr>
      </w:pPr>
      <w:r w:rsidRPr="000D756E">
        <w:rPr>
          <w:rFonts w:ascii="Arial" w:hAnsi="Arial" w:cs="Arial"/>
          <w:sz w:val="24"/>
          <w:szCs w:val="24"/>
        </w:rPr>
        <w:br w:type="page"/>
      </w:r>
    </w:p>
    <w:p w14:paraId="0DF1EC99" w14:textId="23AD78FA" w:rsidR="007260DB" w:rsidRPr="000D756E" w:rsidRDefault="007260DB" w:rsidP="002A7C01">
      <w:pPr>
        <w:rPr>
          <w:rFonts w:ascii="Arial" w:hAnsi="Arial" w:cs="Arial"/>
          <w:b/>
          <w:sz w:val="26"/>
          <w:szCs w:val="26"/>
        </w:rPr>
      </w:pPr>
      <w:r w:rsidRPr="000D756E">
        <w:rPr>
          <w:rFonts w:ascii="Arial" w:hAnsi="Arial" w:cs="Arial"/>
          <w:b/>
          <w:sz w:val="26"/>
          <w:szCs w:val="26"/>
        </w:rPr>
        <w:lastRenderedPageBreak/>
        <w:t>Shropshire Fire and Rescue Service</w:t>
      </w:r>
    </w:p>
    <w:p w14:paraId="150E70B1" w14:textId="77777777" w:rsidR="006F3B6B" w:rsidRPr="000D756E" w:rsidRDefault="006F3B6B" w:rsidP="002A7C01">
      <w:pPr>
        <w:rPr>
          <w:rFonts w:ascii="Arial" w:hAnsi="Arial" w:cs="Arial"/>
          <w:sz w:val="24"/>
          <w:szCs w:val="24"/>
        </w:rPr>
      </w:pPr>
    </w:p>
    <w:p w14:paraId="6605F83C" w14:textId="77777777" w:rsidR="007260DB" w:rsidRPr="000D756E" w:rsidRDefault="007260DB" w:rsidP="002A7C01">
      <w:pPr>
        <w:rPr>
          <w:rFonts w:ascii="Arial" w:hAnsi="Arial" w:cs="Arial"/>
          <w:sz w:val="24"/>
          <w:szCs w:val="24"/>
        </w:rPr>
      </w:pPr>
      <w:r w:rsidRPr="000D756E">
        <w:rPr>
          <w:rFonts w:ascii="Arial" w:hAnsi="Arial" w:cs="Arial"/>
          <w:sz w:val="24"/>
          <w:szCs w:val="24"/>
        </w:rPr>
        <w:t xml:space="preserve">The Service is directly accountable to the Fire Authority for the delivery of fire and rescue services in Shropshire. </w:t>
      </w:r>
    </w:p>
    <w:p w14:paraId="0E111002" w14:textId="77777777" w:rsidR="007260DB" w:rsidRPr="000D756E" w:rsidRDefault="007260DB" w:rsidP="002A7C01">
      <w:pPr>
        <w:rPr>
          <w:rFonts w:ascii="Arial" w:hAnsi="Arial" w:cs="Arial"/>
          <w:sz w:val="24"/>
          <w:szCs w:val="24"/>
        </w:rPr>
      </w:pPr>
    </w:p>
    <w:p w14:paraId="3F9FDA05" w14:textId="5EF837E6" w:rsidR="007260DB" w:rsidRPr="000D756E" w:rsidRDefault="007260DB" w:rsidP="002A7C01">
      <w:pPr>
        <w:rPr>
          <w:rFonts w:ascii="Arial" w:hAnsi="Arial" w:cs="Arial"/>
          <w:sz w:val="24"/>
          <w:szCs w:val="24"/>
        </w:rPr>
      </w:pPr>
      <w:r w:rsidRPr="000D756E">
        <w:rPr>
          <w:rFonts w:ascii="Arial" w:hAnsi="Arial" w:cs="Arial"/>
          <w:sz w:val="24"/>
          <w:szCs w:val="24"/>
        </w:rPr>
        <w:t>The Service employs around 6</w:t>
      </w:r>
      <w:r w:rsidR="00DB43AE" w:rsidRPr="000D756E">
        <w:rPr>
          <w:rFonts w:ascii="Arial" w:hAnsi="Arial" w:cs="Arial"/>
          <w:sz w:val="24"/>
          <w:szCs w:val="24"/>
        </w:rPr>
        <w:t>1</w:t>
      </w:r>
      <w:r w:rsidRPr="000D756E">
        <w:rPr>
          <w:rFonts w:ascii="Arial" w:hAnsi="Arial" w:cs="Arial"/>
          <w:sz w:val="24"/>
          <w:szCs w:val="24"/>
        </w:rPr>
        <w:t xml:space="preserve">0 staff in full and part time roles. There are 23 strategically located fire stations across the county; Shrewsbury and Wellington </w:t>
      </w:r>
      <w:r w:rsidR="006D5935" w:rsidRPr="000D756E">
        <w:rPr>
          <w:rFonts w:ascii="Arial" w:hAnsi="Arial" w:cs="Arial"/>
          <w:sz w:val="24"/>
          <w:szCs w:val="24"/>
        </w:rPr>
        <w:t>have crews</w:t>
      </w:r>
      <w:r w:rsidRPr="000D756E">
        <w:rPr>
          <w:rFonts w:ascii="Arial" w:hAnsi="Arial" w:cs="Arial"/>
          <w:sz w:val="24"/>
          <w:szCs w:val="24"/>
        </w:rPr>
        <w:t xml:space="preserve"> working on the wholetime and retained duty systems</w:t>
      </w:r>
      <w:r w:rsidR="00596502" w:rsidRPr="000D756E">
        <w:rPr>
          <w:rFonts w:ascii="Arial" w:hAnsi="Arial" w:cs="Arial"/>
          <w:sz w:val="24"/>
          <w:szCs w:val="24"/>
        </w:rPr>
        <w:t xml:space="preserve">, whilst Telford Central has </w:t>
      </w:r>
      <w:r w:rsidR="008E7D0E" w:rsidRPr="000D756E">
        <w:rPr>
          <w:rFonts w:ascii="Arial" w:hAnsi="Arial" w:cs="Arial"/>
          <w:sz w:val="24"/>
          <w:szCs w:val="24"/>
        </w:rPr>
        <w:t xml:space="preserve">a </w:t>
      </w:r>
      <w:r w:rsidR="001E29F1" w:rsidRPr="000D756E">
        <w:rPr>
          <w:rFonts w:ascii="Arial" w:hAnsi="Arial" w:cs="Arial"/>
          <w:sz w:val="24"/>
          <w:szCs w:val="24"/>
        </w:rPr>
        <w:t>whole</w:t>
      </w:r>
      <w:r w:rsidR="00596502" w:rsidRPr="000D756E">
        <w:rPr>
          <w:rFonts w:ascii="Arial" w:hAnsi="Arial" w:cs="Arial"/>
          <w:sz w:val="24"/>
          <w:szCs w:val="24"/>
        </w:rPr>
        <w:t xml:space="preserve">time crew and Tweedale has retained cover which switches to wholetime cover during the night. </w:t>
      </w:r>
      <w:r w:rsidRPr="000D756E">
        <w:rPr>
          <w:rFonts w:ascii="Arial" w:hAnsi="Arial" w:cs="Arial"/>
          <w:sz w:val="24"/>
          <w:szCs w:val="24"/>
        </w:rPr>
        <w:t>Headquarters, Workshops, Fire Control and Community Safety and Prevention functions are based in Shrewsbury, with Training and Development facilities located at Telford.</w:t>
      </w:r>
    </w:p>
    <w:p w14:paraId="727BBB9E" w14:textId="77777777" w:rsidR="007260DB" w:rsidRPr="000D756E" w:rsidRDefault="007260DB" w:rsidP="002A7C01">
      <w:pPr>
        <w:rPr>
          <w:rFonts w:ascii="Arial" w:hAnsi="Arial" w:cs="Arial"/>
          <w:sz w:val="24"/>
          <w:szCs w:val="24"/>
        </w:rPr>
      </w:pPr>
    </w:p>
    <w:p w14:paraId="0FD99962" w14:textId="17D1FE3F" w:rsidR="006F3B6B" w:rsidRPr="000D756E" w:rsidRDefault="006F3B6B" w:rsidP="002A7C01">
      <w:pPr>
        <w:rPr>
          <w:rFonts w:ascii="Arial" w:hAnsi="Arial" w:cs="Arial"/>
          <w:sz w:val="24"/>
          <w:szCs w:val="24"/>
        </w:rPr>
      </w:pPr>
      <w:r w:rsidRPr="000D756E">
        <w:rPr>
          <w:rFonts w:ascii="Arial" w:hAnsi="Arial" w:cs="Arial"/>
          <w:sz w:val="24"/>
          <w:szCs w:val="24"/>
        </w:rPr>
        <w:t xml:space="preserve">The risks faced by the Service range from </w:t>
      </w:r>
      <w:r w:rsidR="005A6984" w:rsidRPr="000D756E">
        <w:rPr>
          <w:rFonts w:ascii="Arial" w:hAnsi="Arial" w:cs="Arial"/>
          <w:sz w:val="24"/>
          <w:szCs w:val="24"/>
        </w:rPr>
        <w:t>those</w:t>
      </w:r>
      <w:r w:rsidRPr="000D756E">
        <w:rPr>
          <w:rFonts w:ascii="Arial" w:hAnsi="Arial" w:cs="Arial"/>
          <w:sz w:val="24"/>
          <w:szCs w:val="24"/>
        </w:rPr>
        <w:t xml:space="preserve"> posed by the predominantly rural, sparsely populated community, through to the potential impact of international terrorism. Shropshire is home to approximately 4</w:t>
      </w:r>
      <w:r w:rsidR="00906668" w:rsidRPr="000D756E">
        <w:rPr>
          <w:rFonts w:ascii="Arial" w:hAnsi="Arial" w:cs="Arial"/>
          <w:sz w:val="24"/>
          <w:szCs w:val="24"/>
        </w:rPr>
        <w:t>9</w:t>
      </w:r>
      <w:r w:rsidRPr="000D756E">
        <w:rPr>
          <w:rFonts w:ascii="Arial" w:hAnsi="Arial" w:cs="Arial"/>
          <w:sz w:val="24"/>
          <w:szCs w:val="24"/>
        </w:rPr>
        <w:t>3,000 people</w:t>
      </w:r>
      <w:r w:rsidR="00AA50F6" w:rsidRPr="000D756E">
        <w:rPr>
          <w:rFonts w:ascii="Arial" w:hAnsi="Arial" w:cs="Arial"/>
          <w:sz w:val="24"/>
          <w:szCs w:val="24"/>
        </w:rPr>
        <w:t>,</w:t>
      </w:r>
      <w:r w:rsidRPr="000D756E">
        <w:rPr>
          <w:rFonts w:ascii="Arial" w:hAnsi="Arial" w:cs="Arial"/>
          <w:sz w:val="24"/>
          <w:szCs w:val="24"/>
        </w:rPr>
        <w:t xml:space="preserve"> and its communities present many challenges and risks.</w:t>
      </w:r>
    </w:p>
    <w:p w14:paraId="29DDF72E" w14:textId="77777777" w:rsidR="006F3B6B" w:rsidRPr="000D756E" w:rsidRDefault="006F3B6B" w:rsidP="002A7C01">
      <w:pPr>
        <w:rPr>
          <w:rFonts w:ascii="Arial" w:hAnsi="Arial" w:cs="Arial"/>
          <w:sz w:val="24"/>
          <w:szCs w:val="24"/>
        </w:rPr>
      </w:pPr>
    </w:p>
    <w:p w14:paraId="43606A7D" w14:textId="77777777" w:rsidR="006F3B6B" w:rsidRPr="000D756E" w:rsidRDefault="006F3B6B" w:rsidP="002A7C01">
      <w:pPr>
        <w:rPr>
          <w:rFonts w:ascii="Arial" w:hAnsi="Arial" w:cs="Arial"/>
          <w:sz w:val="24"/>
          <w:szCs w:val="24"/>
        </w:rPr>
      </w:pPr>
      <w:r w:rsidRPr="000D756E">
        <w:rPr>
          <w:rFonts w:ascii="Arial" w:hAnsi="Arial" w:cs="Arial"/>
          <w:sz w:val="24"/>
          <w:szCs w:val="24"/>
        </w:rPr>
        <w:t>The Service also protects over 18,000 commercial premises and the millions of people who visit Shropshire each year for leisure, business or study.</w:t>
      </w:r>
      <w:r w:rsidR="00240C26" w:rsidRPr="000D756E">
        <w:rPr>
          <w:rFonts w:ascii="Arial" w:hAnsi="Arial" w:cs="Arial"/>
          <w:sz w:val="24"/>
          <w:szCs w:val="24"/>
        </w:rPr>
        <w:t xml:space="preserve"> The local economy is dependent on a thriving business sector, and to this end the Service’s proactive protection and prevention strategy aims to reduce the incidence and impact of fire on local businesses. This strategy extends to hospitals, education establishments and nationally and internationally important heritage sites like Ironbridge Gorge.</w:t>
      </w:r>
    </w:p>
    <w:p w14:paraId="64E221E3" w14:textId="77777777" w:rsidR="009C0BCC" w:rsidRPr="000D756E" w:rsidRDefault="009C0BCC" w:rsidP="002A7C01">
      <w:pPr>
        <w:rPr>
          <w:rFonts w:ascii="Arial" w:hAnsi="Arial" w:cs="Arial"/>
          <w:sz w:val="24"/>
          <w:szCs w:val="24"/>
        </w:rPr>
      </w:pPr>
    </w:p>
    <w:p w14:paraId="523AF18F" w14:textId="77777777" w:rsidR="009C0BCC" w:rsidRPr="000D756E" w:rsidRDefault="00596502" w:rsidP="002A7C01">
      <w:pPr>
        <w:rPr>
          <w:rFonts w:ascii="Arial" w:hAnsi="Arial" w:cs="Arial"/>
          <w:sz w:val="24"/>
          <w:szCs w:val="24"/>
        </w:rPr>
      </w:pPr>
      <w:r w:rsidRPr="000D756E">
        <w:rPr>
          <w:rFonts w:ascii="Arial" w:hAnsi="Arial" w:cs="Arial"/>
          <w:sz w:val="24"/>
          <w:szCs w:val="24"/>
        </w:rPr>
        <w:t>The Service attends up to six thousand emergencies every year, but community and business fire safety initiatives prevent a great many more.</w:t>
      </w:r>
    </w:p>
    <w:p w14:paraId="3A51CA99" w14:textId="77777777" w:rsidR="001773E8" w:rsidRPr="000D756E" w:rsidRDefault="001773E8" w:rsidP="002A7C01">
      <w:pPr>
        <w:rPr>
          <w:rFonts w:ascii="Arial" w:hAnsi="Arial" w:cs="Arial"/>
          <w:sz w:val="24"/>
          <w:szCs w:val="24"/>
        </w:rPr>
      </w:pPr>
    </w:p>
    <w:p w14:paraId="6ED62CA4" w14:textId="77777777" w:rsidR="001773E8" w:rsidRPr="000D756E" w:rsidRDefault="001773E8" w:rsidP="002A7C01">
      <w:pPr>
        <w:rPr>
          <w:rFonts w:ascii="Arial" w:hAnsi="Arial" w:cs="Arial"/>
          <w:b/>
          <w:sz w:val="24"/>
          <w:szCs w:val="24"/>
        </w:rPr>
      </w:pPr>
      <w:r w:rsidRPr="000D756E">
        <w:rPr>
          <w:rFonts w:ascii="Arial" w:hAnsi="Arial" w:cs="Arial"/>
          <w:b/>
          <w:sz w:val="24"/>
          <w:szCs w:val="24"/>
        </w:rPr>
        <w:t>The Legislative Framework</w:t>
      </w:r>
    </w:p>
    <w:p w14:paraId="297B8059" w14:textId="77777777" w:rsidR="001773E8" w:rsidRPr="000D756E" w:rsidRDefault="001773E8" w:rsidP="002A7C01">
      <w:pPr>
        <w:rPr>
          <w:rFonts w:ascii="Arial" w:hAnsi="Arial" w:cs="Arial"/>
          <w:b/>
          <w:sz w:val="24"/>
          <w:szCs w:val="24"/>
        </w:rPr>
      </w:pPr>
    </w:p>
    <w:p w14:paraId="01F7980C" w14:textId="77777777" w:rsidR="001773E8" w:rsidRPr="000D756E" w:rsidRDefault="001773E8" w:rsidP="002A7C01">
      <w:pPr>
        <w:rPr>
          <w:rFonts w:ascii="Arial" w:hAnsi="Arial" w:cs="Arial"/>
          <w:sz w:val="24"/>
          <w:szCs w:val="24"/>
        </w:rPr>
      </w:pPr>
      <w:r w:rsidRPr="000D756E">
        <w:rPr>
          <w:rFonts w:ascii="Arial" w:hAnsi="Arial" w:cs="Arial"/>
          <w:sz w:val="24"/>
          <w:szCs w:val="24"/>
        </w:rPr>
        <w:t>National legislation places the statutory responsibility for provision of fire and rescue services upon the Fire Authority. The key responsibilities are set out within:</w:t>
      </w:r>
    </w:p>
    <w:p w14:paraId="1290C34D" w14:textId="77777777" w:rsidR="001773E8" w:rsidRPr="000D756E" w:rsidRDefault="001773E8" w:rsidP="002A7C01">
      <w:pPr>
        <w:rPr>
          <w:rFonts w:ascii="Arial" w:hAnsi="Arial" w:cs="Arial"/>
          <w:sz w:val="24"/>
          <w:szCs w:val="24"/>
        </w:rPr>
      </w:pPr>
    </w:p>
    <w:p w14:paraId="56A12AA1" w14:textId="77777777" w:rsidR="001773E8" w:rsidRPr="000D756E" w:rsidRDefault="001773E8" w:rsidP="00BD1F50">
      <w:pPr>
        <w:numPr>
          <w:ilvl w:val="0"/>
          <w:numId w:val="32"/>
        </w:numPr>
        <w:rPr>
          <w:rFonts w:ascii="Arial" w:hAnsi="Arial" w:cs="Arial"/>
          <w:sz w:val="24"/>
          <w:szCs w:val="24"/>
        </w:rPr>
      </w:pPr>
      <w:r w:rsidRPr="000D756E">
        <w:rPr>
          <w:rFonts w:ascii="Arial" w:hAnsi="Arial" w:cs="Arial"/>
          <w:sz w:val="24"/>
          <w:szCs w:val="24"/>
        </w:rPr>
        <w:t>Fire and Rescue Services Act 2004</w:t>
      </w:r>
    </w:p>
    <w:p w14:paraId="7FED422B" w14:textId="77777777" w:rsidR="001773E8" w:rsidRPr="000D756E" w:rsidRDefault="001773E8" w:rsidP="00BD1F50">
      <w:pPr>
        <w:numPr>
          <w:ilvl w:val="0"/>
          <w:numId w:val="32"/>
        </w:numPr>
        <w:rPr>
          <w:rFonts w:ascii="Arial" w:hAnsi="Arial" w:cs="Arial"/>
          <w:sz w:val="24"/>
          <w:szCs w:val="24"/>
        </w:rPr>
      </w:pPr>
      <w:r w:rsidRPr="000D756E">
        <w:rPr>
          <w:rFonts w:ascii="Arial" w:hAnsi="Arial" w:cs="Arial"/>
          <w:sz w:val="24"/>
          <w:szCs w:val="24"/>
        </w:rPr>
        <w:t>Civil Contingencies Act 2004</w:t>
      </w:r>
    </w:p>
    <w:p w14:paraId="4C106A1A" w14:textId="77777777" w:rsidR="001773E8" w:rsidRPr="000D756E" w:rsidRDefault="001773E8" w:rsidP="00BD1F50">
      <w:pPr>
        <w:numPr>
          <w:ilvl w:val="0"/>
          <w:numId w:val="32"/>
        </w:numPr>
        <w:rPr>
          <w:rFonts w:ascii="Arial" w:hAnsi="Arial" w:cs="Arial"/>
          <w:sz w:val="24"/>
          <w:szCs w:val="24"/>
        </w:rPr>
      </w:pPr>
      <w:r w:rsidRPr="000D756E">
        <w:rPr>
          <w:rFonts w:ascii="Arial" w:hAnsi="Arial" w:cs="Arial"/>
          <w:sz w:val="24"/>
          <w:szCs w:val="24"/>
        </w:rPr>
        <w:t>The Regulatory Reform (Fire Safety) Order 2005</w:t>
      </w:r>
    </w:p>
    <w:p w14:paraId="2CC3324D" w14:textId="77777777" w:rsidR="001773E8" w:rsidRPr="000D756E" w:rsidRDefault="001773E8" w:rsidP="001773E8">
      <w:pPr>
        <w:rPr>
          <w:rFonts w:ascii="Arial" w:hAnsi="Arial" w:cs="Arial"/>
          <w:sz w:val="24"/>
          <w:szCs w:val="24"/>
        </w:rPr>
      </w:pPr>
    </w:p>
    <w:p w14:paraId="576D790E" w14:textId="77777777" w:rsidR="001773E8" w:rsidRPr="000D756E" w:rsidRDefault="001773E8" w:rsidP="001773E8">
      <w:pPr>
        <w:rPr>
          <w:rFonts w:ascii="Arial" w:hAnsi="Arial" w:cs="Arial"/>
          <w:sz w:val="24"/>
          <w:szCs w:val="24"/>
        </w:rPr>
      </w:pPr>
      <w:r w:rsidRPr="000D756E">
        <w:rPr>
          <w:rFonts w:ascii="Arial" w:hAnsi="Arial" w:cs="Arial"/>
          <w:sz w:val="24"/>
          <w:szCs w:val="24"/>
        </w:rPr>
        <w:t>In addition to legal requirements, the Fire Authority must deliver the Government’s priorities for fire and rescue services. These priorities are set out in the Fire and Rescue Nation</w:t>
      </w:r>
      <w:r w:rsidR="001F7780" w:rsidRPr="000D756E">
        <w:rPr>
          <w:rFonts w:ascii="Arial" w:hAnsi="Arial" w:cs="Arial"/>
          <w:sz w:val="24"/>
          <w:szCs w:val="24"/>
        </w:rPr>
        <w:t>al</w:t>
      </w:r>
      <w:r w:rsidRPr="000D756E">
        <w:rPr>
          <w:rFonts w:ascii="Arial" w:hAnsi="Arial" w:cs="Arial"/>
          <w:sz w:val="24"/>
          <w:szCs w:val="24"/>
        </w:rPr>
        <w:t xml:space="preserve"> Framework:</w:t>
      </w:r>
    </w:p>
    <w:p w14:paraId="1DC9FA0F" w14:textId="77777777" w:rsidR="001773E8" w:rsidRPr="000D756E" w:rsidRDefault="001773E8" w:rsidP="001773E8">
      <w:pPr>
        <w:rPr>
          <w:rFonts w:ascii="Arial" w:hAnsi="Arial" w:cs="Arial"/>
          <w:sz w:val="24"/>
          <w:szCs w:val="24"/>
        </w:rPr>
      </w:pPr>
    </w:p>
    <w:p w14:paraId="688AE178" w14:textId="77777777" w:rsidR="001773E8" w:rsidRPr="000D756E" w:rsidRDefault="001773E8" w:rsidP="00BD1F50">
      <w:pPr>
        <w:numPr>
          <w:ilvl w:val="0"/>
          <w:numId w:val="33"/>
        </w:numPr>
        <w:rPr>
          <w:rFonts w:ascii="Arial" w:hAnsi="Arial" w:cs="Arial"/>
          <w:sz w:val="24"/>
          <w:szCs w:val="24"/>
        </w:rPr>
      </w:pPr>
      <w:r w:rsidRPr="000D756E">
        <w:rPr>
          <w:rFonts w:ascii="Arial" w:hAnsi="Arial" w:cs="Arial"/>
          <w:sz w:val="24"/>
          <w:szCs w:val="24"/>
        </w:rPr>
        <w:t>Identify and assess the full range of foreseeable fire and rescue related risks their areas face, make provision for prevention and protection activities, and respond to incidents appropriately;</w:t>
      </w:r>
    </w:p>
    <w:p w14:paraId="32F8B87F" w14:textId="77777777" w:rsidR="001773E8" w:rsidRPr="000D756E" w:rsidRDefault="001773E8" w:rsidP="00BD1F50">
      <w:pPr>
        <w:numPr>
          <w:ilvl w:val="0"/>
          <w:numId w:val="33"/>
        </w:numPr>
        <w:rPr>
          <w:rFonts w:ascii="Arial" w:hAnsi="Arial" w:cs="Arial"/>
          <w:sz w:val="24"/>
          <w:szCs w:val="24"/>
        </w:rPr>
      </w:pPr>
      <w:r w:rsidRPr="000D756E">
        <w:rPr>
          <w:rFonts w:ascii="Arial" w:hAnsi="Arial" w:cs="Arial"/>
          <w:sz w:val="24"/>
          <w:szCs w:val="24"/>
        </w:rPr>
        <w:t>Work in partnership with their communities and a wide range of partners locally and nationally to deliver their service;</w:t>
      </w:r>
    </w:p>
    <w:p w14:paraId="0ACABC4D" w14:textId="77777777" w:rsidR="001773E8" w:rsidRPr="000D756E" w:rsidRDefault="001773E8" w:rsidP="00BD1F50">
      <w:pPr>
        <w:numPr>
          <w:ilvl w:val="0"/>
          <w:numId w:val="33"/>
        </w:numPr>
        <w:rPr>
          <w:rFonts w:ascii="Arial" w:hAnsi="Arial" w:cs="Arial"/>
          <w:sz w:val="24"/>
          <w:szCs w:val="24"/>
        </w:rPr>
      </w:pPr>
      <w:r w:rsidRPr="000D756E">
        <w:rPr>
          <w:rFonts w:ascii="Arial" w:hAnsi="Arial" w:cs="Arial"/>
          <w:sz w:val="24"/>
          <w:szCs w:val="24"/>
        </w:rPr>
        <w:t>Be accountable to communities for the services they provide.</w:t>
      </w:r>
    </w:p>
    <w:p w14:paraId="1EA6997C" w14:textId="72589BB9" w:rsidR="00F86C9C" w:rsidRPr="000D756E" w:rsidRDefault="00F86C9C">
      <w:pPr>
        <w:rPr>
          <w:rFonts w:ascii="Arial" w:hAnsi="Arial" w:cs="Arial"/>
          <w:sz w:val="24"/>
          <w:szCs w:val="24"/>
        </w:rPr>
      </w:pPr>
      <w:r w:rsidRPr="000D756E">
        <w:rPr>
          <w:rFonts w:ascii="Arial" w:hAnsi="Arial" w:cs="Arial"/>
          <w:sz w:val="24"/>
          <w:szCs w:val="24"/>
        </w:rPr>
        <w:br w:type="page"/>
      </w:r>
    </w:p>
    <w:p w14:paraId="4C5AED23" w14:textId="77777777" w:rsidR="001773E8" w:rsidRPr="000D756E" w:rsidRDefault="001773E8" w:rsidP="001773E8">
      <w:pPr>
        <w:rPr>
          <w:rFonts w:ascii="Arial" w:hAnsi="Arial" w:cs="Arial"/>
          <w:sz w:val="24"/>
          <w:szCs w:val="24"/>
        </w:rPr>
      </w:pPr>
    </w:p>
    <w:p w14:paraId="785AF6C5" w14:textId="77777777" w:rsidR="001773E8" w:rsidRPr="000D756E" w:rsidRDefault="001F7780" w:rsidP="001773E8">
      <w:pPr>
        <w:rPr>
          <w:rFonts w:ascii="Arial" w:hAnsi="Arial" w:cs="Arial"/>
          <w:b/>
          <w:sz w:val="24"/>
          <w:szCs w:val="24"/>
        </w:rPr>
      </w:pPr>
      <w:r w:rsidRPr="000D756E">
        <w:rPr>
          <w:rFonts w:ascii="Arial" w:hAnsi="Arial" w:cs="Arial"/>
          <w:b/>
          <w:sz w:val="24"/>
          <w:szCs w:val="24"/>
        </w:rPr>
        <w:t>Operational Context</w:t>
      </w:r>
    </w:p>
    <w:p w14:paraId="54B9E3C5" w14:textId="77777777" w:rsidR="001F7780" w:rsidRPr="000D756E" w:rsidRDefault="001F7780" w:rsidP="001773E8">
      <w:pPr>
        <w:rPr>
          <w:rFonts w:ascii="Arial" w:hAnsi="Arial" w:cs="Arial"/>
          <w:b/>
          <w:sz w:val="24"/>
          <w:szCs w:val="24"/>
          <w:highlight w:val="yellow"/>
        </w:rPr>
      </w:pPr>
    </w:p>
    <w:p w14:paraId="34400F1A" w14:textId="77777777" w:rsidR="008035F6" w:rsidRDefault="000D6639" w:rsidP="008035F6">
      <w:pPr>
        <w:rPr>
          <w:rFonts w:ascii="Arial" w:hAnsi="Arial" w:cs="Arial"/>
          <w:sz w:val="24"/>
          <w:szCs w:val="24"/>
        </w:rPr>
      </w:pPr>
      <w:r w:rsidRPr="000D6639">
        <w:rPr>
          <w:rFonts w:ascii="Arial" w:hAnsi="Arial" w:cs="Arial"/>
          <w:sz w:val="24"/>
          <w:szCs w:val="24"/>
        </w:rPr>
        <w:t xml:space="preserve">The Fire and Rescue Services Act 2004 and the Fire and Rescue National Framework Document mandate the creation of a comprehensive Community Risk Management Plan (CRMP). This strategic document </w:t>
      </w:r>
      <w:r w:rsidR="008035F6" w:rsidRPr="000D6639">
        <w:rPr>
          <w:rFonts w:ascii="Arial" w:hAnsi="Arial" w:cs="Arial"/>
          <w:sz w:val="24"/>
          <w:szCs w:val="24"/>
        </w:rPr>
        <w:t>establishes how the</w:t>
      </w:r>
      <w:r w:rsidR="008035F6" w:rsidRPr="000D756E">
        <w:rPr>
          <w:rFonts w:ascii="Arial" w:hAnsi="Arial" w:cs="Arial"/>
          <w:sz w:val="24"/>
          <w:szCs w:val="24"/>
        </w:rPr>
        <w:t xml:space="preserve"> Authority intends to meet the challenging needs and risks within the community in the short to medium term.</w:t>
      </w:r>
    </w:p>
    <w:p w14:paraId="49D58F90" w14:textId="77777777" w:rsidR="00FD241C" w:rsidRPr="000D756E" w:rsidRDefault="00FD241C" w:rsidP="00FD241C">
      <w:pPr>
        <w:rPr>
          <w:rFonts w:ascii="Arial" w:hAnsi="Arial" w:cs="Arial"/>
          <w:sz w:val="24"/>
          <w:szCs w:val="24"/>
        </w:rPr>
      </w:pPr>
    </w:p>
    <w:p w14:paraId="20F161AE" w14:textId="5C161FAC" w:rsidR="00FD241C" w:rsidRPr="000D756E" w:rsidRDefault="00FD241C" w:rsidP="00FD241C">
      <w:pPr>
        <w:rPr>
          <w:rFonts w:ascii="Arial" w:hAnsi="Arial" w:cs="Arial"/>
          <w:sz w:val="24"/>
          <w:szCs w:val="24"/>
        </w:rPr>
      </w:pPr>
      <w:r w:rsidRPr="000D756E">
        <w:rPr>
          <w:rFonts w:ascii="Arial" w:hAnsi="Arial" w:cs="Arial"/>
          <w:sz w:val="24"/>
          <w:szCs w:val="24"/>
        </w:rPr>
        <w:t xml:space="preserve">The CRMP process is a key component in achieving the Authority’s strategic priorities. It provides an overview of the ongoing risk assessment process that is conducted to ensure that the correct resources, expertise and knowledge are in place to deliver the Service’s </w:t>
      </w:r>
      <w:r w:rsidR="003F5D58">
        <w:rPr>
          <w:rFonts w:ascii="Arial" w:hAnsi="Arial" w:cs="Arial"/>
          <w:sz w:val="24"/>
          <w:szCs w:val="24"/>
        </w:rPr>
        <w:t>vision</w:t>
      </w:r>
      <w:r w:rsidRPr="000D756E">
        <w:rPr>
          <w:rFonts w:ascii="Arial" w:hAnsi="Arial" w:cs="Arial"/>
          <w:sz w:val="24"/>
          <w:szCs w:val="24"/>
        </w:rPr>
        <w:t>, Making Shropshire Safer, and provide the safest, most effective process possible.</w:t>
      </w:r>
    </w:p>
    <w:p w14:paraId="673D05EF" w14:textId="77777777" w:rsidR="00FD241C" w:rsidRPr="000D756E" w:rsidRDefault="00FD241C" w:rsidP="00FD241C">
      <w:pPr>
        <w:rPr>
          <w:rFonts w:ascii="Arial" w:hAnsi="Arial" w:cs="Arial"/>
          <w:sz w:val="24"/>
          <w:szCs w:val="24"/>
        </w:rPr>
      </w:pPr>
    </w:p>
    <w:p w14:paraId="2B1984BB" w14:textId="77777777" w:rsidR="00FD241C" w:rsidRPr="000D756E" w:rsidRDefault="00FD241C" w:rsidP="00FD241C">
      <w:pPr>
        <w:rPr>
          <w:rFonts w:ascii="Arial" w:hAnsi="Arial" w:cs="Arial"/>
          <w:sz w:val="24"/>
          <w:szCs w:val="24"/>
        </w:rPr>
      </w:pPr>
      <w:r w:rsidRPr="000D756E">
        <w:rPr>
          <w:rFonts w:ascii="Arial" w:hAnsi="Arial" w:cs="Arial"/>
          <w:sz w:val="24"/>
          <w:szCs w:val="24"/>
        </w:rPr>
        <w:t>The process for risk management planning can be broken down into the following stages:</w:t>
      </w:r>
    </w:p>
    <w:p w14:paraId="0D05CAC9" w14:textId="77777777" w:rsidR="00FD241C" w:rsidRPr="000D756E" w:rsidRDefault="00FD241C" w:rsidP="00FD241C">
      <w:pPr>
        <w:rPr>
          <w:rFonts w:ascii="Arial" w:hAnsi="Arial" w:cs="Arial"/>
          <w:sz w:val="24"/>
          <w:szCs w:val="24"/>
        </w:rPr>
      </w:pPr>
    </w:p>
    <w:p w14:paraId="3241341F" w14:textId="77777777" w:rsidR="00FD241C" w:rsidRPr="000D756E" w:rsidRDefault="00FD241C" w:rsidP="00BD1F50">
      <w:pPr>
        <w:numPr>
          <w:ilvl w:val="0"/>
          <w:numId w:val="38"/>
        </w:numPr>
        <w:rPr>
          <w:rFonts w:ascii="Arial" w:hAnsi="Arial" w:cs="Arial"/>
          <w:sz w:val="24"/>
          <w:szCs w:val="24"/>
        </w:rPr>
      </w:pPr>
      <w:r w:rsidRPr="000D756E">
        <w:rPr>
          <w:rFonts w:ascii="Arial" w:hAnsi="Arial" w:cs="Arial"/>
          <w:sz w:val="24"/>
          <w:szCs w:val="24"/>
        </w:rPr>
        <w:t>Identify existing risks – in a fire context, risk is the likelihood of a fire or other emergency happening and the severity of its potential effects</w:t>
      </w:r>
    </w:p>
    <w:p w14:paraId="0A795E75" w14:textId="77777777" w:rsidR="00FD241C" w:rsidRPr="000D756E" w:rsidRDefault="00FD241C" w:rsidP="00BD1F50">
      <w:pPr>
        <w:numPr>
          <w:ilvl w:val="0"/>
          <w:numId w:val="38"/>
        </w:numPr>
        <w:rPr>
          <w:rFonts w:ascii="Arial" w:hAnsi="Arial" w:cs="Arial"/>
          <w:sz w:val="24"/>
          <w:szCs w:val="24"/>
        </w:rPr>
      </w:pPr>
      <w:r w:rsidRPr="000D756E">
        <w:rPr>
          <w:rFonts w:ascii="Arial" w:hAnsi="Arial" w:cs="Arial"/>
          <w:sz w:val="24"/>
          <w:szCs w:val="24"/>
        </w:rPr>
        <w:t>Evaluate effectiveness of current arrangements</w:t>
      </w:r>
    </w:p>
    <w:p w14:paraId="6D297622" w14:textId="77777777" w:rsidR="00FD241C" w:rsidRPr="000D756E" w:rsidRDefault="00FD241C" w:rsidP="00BD1F50">
      <w:pPr>
        <w:numPr>
          <w:ilvl w:val="0"/>
          <w:numId w:val="38"/>
        </w:numPr>
        <w:rPr>
          <w:rFonts w:ascii="Arial" w:hAnsi="Arial" w:cs="Arial"/>
          <w:sz w:val="24"/>
          <w:szCs w:val="24"/>
        </w:rPr>
      </w:pPr>
      <w:r w:rsidRPr="000D756E">
        <w:rPr>
          <w:rFonts w:ascii="Arial" w:hAnsi="Arial" w:cs="Arial"/>
          <w:sz w:val="24"/>
          <w:szCs w:val="24"/>
        </w:rPr>
        <w:t>Identify improvement opportunities and develop policies and standards</w:t>
      </w:r>
    </w:p>
    <w:p w14:paraId="6AA5E911" w14:textId="77777777" w:rsidR="00FD241C" w:rsidRPr="000D756E" w:rsidRDefault="00FD241C" w:rsidP="00BD1F50">
      <w:pPr>
        <w:numPr>
          <w:ilvl w:val="0"/>
          <w:numId w:val="38"/>
        </w:numPr>
        <w:rPr>
          <w:rFonts w:ascii="Arial" w:hAnsi="Arial" w:cs="Arial"/>
          <w:sz w:val="24"/>
          <w:szCs w:val="24"/>
        </w:rPr>
      </w:pPr>
      <w:r w:rsidRPr="000D756E">
        <w:rPr>
          <w:rFonts w:ascii="Arial" w:hAnsi="Arial" w:cs="Arial"/>
          <w:sz w:val="24"/>
          <w:szCs w:val="24"/>
        </w:rPr>
        <w:t>Determine resource requirements</w:t>
      </w:r>
    </w:p>
    <w:p w14:paraId="79EB0E9C" w14:textId="77777777" w:rsidR="00FD241C" w:rsidRPr="000D756E" w:rsidRDefault="00FD241C" w:rsidP="00BD1F50">
      <w:pPr>
        <w:numPr>
          <w:ilvl w:val="0"/>
          <w:numId w:val="38"/>
        </w:numPr>
        <w:rPr>
          <w:rFonts w:ascii="Arial" w:hAnsi="Arial" w:cs="Arial"/>
          <w:sz w:val="24"/>
          <w:szCs w:val="24"/>
        </w:rPr>
      </w:pPr>
      <w:r w:rsidRPr="000D756E">
        <w:rPr>
          <w:rFonts w:ascii="Arial" w:hAnsi="Arial" w:cs="Arial"/>
          <w:sz w:val="24"/>
          <w:szCs w:val="24"/>
        </w:rPr>
        <w:t>Consult with stakeholders</w:t>
      </w:r>
    </w:p>
    <w:p w14:paraId="499C63EB" w14:textId="77777777" w:rsidR="00FD241C" w:rsidRPr="000D756E" w:rsidRDefault="00FD241C" w:rsidP="00BD1F50">
      <w:pPr>
        <w:numPr>
          <w:ilvl w:val="0"/>
          <w:numId w:val="38"/>
        </w:numPr>
        <w:rPr>
          <w:rFonts w:ascii="Arial" w:hAnsi="Arial" w:cs="Arial"/>
          <w:sz w:val="24"/>
          <w:szCs w:val="24"/>
        </w:rPr>
      </w:pPr>
      <w:r w:rsidRPr="000D756E">
        <w:rPr>
          <w:rFonts w:ascii="Arial" w:hAnsi="Arial" w:cs="Arial"/>
          <w:sz w:val="24"/>
          <w:szCs w:val="24"/>
        </w:rPr>
        <w:t>Implement changes.</w:t>
      </w:r>
    </w:p>
    <w:p w14:paraId="0FB201EB" w14:textId="77777777" w:rsidR="00FD241C" w:rsidRPr="000D756E" w:rsidRDefault="00FD241C" w:rsidP="00FD241C">
      <w:pPr>
        <w:rPr>
          <w:rFonts w:ascii="Arial" w:eastAsiaTheme="minorHAnsi" w:hAnsi="Arial" w:cs="Arial"/>
          <w:sz w:val="24"/>
          <w:szCs w:val="24"/>
        </w:rPr>
      </w:pPr>
    </w:p>
    <w:p w14:paraId="3B005C27" w14:textId="77777777" w:rsidR="00FD241C" w:rsidRPr="000D756E" w:rsidRDefault="00FD241C" w:rsidP="00FD241C">
      <w:pPr>
        <w:rPr>
          <w:rFonts w:ascii="Arial" w:hAnsi="Arial" w:cs="Arial"/>
          <w:sz w:val="24"/>
          <w:szCs w:val="24"/>
        </w:rPr>
      </w:pPr>
      <w:r w:rsidRPr="000D756E">
        <w:rPr>
          <w:rFonts w:ascii="Arial" w:hAnsi="Arial" w:cs="Arial"/>
          <w:sz w:val="24"/>
          <w:szCs w:val="24"/>
        </w:rPr>
        <w:t>The CRMP demonstrates how the Service will best use its Prevention, Protection and Response resources to combat these risks:</w:t>
      </w:r>
    </w:p>
    <w:p w14:paraId="17DC1E76" w14:textId="77777777" w:rsidR="00FD241C" w:rsidRPr="000D756E" w:rsidRDefault="00FD241C" w:rsidP="00FD241C">
      <w:pPr>
        <w:rPr>
          <w:rFonts w:ascii="Arial" w:hAnsi="Arial" w:cs="Arial"/>
          <w:sz w:val="24"/>
          <w:szCs w:val="24"/>
        </w:rPr>
      </w:pPr>
    </w:p>
    <w:p w14:paraId="7289439F" w14:textId="77777777" w:rsidR="00FD241C" w:rsidRPr="000D756E" w:rsidRDefault="00FD241C" w:rsidP="00BD1F50">
      <w:pPr>
        <w:numPr>
          <w:ilvl w:val="0"/>
          <w:numId w:val="39"/>
        </w:numPr>
        <w:rPr>
          <w:rFonts w:ascii="Arial" w:hAnsi="Arial" w:cs="Arial"/>
          <w:sz w:val="24"/>
          <w:szCs w:val="24"/>
        </w:rPr>
      </w:pPr>
      <w:r w:rsidRPr="000D756E">
        <w:rPr>
          <w:rFonts w:ascii="Arial" w:hAnsi="Arial" w:cs="Arial"/>
          <w:b/>
          <w:bCs/>
          <w:sz w:val="24"/>
          <w:szCs w:val="24"/>
        </w:rPr>
        <w:t>Prevention</w:t>
      </w:r>
      <w:r w:rsidRPr="000D756E">
        <w:rPr>
          <w:rFonts w:ascii="Arial" w:hAnsi="Arial" w:cs="Arial"/>
          <w:sz w:val="24"/>
          <w:szCs w:val="24"/>
        </w:rPr>
        <w:t xml:space="preserve"> is educating people and raising awareness about the risks from fire and other emergencies in an effort to stop risks occurring</w:t>
      </w:r>
    </w:p>
    <w:p w14:paraId="16F411CA" w14:textId="77777777" w:rsidR="00FD241C" w:rsidRPr="000D756E" w:rsidRDefault="00FD241C" w:rsidP="00BD1F50">
      <w:pPr>
        <w:numPr>
          <w:ilvl w:val="0"/>
          <w:numId w:val="39"/>
        </w:numPr>
        <w:rPr>
          <w:rFonts w:ascii="Arial" w:hAnsi="Arial" w:cs="Arial"/>
          <w:sz w:val="24"/>
          <w:szCs w:val="24"/>
        </w:rPr>
      </w:pPr>
      <w:r w:rsidRPr="000D756E">
        <w:rPr>
          <w:rFonts w:ascii="Arial" w:hAnsi="Arial" w:cs="Arial"/>
          <w:b/>
          <w:bCs/>
          <w:sz w:val="24"/>
          <w:szCs w:val="24"/>
        </w:rPr>
        <w:t>Protection</w:t>
      </w:r>
      <w:r w:rsidRPr="000D756E">
        <w:rPr>
          <w:rFonts w:ascii="Arial" w:hAnsi="Arial" w:cs="Arial"/>
          <w:sz w:val="24"/>
          <w:szCs w:val="24"/>
        </w:rPr>
        <w:t xml:space="preserve"> is ensuring that buildings have appropriate means of escape and other safety features that improve public and firefighter safety in the event of a fire</w:t>
      </w:r>
    </w:p>
    <w:p w14:paraId="2C5B42EF" w14:textId="77777777" w:rsidR="00FD241C" w:rsidRPr="000D756E" w:rsidRDefault="00FD241C" w:rsidP="00BD1F50">
      <w:pPr>
        <w:numPr>
          <w:ilvl w:val="0"/>
          <w:numId w:val="39"/>
        </w:numPr>
        <w:rPr>
          <w:rFonts w:ascii="Arial" w:hAnsi="Arial" w:cs="Arial"/>
          <w:sz w:val="24"/>
          <w:szCs w:val="24"/>
        </w:rPr>
      </w:pPr>
      <w:r w:rsidRPr="000D756E">
        <w:rPr>
          <w:rFonts w:ascii="Arial" w:hAnsi="Arial" w:cs="Arial"/>
          <w:b/>
          <w:bCs/>
          <w:sz w:val="24"/>
          <w:szCs w:val="24"/>
        </w:rPr>
        <w:t>Response</w:t>
      </w:r>
      <w:r w:rsidRPr="000D756E">
        <w:rPr>
          <w:rFonts w:ascii="Arial" w:hAnsi="Arial" w:cs="Arial"/>
          <w:sz w:val="24"/>
          <w:szCs w:val="24"/>
        </w:rPr>
        <w:t xml:space="preserve"> is dealing with the effects of an incident in an emergency phase.</w:t>
      </w:r>
    </w:p>
    <w:p w14:paraId="4423886A" w14:textId="77777777" w:rsidR="00FD241C" w:rsidRPr="000D756E" w:rsidRDefault="00FD241C" w:rsidP="00FD241C">
      <w:pPr>
        <w:rPr>
          <w:rFonts w:ascii="Arial" w:eastAsiaTheme="minorHAnsi" w:hAnsi="Arial" w:cs="Arial"/>
          <w:sz w:val="24"/>
          <w:szCs w:val="24"/>
        </w:rPr>
      </w:pPr>
    </w:p>
    <w:p w14:paraId="22353030" w14:textId="77777777" w:rsidR="00FD241C" w:rsidRPr="000D756E" w:rsidRDefault="00FD241C" w:rsidP="00FD241C">
      <w:pPr>
        <w:rPr>
          <w:rFonts w:ascii="Arial" w:hAnsi="Arial" w:cs="Arial"/>
          <w:sz w:val="24"/>
          <w:szCs w:val="24"/>
        </w:rPr>
      </w:pPr>
      <w:r w:rsidRPr="000D756E">
        <w:rPr>
          <w:rFonts w:ascii="Arial" w:hAnsi="Arial" w:cs="Arial"/>
          <w:sz w:val="24"/>
          <w:szCs w:val="24"/>
        </w:rPr>
        <w:t xml:space="preserve">The main resources available to the Authority in the execution of its CRMP are:     </w:t>
      </w:r>
    </w:p>
    <w:p w14:paraId="6D866791" w14:textId="77777777" w:rsidR="00FD241C" w:rsidRPr="000D756E" w:rsidRDefault="00FD241C" w:rsidP="00FD241C">
      <w:pPr>
        <w:rPr>
          <w:rFonts w:ascii="Arial" w:hAnsi="Arial" w:cs="Arial"/>
          <w:sz w:val="24"/>
          <w:szCs w:val="24"/>
        </w:rPr>
      </w:pPr>
    </w:p>
    <w:p w14:paraId="5840267A" w14:textId="77777777" w:rsidR="00FD241C" w:rsidRPr="000D756E" w:rsidRDefault="00FD241C" w:rsidP="00BD1F50">
      <w:pPr>
        <w:numPr>
          <w:ilvl w:val="0"/>
          <w:numId w:val="40"/>
        </w:numPr>
        <w:rPr>
          <w:rFonts w:ascii="Arial" w:hAnsi="Arial" w:cs="Arial"/>
          <w:sz w:val="24"/>
          <w:szCs w:val="24"/>
        </w:rPr>
      </w:pPr>
      <w:r w:rsidRPr="000D756E">
        <w:rPr>
          <w:rFonts w:ascii="Arial" w:hAnsi="Arial" w:cs="Arial"/>
          <w:sz w:val="24"/>
          <w:szCs w:val="24"/>
        </w:rPr>
        <w:t>Main sources of funding – government grant, business rates, and local taxation (council tax) – these are discussed later in the report</w:t>
      </w:r>
    </w:p>
    <w:p w14:paraId="3010F974" w14:textId="77777777" w:rsidR="00FD241C" w:rsidRPr="000D756E" w:rsidRDefault="00FD241C" w:rsidP="00BD1F50">
      <w:pPr>
        <w:numPr>
          <w:ilvl w:val="0"/>
          <w:numId w:val="40"/>
        </w:numPr>
        <w:rPr>
          <w:rFonts w:ascii="Arial" w:hAnsi="Arial" w:cs="Arial"/>
          <w:sz w:val="24"/>
          <w:szCs w:val="24"/>
        </w:rPr>
      </w:pPr>
      <w:r w:rsidRPr="000D756E">
        <w:rPr>
          <w:rFonts w:ascii="Arial" w:hAnsi="Arial" w:cs="Arial"/>
          <w:sz w:val="24"/>
          <w:szCs w:val="24"/>
        </w:rPr>
        <w:t>Experienced and competently trained staff; and</w:t>
      </w:r>
    </w:p>
    <w:p w14:paraId="163E9688" w14:textId="77777777" w:rsidR="00FD241C" w:rsidRPr="000D756E" w:rsidRDefault="00FD241C" w:rsidP="00BD1F50">
      <w:pPr>
        <w:numPr>
          <w:ilvl w:val="0"/>
          <w:numId w:val="40"/>
        </w:numPr>
        <w:rPr>
          <w:rFonts w:ascii="Arial" w:hAnsi="Arial" w:cs="Arial"/>
          <w:sz w:val="24"/>
          <w:szCs w:val="24"/>
        </w:rPr>
      </w:pPr>
      <w:r w:rsidRPr="000D756E">
        <w:rPr>
          <w:rFonts w:ascii="Arial" w:hAnsi="Arial" w:cs="Arial"/>
          <w:sz w:val="24"/>
          <w:szCs w:val="24"/>
        </w:rPr>
        <w:t>Relationships and partnerships with other agencies and authorities.</w:t>
      </w:r>
    </w:p>
    <w:p w14:paraId="7A21AC81" w14:textId="77777777" w:rsidR="00FD241C" w:rsidRPr="000D756E" w:rsidRDefault="00FD241C" w:rsidP="00FD241C">
      <w:pPr>
        <w:rPr>
          <w:rFonts w:ascii="Arial" w:eastAsiaTheme="minorHAnsi" w:hAnsi="Arial" w:cs="Arial"/>
          <w:sz w:val="24"/>
          <w:szCs w:val="24"/>
        </w:rPr>
      </w:pPr>
    </w:p>
    <w:p w14:paraId="03DA9E04" w14:textId="7DE007E8" w:rsidR="00464E1C" w:rsidRPr="008A6050" w:rsidRDefault="00FD241C" w:rsidP="00464E1C">
      <w:pPr>
        <w:rPr>
          <w:rFonts w:ascii="Arial" w:hAnsi="Arial" w:cs="Arial"/>
          <w:sz w:val="24"/>
          <w:szCs w:val="24"/>
        </w:rPr>
      </w:pPr>
      <w:r w:rsidRPr="008A6050">
        <w:rPr>
          <w:rFonts w:ascii="Arial" w:hAnsi="Arial" w:cs="Arial"/>
          <w:sz w:val="24"/>
          <w:szCs w:val="24"/>
        </w:rPr>
        <w:t xml:space="preserve">Strategies in Prevention, Protection and Response lay out how the Authority will operate to meet the needs of its local community through the provision of key services. These are </w:t>
      </w:r>
      <w:r w:rsidR="00427967">
        <w:rPr>
          <w:rFonts w:ascii="Arial" w:hAnsi="Arial" w:cs="Arial"/>
          <w:sz w:val="24"/>
          <w:szCs w:val="24"/>
        </w:rPr>
        <w:t xml:space="preserve">complemented </w:t>
      </w:r>
      <w:r w:rsidRPr="008A6050">
        <w:rPr>
          <w:rFonts w:ascii="Arial" w:hAnsi="Arial" w:cs="Arial"/>
          <w:sz w:val="24"/>
          <w:szCs w:val="24"/>
        </w:rPr>
        <w:t xml:space="preserve">by </w:t>
      </w:r>
      <w:r w:rsidR="00925E88">
        <w:rPr>
          <w:rFonts w:ascii="Arial" w:hAnsi="Arial" w:cs="Arial"/>
          <w:sz w:val="24"/>
          <w:szCs w:val="24"/>
        </w:rPr>
        <w:t xml:space="preserve">a range of </w:t>
      </w:r>
      <w:r w:rsidR="00427967">
        <w:rPr>
          <w:rFonts w:ascii="Arial" w:hAnsi="Arial" w:cs="Arial"/>
          <w:sz w:val="24"/>
          <w:szCs w:val="24"/>
        </w:rPr>
        <w:t xml:space="preserve">supporting </w:t>
      </w:r>
      <w:r w:rsidR="00925E88">
        <w:rPr>
          <w:rFonts w:ascii="Arial" w:hAnsi="Arial" w:cs="Arial"/>
          <w:sz w:val="24"/>
          <w:szCs w:val="24"/>
        </w:rPr>
        <w:t xml:space="preserve">strategies </w:t>
      </w:r>
      <w:r w:rsidRPr="008A6050">
        <w:rPr>
          <w:rFonts w:ascii="Arial" w:hAnsi="Arial" w:cs="Arial"/>
          <w:sz w:val="24"/>
          <w:szCs w:val="24"/>
        </w:rPr>
        <w:t>and will be reviewed and monitored at an operational level by departmental plans.</w:t>
      </w:r>
      <w:r w:rsidR="00464E1C" w:rsidRPr="008A6050">
        <w:rPr>
          <w:rFonts w:ascii="Arial" w:hAnsi="Arial" w:cs="Arial"/>
          <w:sz w:val="24"/>
          <w:szCs w:val="24"/>
        </w:rPr>
        <w:t xml:space="preserve"> </w:t>
      </w:r>
    </w:p>
    <w:p w14:paraId="60453DAD" w14:textId="77777777" w:rsidR="00464E1C" w:rsidRDefault="00464E1C" w:rsidP="00464E1C">
      <w:pPr>
        <w:rPr>
          <w:rFonts w:ascii="Arial" w:hAnsi="Arial" w:cs="Arial"/>
          <w:sz w:val="24"/>
          <w:szCs w:val="24"/>
        </w:rPr>
      </w:pPr>
    </w:p>
    <w:p w14:paraId="0B2BBE95" w14:textId="544B1A85" w:rsidR="00464E1C" w:rsidRDefault="00464E1C" w:rsidP="00464E1C">
      <w:pPr>
        <w:rPr>
          <w:rFonts w:ascii="Arial" w:hAnsi="Arial" w:cs="Arial"/>
          <w:sz w:val="24"/>
          <w:szCs w:val="24"/>
        </w:rPr>
      </w:pPr>
      <w:r w:rsidRPr="000D6639">
        <w:rPr>
          <w:rFonts w:ascii="Arial" w:hAnsi="Arial" w:cs="Arial"/>
          <w:sz w:val="24"/>
          <w:szCs w:val="24"/>
        </w:rPr>
        <w:t>The CRMP 2025-28, effective from 1 April 2025, will serve as the primary driver for the Service’s strategic priorities over the next three years.</w:t>
      </w:r>
    </w:p>
    <w:p w14:paraId="565130ED" w14:textId="77777777" w:rsidR="00FD241C" w:rsidRPr="000D756E" w:rsidRDefault="00FD241C" w:rsidP="00FD241C">
      <w:pPr>
        <w:rPr>
          <w:rFonts w:ascii="Arial" w:hAnsi="Arial" w:cs="Arial"/>
          <w:sz w:val="24"/>
          <w:szCs w:val="24"/>
        </w:rPr>
      </w:pPr>
    </w:p>
    <w:p w14:paraId="03CECF70" w14:textId="0B6C3959" w:rsidR="00FD241C" w:rsidRPr="000D756E" w:rsidRDefault="00FD241C" w:rsidP="00FD241C">
      <w:pPr>
        <w:rPr>
          <w:rFonts w:ascii="Arial" w:hAnsi="Arial" w:cs="Arial"/>
          <w:sz w:val="24"/>
          <w:szCs w:val="24"/>
        </w:rPr>
      </w:pPr>
      <w:r w:rsidRPr="000D756E">
        <w:rPr>
          <w:rFonts w:ascii="Arial" w:hAnsi="Arial" w:cs="Arial"/>
          <w:sz w:val="24"/>
          <w:szCs w:val="24"/>
        </w:rPr>
        <w:lastRenderedPageBreak/>
        <w:t xml:space="preserve">The consequences that result from the Authority’s operational activities are measured by its corporate performance indicators – this is a challenging suite of performance </w:t>
      </w:r>
      <w:r w:rsidR="00532959" w:rsidRPr="000D756E">
        <w:rPr>
          <w:rFonts w:ascii="Arial" w:hAnsi="Arial" w:cs="Arial"/>
          <w:sz w:val="24"/>
          <w:szCs w:val="24"/>
        </w:rPr>
        <w:t>measures</w:t>
      </w:r>
      <w:r w:rsidRPr="000D756E">
        <w:rPr>
          <w:rFonts w:ascii="Arial" w:hAnsi="Arial" w:cs="Arial"/>
          <w:sz w:val="24"/>
          <w:szCs w:val="24"/>
        </w:rPr>
        <w:t xml:space="preserve"> which were set up with a view to continuously improve and are reviewed and updated annually. These measures will confirm whether any changes are required to the Authority’s strategies if outputs and outcomes are not as anticipated.</w:t>
      </w:r>
    </w:p>
    <w:p w14:paraId="6BC604B9" w14:textId="77777777" w:rsidR="00C73F36" w:rsidRPr="000D756E" w:rsidRDefault="00C73F36" w:rsidP="002A7C01">
      <w:pPr>
        <w:rPr>
          <w:rFonts w:ascii="Arial" w:hAnsi="Arial" w:cs="Arial"/>
          <w:sz w:val="24"/>
          <w:szCs w:val="24"/>
        </w:rPr>
      </w:pPr>
    </w:p>
    <w:p w14:paraId="26B01369" w14:textId="77777777" w:rsidR="00C73F36" w:rsidRPr="000D756E" w:rsidRDefault="00C73F36" w:rsidP="002A7C01">
      <w:pPr>
        <w:rPr>
          <w:rFonts w:ascii="Arial" w:hAnsi="Arial" w:cs="Arial"/>
          <w:b/>
          <w:sz w:val="24"/>
          <w:szCs w:val="24"/>
        </w:rPr>
      </w:pPr>
      <w:r w:rsidRPr="000D756E">
        <w:rPr>
          <w:rFonts w:ascii="Arial" w:hAnsi="Arial" w:cs="Arial"/>
          <w:b/>
          <w:sz w:val="24"/>
          <w:szCs w:val="24"/>
        </w:rPr>
        <w:t>Our Performance</w:t>
      </w:r>
    </w:p>
    <w:p w14:paraId="4BE573B1" w14:textId="77777777" w:rsidR="00C73F36" w:rsidRPr="000D756E" w:rsidRDefault="00C73F36" w:rsidP="002A7C01">
      <w:pPr>
        <w:rPr>
          <w:rFonts w:ascii="Arial" w:hAnsi="Arial" w:cs="Arial"/>
          <w:sz w:val="24"/>
          <w:szCs w:val="24"/>
        </w:rPr>
      </w:pPr>
    </w:p>
    <w:p w14:paraId="55E0528C" w14:textId="528ACDAC" w:rsidR="00BB1D42" w:rsidRPr="00AB7454" w:rsidRDefault="000A6EC7" w:rsidP="002A7C01">
      <w:pPr>
        <w:rPr>
          <w:rFonts w:ascii="Arial" w:hAnsi="Arial" w:cs="Arial"/>
          <w:sz w:val="24"/>
          <w:szCs w:val="24"/>
        </w:rPr>
      </w:pPr>
      <w:r w:rsidRPr="00AB7454">
        <w:rPr>
          <w:rFonts w:ascii="Arial" w:hAnsi="Arial" w:cs="Arial"/>
          <w:sz w:val="24"/>
          <w:szCs w:val="24"/>
        </w:rPr>
        <w:t xml:space="preserve">The Fire Authority approved a </w:t>
      </w:r>
      <w:r w:rsidR="00E53E5D" w:rsidRPr="00AB7454">
        <w:rPr>
          <w:rFonts w:ascii="Arial" w:hAnsi="Arial" w:cs="Arial"/>
          <w:sz w:val="24"/>
          <w:szCs w:val="24"/>
        </w:rPr>
        <w:t xml:space="preserve">new </w:t>
      </w:r>
      <w:r w:rsidRPr="00AB7454">
        <w:rPr>
          <w:rFonts w:ascii="Arial" w:hAnsi="Arial" w:cs="Arial"/>
          <w:sz w:val="24"/>
          <w:szCs w:val="24"/>
        </w:rPr>
        <w:t xml:space="preserve">suite of seven corporate indicators </w:t>
      </w:r>
      <w:r w:rsidR="009058E3" w:rsidRPr="00AB7454">
        <w:rPr>
          <w:rFonts w:ascii="Arial" w:hAnsi="Arial" w:cs="Arial"/>
          <w:sz w:val="24"/>
          <w:szCs w:val="24"/>
        </w:rPr>
        <w:t>which have operated from</w:t>
      </w:r>
      <w:r w:rsidRPr="00AB7454">
        <w:rPr>
          <w:rFonts w:ascii="Arial" w:hAnsi="Arial" w:cs="Arial"/>
          <w:sz w:val="24"/>
          <w:szCs w:val="24"/>
        </w:rPr>
        <w:t xml:space="preserve"> 2021/22</w:t>
      </w:r>
      <w:r w:rsidR="00BB1D42" w:rsidRPr="00AB7454">
        <w:rPr>
          <w:rFonts w:ascii="Arial" w:hAnsi="Arial" w:cs="Arial"/>
          <w:sz w:val="24"/>
          <w:szCs w:val="24"/>
        </w:rPr>
        <w:t>, cover</w:t>
      </w:r>
      <w:r w:rsidR="00D81B17" w:rsidRPr="00AB7454">
        <w:rPr>
          <w:rFonts w:ascii="Arial" w:hAnsi="Arial" w:cs="Arial"/>
          <w:sz w:val="24"/>
          <w:szCs w:val="24"/>
        </w:rPr>
        <w:t>ing</w:t>
      </w:r>
    </w:p>
    <w:p w14:paraId="4E24E023" w14:textId="77777777" w:rsidR="00BB1D42" w:rsidRPr="000D756E" w:rsidRDefault="00BB1D42" w:rsidP="002A7C01">
      <w:pPr>
        <w:rPr>
          <w:rFonts w:ascii="Arial" w:hAnsi="Arial" w:cs="Arial"/>
          <w:sz w:val="24"/>
          <w:szCs w:val="24"/>
        </w:rPr>
      </w:pPr>
    </w:p>
    <w:p w14:paraId="26FA6BB0" w14:textId="77777777" w:rsidR="00BB1D42" w:rsidRPr="000D756E" w:rsidRDefault="00BB1D42" w:rsidP="00BD1F50">
      <w:pPr>
        <w:pStyle w:val="ListParagraph"/>
        <w:numPr>
          <w:ilvl w:val="0"/>
          <w:numId w:val="37"/>
        </w:numPr>
        <w:rPr>
          <w:rFonts w:ascii="Arial" w:hAnsi="Arial" w:cs="Arial"/>
          <w:szCs w:val="24"/>
        </w:rPr>
      </w:pPr>
      <w:r w:rsidRPr="000D756E">
        <w:rPr>
          <w:rFonts w:ascii="Arial" w:hAnsi="Arial" w:cs="Arial"/>
          <w:szCs w:val="24"/>
        </w:rPr>
        <w:t>Number of all fires</w:t>
      </w:r>
    </w:p>
    <w:p w14:paraId="0BB83EC3" w14:textId="77777777" w:rsidR="00BB1D42" w:rsidRPr="000D756E" w:rsidRDefault="00BB1D42" w:rsidP="00BD1F50">
      <w:pPr>
        <w:pStyle w:val="ListParagraph"/>
        <w:numPr>
          <w:ilvl w:val="0"/>
          <w:numId w:val="37"/>
        </w:numPr>
        <w:rPr>
          <w:rFonts w:ascii="Arial" w:hAnsi="Arial" w:cs="Arial"/>
          <w:szCs w:val="24"/>
        </w:rPr>
      </w:pPr>
      <w:r w:rsidRPr="000D756E">
        <w:rPr>
          <w:rFonts w:ascii="Arial" w:hAnsi="Arial" w:cs="Arial"/>
          <w:szCs w:val="24"/>
        </w:rPr>
        <w:t>Number of accidental dwelling fires</w:t>
      </w:r>
    </w:p>
    <w:p w14:paraId="4489F7E4" w14:textId="77777777" w:rsidR="008F317D" w:rsidRPr="000D756E" w:rsidRDefault="008F317D" w:rsidP="00BD1F50">
      <w:pPr>
        <w:pStyle w:val="ListParagraph"/>
        <w:numPr>
          <w:ilvl w:val="0"/>
          <w:numId w:val="37"/>
        </w:numPr>
        <w:rPr>
          <w:rFonts w:ascii="Arial" w:hAnsi="Arial" w:cs="Arial"/>
          <w:szCs w:val="24"/>
        </w:rPr>
      </w:pPr>
      <w:r w:rsidRPr="000D756E">
        <w:rPr>
          <w:rFonts w:ascii="Arial" w:hAnsi="Arial" w:cs="Arial"/>
          <w:szCs w:val="24"/>
        </w:rPr>
        <w:t>Number of deliberate fires</w:t>
      </w:r>
    </w:p>
    <w:p w14:paraId="72A35C67" w14:textId="77777777" w:rsidR="0084041A" w:rsidRPr="000D756E" w:rsidRDefault="008F317D" w:rsidP="00BD1F50">
      <w:pPr>
        <w:pStyle w:val="ListParagraph"/>
        <w:numPr>
          <w:ilvl w:val="0"/>
          <w:numId w:val="37"/>
        </w:numPr>
        <w:rPr>
          <w:rFonts w:ascii="Arial" w:hAnsi="Arial" w:cs="Arial"/>
          <w:szCs w:val="24"/>
        </w:rPr>
      </w:pPr>
      <w:r w:rsidRPr="000D756E">
        <w:rPr>
          <w:rFonts w:ascii="Arial" w:hAnsi="Arial" w:cs="Arial"/>
          <w:szCs w:val="24"/>
        </w:rPr>
        <w:t xml:space="preserve">Percentage of incidents </w:t>
      </w:r>
      <w:r w:rsidR="0084041A" w:rsidRPr="000D756E">
        <w:rPr>
          <w:rFonts w:ascii="Arial" w:hAnsi="Arial" w:cs="Arial"/>
          <w:szCs w:val="24"/>
        </w:rPr>
        <w:t>attended within 15 minutes</w:t>
      </w:r>
    </w:p>
    <w:p w14:paraId="730A45AA" w14:textId="77777777" w:rsidR="00E9164F" w:rsidRPr="000D756E" w:rsidRDefault="0084041A" w:rsidP="00BD1F50">
      <w:pPr>
        <w:pStyle w:val="ListParagraph"/>
        <w:numPr>
          <w:ilvl w:val="0"/>
          <w:numId w:val="37"/>
        </w:numPr>
        <w:rPr>
          <w:rFonts w:ascii="Arial" w:hAnsi="Arial" w:cs="Arial"/>
          <w:szCs w:val="24"/>
        </w:rPr>
      </w:pPr>
      <w:r w:rsidRPr="000D756E">
        <w:rPr>
          <w:rFonts w:ascii="Arial" w:hAnsi="Arial" w:cs="Arial"/>
          <w:szCs w:val="24"/>
        </w:rPr>
        <w:t>Percentage of fires contained within room of origin</w:t>
      </w:r>
    </w:p>
    <w:p w14:paraId="0550BE00" w14:textId="31040768" w:rsidR="00443F4F" w:rsidRPr="000D756E" w:rsidRDefault="00443F4F" w:rsidP="00BD1F50">
      <w:pPr>
        <w:pStyle w:val="ListParagraph"/>
        <w:numPr>
          <w:ilvl w:val="0"/>
          <w:numId w:val="37"/>
        </w:numPr>
        <w:rPr>
          <w:rFonts w:ascii="Arial" w:hAnsi="Arial" w:cs="Arial"/>
          <w:szCs w:val="24"/>
        </w:rPr>
      </w:pPr>
      <w:r w:rsidRPr="000D756E">
        <w:rPr>
          <w:rFonts w:ascii="Arial" w:hAnsi="Arial" w:cs="Arial"/>
          <w:szCs w:val="24"/>
        </w:rPr>
        <w:t>Number of fire related deaths and injuries</w:t>
      </w:r>
      <w:r w:rsidR="00882488" w:rsidRPr="000D756E">
        <w:rPr>
          <w:rFonts w:ascii="Arial" w:hAnsi="Arial" w:cs="Arial"/>
          <w:szCs w:val="24"/>
        </w:rPr>
        <w:t xml:space="preserve"> (</w:t>
      </w:r>
      <w:r w:rsidR="00A061FB" w:rsidRPr="000D756E">
        <w:rPr>
          <w:rFonts w:ascii="Arial" w:hAnsi="Arial" w:cs="Arial"/>
          <w:szCs w:val="24"/>
        </w:rPr>
        <w:t>this is a narrative indicator with no tolerance)</w:t>
      </w:r>
    </w:p>
    <w:p w14:paraId="71F8186E" w14:textId="37A788F0" w:rsidR="00443F4F" w:rsidRPr="000D756E" w:rsidRDefault="00882488" w:rsidP="00BD1F50">
      <w:pPr>
        <w:pStyle w:val="ListParagraph"/>
        <w:numPr>
          <w:ilvl w:val="0"/>
          <w:numId w:val="37"/>
        </w:numPr>
        <w:rPr>
          <w:rFonts w:ascii="Arial" w:hAnsi="Arial" w:cs="Arial"/>
          <w:szCs w:val="24"/>
        </w:rPr>
      </w:pPr>
      <w:r w:rsidRPr="000D756E">
        <w:rPr>
          <w:rFonts w:ascii="Arial" w:hAnsi="Arial" w:cs="Arial"/>
          <w:szCs w:val="24"/>
        </w:rPr>
        <w:t xml:space="preserve">Number of fires in regulated buildings </w:t>
      </w:r>
      <w:r w:rsidR="00A061FB" w:rsidRPr="000D756E">
        <w:rPr>
          <w:rFonts w:ascii="Arial" w:hAnsi="Arial" w:cs="Arial"/>
          <w:szCs w:val="24"/>
        </w:rPr>
        <w:t xml:space="preserve">(this </w:t>
      </w:r>
      <w:r w:rsidR="007A5420" w:rsidRPr="000D756E">
        <w:rPr>
          <w:rFonts w:ascii="Arial" w:hAnsi="Arial" w:cs="Arial"/>
          <w:szCs w:val="24"/>
        </w:rPr>
        <w:t>was</w:t>
      </w:r>
      <w:r w:rsidR="00A061FB" w:rsidRPr="000D756E">
        <w:rPr>
          <w:rFonts w:ascii="Arial" w:hAnsi="Arial" w:cs="Arial"/>
          <w:szCs w:val="24"/>
        </w:rPr>
        <w:t xml:space="preserve"> a new indicator which </w:t>
      </w:r>
      <w:r w:rsidR="007A5420" w:rsidRPr="000D756E">
        <w:rPr>
          <w:rFonts w:ascii="Arial" w:hAnsi="Arial" w:cs="Arial"/>
          <w:szCs w:val="24"/>
        </w:rPr>
        <w:t>had a</w:t>
      </w:r>
      <w:r w:rsidR="00A061FB" w:rsidRPr="000D756E">
        <w:rPr>
          <w:rFonts w:ascii="Arial" w:hAnsi="Arial" w:cs="Arial"/>
          <w:szCs w:val="24"/>
        </w:rPr>
        <w:t xml:space="preserve"> tolerance set from </w:t>
      </w:r>
      <w:r w:rsidR="004A4BEE" w:rsidRPr="000D756E">
        <w:rPr>
          <w:rFonts w:ascii="Arial" w:hAnsi="Arial" w:cs="Arial"/>
          <w:szCs w:val="24"/>
        </w:rPr>
        <w:t>2022/23)</w:t>
      </w:r>
    </w:p>
    <w:p w14:paraId="5D3BB1D2" w14:textId="77777777" w:rsidR="00460E71" w:rsidRPr="000D756E" w:rsidRDefault="00460E71" w:rsidP="00460E71">
      <w:pPr>
        <w:rPr>
          <w:rFonts w:ascii="Arial" w:hAnsi="Arial" w:cs="Arial"/>
          <w:szCs w:val="24"/>
        </w:rPr>
      </w:pPr>
    </w:p>
    <w:p w14:paraId="4D2487BB" w14:textId="1330698E" w:rsidR="005A6984" w:rsidRPr="000D756E" w:rsidRDefault="00460E71" w:rsidP="005A6984">
      <w:pPr>
        <w:rPr>
          <w:rFonts w:ascii="Arial" w:hAnsi="Arial" w:cs="Arial"/>
          <w:sz w:val="24"/>
          <w:szCs w:val="24"/>
        </w:rPr>
      </w:pPr>
      <w:r w:rsidRPr="000D756E">
        <w:rPr>
          <w:rFonts w:ascii="Arial" w:hAnsi="Arial" w:cs="Arial"/>
          <w:sz w:val="24"/>
          <w:szCs w:val="24"/>
        </w:rPr>
        <w:t xml:space="preserve">All indicators with a set tolerance level </w:t>
      </w:r>
      <w:r w:rsidR="000B5427" w:rsidRPr="000D756E">
        <w:rPr>
          <w:rFonts w:ascii="Arial" w:hAnsi="Arial" w:cs="Arial"/>
          <w:sz w:val="24"/>
          <w:szCs w:val="24"/>
        </w:rPr>
        <w:t xml:space="preserve">achieved </w:t>
      </w:r>
      <w:r w:rsidR="0073577F" w:rsidRPr="000D756E">
        <w:rPr>
          <w:rFonts w:ascii="Arial" w:hAnsi="Arial" w:cs="Arial"/>
          <w:sz w:val="24"/>
          <w:szCs w:val="24"/>
        </w:rPr>
        <w:t>within those set tolerances</w:t>
      </w:r>
      <w:r w:rsidR="00352C2F" w:rsidRPr="000D756E">
        <w:rPr>
          <w:rFonts w:ascii="Arial" w:hAnsi="Arial" w:cs="Arial"/>
          <w:sz w:val="24"/>
          <w:szCs w:val="24"/>
        </w:rPr>
        <w:t>.</w:t>
      </w:r>
    </w:p>
    <w:p w14:paraId="0D77E8D4" w14:textId="77777777" w:rsidR="00596502" w:rsidRPr="000D756E" w:rsidRDefault="00596502" w:rsidP="002A7C01">
      <w:pPr>
        <w:rPr>
          <w:rFonts w:ascii="Arial" w:hAnsi="Arial" w:cs="Arial"/>
          <w:b/>
          <w:sz w:val="24"/>
          <w:szCs w:val="24"/>
        </w:rPr>
      </w:pPr>
    </w:p>
    <w:p w14:paraId="4C2BC2F7" w14:textId="77777777" w:rsidR="00596502" w:rsidRPr="000D756E" w:rsidRDefault="00596502" w:rsidP="002A7C01">
      <w:pPr>
        <w:rPr>
          <w:rFonts w:ascii="Arial" w:hAnsi="Arial" w:cs="Arial"/>
          <w:b/>
          <w:sz w:val="26"/>
          <w:szCs w:val="26"/>
        </w:rPr>
      </w:pPr>
      <w:r w:rsidRPr="000D756E">
        <w:rPr>
          <w:rFonts w:ascii="Arial" w:hAnsi="Arial" w:cs="Arial"/>
          <w:b/>
          <w:sz w:val="26"/>
          <w:szCs w:val="26"/>
        </w:rPr>
        <w:t>Financial Performance</w:t>
      </w:r>
      <w:r w:rsidR="00E6514A" w:rsidRPr="000D756E">
        <w:rPr>
          <w:rFonts w:ascii="Arial" w:hAnsi="Arial" w:cs="Arial"/>
          <w:b/>
          <w:sz w:val="26"/>
          <w:szCs w:val="26"/>
        </w:rPr>
        <w:t xml:space="preserve">  </w:t>
      </w:r>
    </w:p>
    <w:p w14:paraId="45E34F2D" w14:textId="77777777" w:rsidR="00596502" w:rsidRPr="000D756E" w:rsidRDefault="00596502" w:rsidP="002A7C01">
      <w:pPr>
        <w:rPr>
          <w:rFonts w:ascii="Arial" w:hAnsi="Arial" w:cs="Arial"/>
          <w:b/>
          <w:sz w:val="24"/>
          <w:szCs w:val="24"/>
        </w:rPr>
      </w:pPr>
    </w:p>
    <w:p w14:paraId="348E30F7" w14:textId="77777777" w:rsidR="00390588" w:rsidRDefault="00390588" w:rsidP="00390588">
      <w:pPr>
        <w:rPr>
          <w:rFonts w:ascii="Arial" w:hAnsi="Arial" w:cs="Arial"/>
          <w:sz w:val="24"/>
          <w:szCs w:val="24"/>
        </w:rPr>
      </w:pPr>
      <w:r>
        <w:rPr>
          <w:rFonts w:ascii="Arial" w:hAnsi="Arial" w:cs="Arial"/>
          <w:sz w:val="24"/>
          <w:szCs w:val="24"/>
        </w:rPr>
        <w:t>The Fire Authority has a history of successful financial planning and has navigated through periods of major public spending cuts, and the uncertainty of single year funding settlements. Its strategy has combined revenue budget reductions, a long term view on precept, and effective use of reserves and surplus funds, to ensure financial sustainability and value for money for the community.</w:t>
      </w:r>
    </w:p>
    <w:p w14:paraId="4DF94C5F" w14:textId="77777777" w:rsidR="00390588" w:rsidRDefault="00390588" w:rsidP="00390588">
      <w:pPr>
        <w:rPr>
          <w:rFonts w:ascii="Arial" w:hAnsi="Arial" w:cs="Arial"/>
          <w:sz w:val="24"/>
          <w:szCs w:val="24"/>
        </w:rPr>
      </w:pPr>
    </w:p>
    <w:p w14:paraId="6FF3ADC7" w14:textId="2B0A07E6" w:rsidR="000443DD" w:rsidRPr="0039168B" w:rsidRDefault="00390588" w:rsidP="000443DD">
      <w:pPr>
        <w:rPr>
          <w:rFonts w:ascii="Arial" w:hAnsi="Arial" w:cs="Arial"/>
          <w:color w:val="FF0000"/>
          <w:sz w:val="24"/>
          <w:szCs w:val="24"/>
        </w:rPr>
      </w:pPr>
      <w:r>
        <w:rPr>
          <w:rFonts w:ascii="Arial" w:hAnsi="Arial" w:cs="Arial"/>
          <w:sz w:val="24"/>
          <w:szCs w:val="24"/>
        </w:rPr>
        <w:t>The Authority’s revenue budget and capital programme should reflect and quantify its vision of Making Shropshire Safer, and provide the people, skills and resources required to deliver an efficient and effective fire and rescue service to the people of Shropshire.</w:t>
      </w:r>
    </w:p>
    <w:p w14:paraId="16FDD4FA" w14:textId="77777777" w:rsidR="000A62D5" w:rsidRPr="0039168B" w:rsidRDefault="000A62D5" w:rsidP="000A62D5">
      <w:pPr>
        <w:rPr>
          <w:rFonts w:ascii="Arial" w:hAnsi="Arial" w:cs="Arial"/>
          <w:color w:val="FF0000"/>
          <w:sz w:val="24"/>
          <w:szCs w:val="24"/>
        </w:rPr>
      </w:pPr>
    </w:p>
    <w:p w14:paraId="358D0C49" w14:textId="3ED9AA65" w:rsidR="00437CE3" w:rsidRPr="00D5528B" w:rsidRDefault="00D770DA" w:rsidP="00437CE3">
      <w:pPr>
        <w:rPr>
          <w:rFonts w:ascii="Arial" w:hAnsi="Arial" w:cs="Arial"/>
          <w:bCs/>
          <w:sz w:val="24"/>
          <w:szCs w:val="24"/>
        </w:rPr>
      </w:pPr>
      <w:r w:rsidRPr="00D5528B">
        <w:rPr>
          <w:rFonts w:ascii="Arial" w:hAnsi="Arial" w:cs="Arial"/>
          <w:bCs/>
          <w:sz w:val="24"/>
          <w:szCs w:val="24"/>
        </w:rPr>
        <w:t>During the summer of 2022, prior to the beginning of the budget setting process for 2023/24 and later years, national negotiations had begun for firefighters and non</w:t>
      </w:r>
      <w:r w:rsidR="1164EA56" w:rsidRPr="00D5528B">
        <w:rPr>
          <w:rFonts w:ascii="Arial" w:hAnsi="Arial" w:cs="Arial"/>
          <w:sz w:val="24"/>
          <w:szCs w:val="24"/>
        </w:rPr>
        <w:t>-</w:t>
      </w:r>
      <w:r w:rsidRPr="00D5528B">
        <w:rPr>
          <w:rFonts w:ascii="Arial" w:hAnsi="Arial" w:cs="Arial"/>
          <w:bCs/>
          <w:sz w:val="24"/>
          <w:szCs w:val="24"/>
        </w:rPr>
        <w:t xml:space="preserve">operational staff pay awards, which were in excess of the contingencies built into the budget for 2022/23 and future years. </w:t>
      </w:r>
    </w:p>
    <w:p w14:paraId="68149BC6" w14:textId="77777777" w:rsidR="00676823" w:rsidRPr="00D5528B" w:rsidRDefault="00676823" w:rsidP="006A5C6D">
      <w:pPr>
        <w:rPr>
          <w:rFonts w:ascii="Arial" w:hAnsi="Arial" w:cs="Arial"/>
          <w:bCs/>
          <w:sz w:val="24"/>
          <w:szCs w:val="24"/>
        </w:rPr>
      </w:pPr>
    </w:p>
    <w:p w14:paraId="5E43597D" w14:textId="77777777" w:rsidR="00F71C42" w:rsidRPr="00D5528B" w:rsidRDefault="00F71C42" w:rsidP="00F71C42">
      <w:pPr>
        <w:rPr>
          <w:rFonts w:ascii="Arial" w:hAnsi="Arial" w:cs="Arial"/>
          <w:sz w:val="24"/>
          <w:szCs w:val="24"/>
        </w:rPr>
      </w:pPr>
      <w:r w:rsidRPr="00D5528B">
        <w:rPr>
          <w:rFonts w:ascii="Arial" w:hAnsi="Arial" w:cs="Arial"/>
          <w:sz w:val="24"/>
          <w:szCs w:val="24"/>
        </w:rPr>
        <w:t>Following protracted negotiations, industrial action by members of the Fire Brigades Union was averted with a final pay offer of 7% for 2022/23 and 5% for 2023/24.</w:t>
      </w:r>
    </w:p>
    <w:p w14:paraId="4AB04EFD" w14:textId="314561E1" w:rsidR="00F71C42" w:rsidRPr="00D5528B" w:rsidRDefault="00F71C42" w:rsidP="00F71C42">
      <w:pPr>
        <w:rPr>
          <w:rFonts w:ascii="Arial" w:hAnsi="Arial" w:cs="Arial"/>
          <w:sz w:val="24"/>
          <w:szCs w:val="24"/>
        </w:rPr>
      </w:pPr>
      <w:r w:rsidRPr="00D5528B">
        <w:rPr>
          <w:rFonts w:ascii="Arial" w:hAnsi="Arial" w:cs="Arial"/>
          <w:sz w:val="24"/>
          <w:szCs w:val="24"/>
        </w:rPr>
        <w:t xml:space="preserve">In order to fund the pay awards, </w:t>
      </w:r>
      <w:r w:rsidR="0074057D" w:rsidRPr="00D5528B">
        <w:rPr>
          <w:rFonts w:ascii="Arial" w:hAnsi="Arial" w:cs="Arial"/>
          <w:sz w:val="24"/>
          <w:szCs w:val="24"/>
        </w:rPr>
        <w:t xml:space="preserve">2023/24 </w:t>
      </w:r>
      <w:r w:rsidR="00246A5B" w:rsidRPr="00D5528B">
        <w:rPr>
          <w:rFonts w:ascii="Arial" w:hAnsi="Arial" w:cs="Arial"/>
          <w:sz w:val="24"/>
          <w:szCs w:val="24"/>
        </w:rPr>
        <w:t xml:space="preserve">growth </w:t>
      </w:r>
      <w:r w:rsidR="00301261" w:rsidRPr="00D5528B">
        <w:rPr>
          <w:rFonts w:ascii="Arial" w:hAnsi="Arial" w:cs="Arial"/>
          <w:sz w:val="24"/>
          <w:szCs w:val="24"/>
        </w:rPr>
        <w:t>intended to fund outcomes of the Service’s strategic reviews was removed</w:t>
      </w:r>
      <w:r w:rsidR="0074057D" w:rsidRPr="00D5528B">
        <w:rPr>
          <w:rFonts w:ascii="Arial" w:hAnsi="Arial" w:cs="Arial"/>
          <w:sz w:val="24"/>
          <w:szCs w:val="24"/>
        </w:rPr>
        <w:t>.</w:t>
      </w:r>
    </w:p>
    <w:p w14:paraId="2BB554EC" w14:textId="77777777" w:rsidR="0074057D" w:rsidRPr="00D5528B" w:rsidRDefault="0074057D" w:rsidP="00F71C42">
      <w:pPr>
        <w:rPr>
          <w:rFonts w:ascii="Arial" w:hAnsi="Arial" w:cs="Arial"/>
          <w:sz w:val="24"/>
          <w:szCs w:val="24"/>
        </w:rPr>
      </w:pPr>
    </w:p>
    <w:p w14:paraId="0F39815C" w14:textId="77777777" w:rsidR="00F33C25" w:rsidRDefault="00F33C25" w:rsidP="00F33C25">
      <w:pPr>
        <w:rPr>
          <w:rFonts w:ascii="Arial" w:hAnsi="Arial" w:cs="Arial"/>
          <w:bCs/>
          <w:sz w:val="24"/>
          <w:szCs w:val="24"/>
        </w:rPr>
      </w:pPr>
      <w:r>
        <w:rPr>
          <w:rFonts w:ascii="Arial" w:hAnsi="Arial" w:cs="Arial"/>
          <w:bCs/>
          <w:sz w:val="24"/>
          <w:szCs w:val="24"/>
        </w:rPr>
        <w:t xml:space="preserve">The budget setting process for 2024/25 and future years focused on potential reintroduction of this growth, whilst continuing to navigate firefighter and support staff pay, and also reviewed efficiencies, following the submission of the Service’s Efficiency and Productivity Plan to the Home Office. </w:t>
      </w:r>
    </w:p>
    <w:p w14:paraId="7DAA254C" w14:textId="77777777" w:rsidR="0074057D" w:rsidRPr="0039168B" w:rsidRDefault="0074057D" w:rsidP="00F71C42">
      <w:pPr>
        <w:rPr>
          <w:rFonts w:ascii="Arial" w:hAnsi="Arial" w:cs="Arial"/>
          <w:color w:val="FF0000"/>
          <w:sz w:val="24"/>
          <w:szCs w:val="24"/>
        </w:rPr>
      </w:pPr>
    </w:p>
    <w:p w14:paraId="68D31181" w14:textId="77777777" w:rsidR="00F71C42" w:rsidRPr="0039168B" w:rsidRDefault="00F71C42" w:rsidP="00F71C42">
      <w:pPr>
        <w:rPr>
          <w:rFonts w:ascii="Arial" w:hAnsi="Arial" w:cs="Arial"/>
          <w:color w:val="FF0000"/>
          <w:sz w:val="24"/>
          <w:szCs w:val="24"/>
        </w:rPr>
      </w:pPr>
    </w:p>
    <w:p w14:paraId="668F2837" w14:textId="77777777" w:rsidR="00465393" w:rsidRDefault="00465393" w:rsidP="00465393">
      <w:pPr>
        <w:rPr>
          <w:rFonts w:ascii="Arial" w:hAnsi="Arial" w:cs="Arial"/>
          <w:b/>
          <w:sz w:val="24"/>
          <w:szCs w:val="24"/>
        </w:rPr>
      </w:pPr>
      <w:r>
        <w:rPr>
          <w:rFonts w:ascii="Arial" w:hAnsi="Arial" w:cs="Arial"/>
          <w:b/>
          <w:sz w:val="24"/>
          <w:szCs w:val="24"/>
        </w:rPr>
        <w:t>Efficiency Review</w:t>
      </w:r>
    </w:p>
    <w:p w14:paraId="0EDEF334" w14:textId="77777777" w:rsidR="00465393" w:rsidRDefault="00465393" w:rsidP="00465393">
      <w:pPr>
        <w:rPr>
          <w:rFonts w:ascii="Arial" w:hAnsi="Arial" w:cs="Arial"/>
          <w:b/>
          <w:sz w:val="24"/>
          <w:szCs w:val="24"/>
        </w:rPr>
      </w:pPr>
    </w:p>
    <w:p w14:paraId="1D06B327" w14:textId="77777777" w:rsidR="00465393" w:rsidRDefault="00465393" w:rsidP="00465393">
      <w:pPr>
        <w:rPr>
          <w:rFonts w:ascii="Arial" w:hAnsi="Arial" w:cs="Arial"/>
          <w:sz w:val="24"/>
          <w:szCs w:val="24"/>
        </w:rPr>
      </w:pPr>
      <w:r>
        <w:rPr>
          <w:rFonts w:ascii="Arial" w:hAnsi="Arial" w:cs="Arial"/>
          <w:sz w:val="24"/>
          <w:szCs w:val="24"/>
        </w:rPr>
        <w:t>The Fire Authority approved a strategic efficiency and productivity review as part of the Service Plan in 2022/23 and acknowledged that this area would form a part of all strategic reviews being undertaken. It was agreed that the review should be based around the requirements of the Service’s Efficiency and Productivity Plan, submitted to the Home Office in March 2023:</w:t>
      </w:r>
    </w:p>
    <w:p w14:paraId="3E445DE3" w14:textId="77777777" w:rsidR="00355064" w:rsidRDefault="00355064" w:rsidP="00465393">
      <w:pPr>
        <w:rPr>
          <w:rFonts w:ascii="Arial" w:hAnsi="Arial" w:cs="Arial"/>
          <w:sz w:val="24"/>
          <w:szCs w:val="24"/>
        </w:rPr>
      </w:pPr>
    </w:p>
    <w:p w14:paraId="2513AB99" w14:textId="77777777" w:rsidR="00465393" w:rsidRDefault="00465393" w:rsidP="00465393">
      <w:pPr>
        <w:ind w:left="360"/>
        <w:rPr>
          <w:rFonts w:ascii="Arial" w:hAnsi="Arial" w:cs="Arial"/>
          <w:sz w:val="24"/>
          <w:szCs w:val="24"/>
        </w:rPr>
      </w:pPr>
      <w:r>
        <w:rPr>
          <w:rFonts w:ascii="Arial" w:hAnsi="Arial" w:cs="Arial"/>
          <w:sz w:val="24"/>
          <w:szCs w:val="24"/>
        </w:rPr>
        <w:t xml:space="preserve"> • Efficiencies totalling 2% of non-pay budgets, and</w:t>
      </w:r>
    </w:p>
    <w:p w14:paraId="7EAACA8B" w14:textId="77777777" w:rsidR="00465393" w:rsidRDefault="00465393" w:rsidP="00465393">
      <w:pPr>
        <w:ind w:left="360"/>
      </w:pPr>
      <w:r>
        <w:rPr>
          <w:rFonts w:ascii="Arial" w:hAnsi="Arial" w:cs="Arial"/>
          <w:sz w:val="24"/>
          <w:szCs w:val="24"/>
        </w:rPr>
        <w:t xml:space="preserve"> • Productivity improvements of 3% by the end of 2024/25.</w:t>
      </w:r>
      <w:r>
        <w:t xml:space="preserve"> </w:t>
      </w:r>
    </w:p>
    <w:p w14:paraId="2E1E9BE2" w14:textId="77777777" w:rsidR="00355064" w:rsidRDefault="00355064" w:rsidP="00465393">
      <w:pPr>
        <w:ind w:left="360"/>
        <w:rPr>
          <w:rFonts w:ascii="Arial" w:hAnsi="Arial" w:cs="Arial"/>
          <w:sz w:val="24"/>
          <w:szCs w:val="24"/>
        </w:rPr>
      </w:pPr>
    </w:p>
    <w:p w14:paraId="79293F03" w14:textId="77777777" w:rsidR="00465393" w:rsidRDefault="00465393" w:rsidP="00465393">
      <w:pPr>
        <w:rPr>
          <w:rFonts w:ascii="Arial" w:hAnsi="Arial" w:cs="Arial"/>
          <w:sz w:val="24"/>
          <w:szCs w:val="24"/>
        </w:rPr>
      </w:pPr>
      <w:r>
        <w:rPr>
          <w:rFonts w:ascii="Arial" w:hAnsi="Arial" w:cs="Arial"/>
          <w:sz w:val="24"/>
          <w:szCs w:val="24"/>
        </w:rPr>
        <w:t>It would be completed in time to inform the initial budget report to Strategy &amp; Resources Committee in November 2023.</w:t>
      </w:r>
    </w:p>
    <w:p w14:paraId="5A0168CE" w14:textId="77777777" w:rsidR="00355064" w:rsidRDefault="00355064" w:rsidP="00465393">
      <w:pPr>
        <w:rPr>
          <w:rFonts w:ascii="Arial" w:hAnsi="Arial" w:cs="Arial"/>
          <w:bCs/>
          <w:sz w:val="24"/>
          <w:szCs w:val="24"/>
        </w:rPr>
      </w:pPr>
    </w:p>
    <w:p w14:paraId="3E63547F" w14:textId="77777777" w:rsidR="00465393" w:rsidRDefault="00465393" w:rsidP="00465393">
      <w:pPr>
        <w:rPr>
          <w:rFonts w:ascii="Arial" w:hAnsi="Arial" w:cs="Arial"/>
          <w:sz w:val="24"/>
          <w:szCs w:val="24"/>
        </w:rPr>
      </w:pPr>
      <w:r>
        <w:rPr>
          <w:rFonts w:ascii="Arial" w:hAnsi="Arial" w:cs="Arial"/>
          <w:sz w:val="24"/>
          <w:szCs w:val="24"/>
        </w:rPr>
        <w:t xml:space="preserve">Reviews took place in August and September 2023 and involved a wide range of staff from a number of departments. The scope and requirements of the project were laid out and officers were able to provide lots of examples where efficiencies had been identified, but perhaps not recorded. </w:t>
      </w:r>
    </w:p>
    <w:p w14:paraId="22E0A964" w14:textId="77777777" w:rsidR="00D65A5B" w:rsidRDefault="00D65A5B" w:rsidP="00465393">
      <w:pPr>
        <w:rPr>
          <w:rFonts w:ascii="Arial" w:hAnsi="Arial" w:cs="Arial"/>
          <w:sz w:val="24"/>
          <w:szCs w:val="24"/>
        </w:rPr>
      </w:pPr>
    </w:p>
    <w:p w14:paraId="2AE69F42" w14:textId="2C6EF897" w:rsidR="00465393" w:rsidRDefault="00465393" w:rsidP="00465393">
      <w:pPr>
        <w:rPr>
          <w:rFonts w:ascii="Arial" w:hAnsi="Arial" w:cs="Arial"/>
          <w:sz w:val="24"/>
          <w:szCs w:val="24"/>
        </w:rPr>
      </w:pPr>
      <w:r>
        <w:rPr>
          <w:rFonts w:ascii="Arial" w:hAnsi="Arial" w:cs="Arial"/>
          <w:sz w:val="24"/>
          <w:szCs w:val="24"/>
        </w:rPr>
        <w:t xml:space="preserve">Some of the efficiency savings had already been invested into other areas, and others were available to divert into other service priorities. </w:t>
      </w:r>
    </w:p>
    <w:p w14:paraId="6C786816" w14:textId="77777777" w:rsidR="00465393" w:rsidRDefault="00465393" w:rsidP="00465393">
      <w:pPr>
        <w:ind w:left="360"/>
        <w:rPr>
          <w:rFonts w:ascii="Arial" w:hAnsi="Arial" w:cs="Arial"/>
          <w:sz w:val="24"/>
          <w:szCs w:val="24"/>
        </w:rPr>
      </w:pPr>
    </w:p>
    <w:p w14:paraId="17BC941A" w14:textId="033BDD88" w:rsidR="00465393" w:rsidRDefault="003D2178" w:rsidP="00465393">
      <w:pPr>
        <w:rPr>
          <w:rFonts w:ascii="Arial" w:hAnsi="Arial" w:cs="Arial"/>
          <w:sz w:val="24"/>
          <w:szCs w:val="24"/>
        </w:rPr>
      </w:pPr>
      <w:r>
        <w:rPr>
          <w:rFonts w:ascii="Arial" w:hAnsi="Arial" w:cs="Arial"/>
          <w:sz w:val="24"/>
          <w:szCs w:val="24"/>
        </w:rPr>
        <w:t xml:space="preserve">Efficiencies totalling £210,000 </w:t>
      </w:r>
      <w:r w:rsidR="00081400">
        <w:rPr>
          <w:rFonts w:ascii="Arial" w:hAnsi="Arial" w:cs="Arial"/>
          <w:sz w:val="24"/>
          <w:szCs w:val="24"/>
        </w:rPr>
        <w:t>w</w:t>
      </w:r>
      <w:r w:rsidR="00465393">
        <w:rPr>
          <w:rFonts w:ascii="Arial" w:hAnsi="Arial" w:cs="Arial"/>
          <w:sz w:val="24"/>
          <w:szCs w:val="24"/>
        </w:rPr>
        <w:t>ere recognised and removed from the revenue budget</w:t>
      </w:r>
      <w:r w:rsidR="00081400">
        <w:rPr>
          <w:rFonts w:ascii="Arial" w:hAnsi="Arial" w:cs="Arial"/>
          <w:sz w:val="24"/>
          <w:szCs w:val="24"/>
        </w:rPr>
        <w:t>.</w:t>
      </w:r>
      <w:r w:rsidR="007A215C">
        <w:rPr>
          <w:rFonts w:ascii="Arial" w:hAnsi="Arial" w:cs="Arial"/>
          <w:sz w:val="24"/>
          <w:szCs w:val="24"/>
        </w:rPr>
        <w:t xml:space="preserve"> </w:t>
      </w:r>
      <w:r w:rsidR="00465393">
        <w:rPr>
          <w:rFonts w:ascii="Arial" w:hAnsi="Arial" w:cs="Arial"/>
          <w:sz w:val="24"/>
          <w:szCs w:val="24"/>
        </w:rPr>
        <w:t xml:space="preserve">These were reported to Strategy &amp; Resources Committee as part of the first budget setting paper for 2024/25. </w:t>
      </w:r>
      <w:r w:rsidR="002E5FF9">
        <w:rPr>
          <w:rFonts w:ascii="Arial" w:hAnsi="Arial" w:cs="Arial"/>
          <w:sz w:val="24"/>
          <w:szCs w:val="24"/>
        </w:rPr>
        <w:t>T</w:t>
      </w:r>
      <w:r w:rsidR="00465393">
        <w:rPr>
          <w:rFonts w:ascii="Arial" w:hAnsi="Arial" w:cs="Arial"/>
          <w:sz w:val="24"/>
          <w:szCs w:val="24"/>
        </w:rPr>
        <w:t>he Service surpassed its total of 3% efficiencies by the end of the Spending Review.</w:t>
      </w:r>
    </w:p>
    <w:p w14:paraId="7B876207" w14:textId="77777777" w:rsidR="00D24CFA" w:rsidRDefault="00D24CFA" w:rsidP="005B3B5B">
      <w:pPr>
        <w:rPr>
          <w:rFonts w:ascii="Arial" w:hAnsi="Arial" w:cs="Arial"/>
          <w:b/>
          <w:bCs/>
          <w:sz w:val="24"/>
          <w:szCs w:val="24"/>
        </w:rPr>
      </w:pPr>
    </w:p>
    <w:p w14:paraId="43C29B9A" w14:textId="77777777" w:rsidR="005B3B5B" w:rsidRDefault="005B3B5B" w:rsidP="005B3B5B">
      <w:pPr>
        <w:rPr>
          <w:rFonts w:ascii="Arial" w:hAnsi="Arial" w:cs="Arial"/>
          <w:sz w:val="24"/>
          <w:szCs w:val="24"/>
        </w:rPr>
      </w:pPr>
      <w:r>
        <w:rPr>
          <w:rFonts w:ascii="Arial" w:hAnsi="Arial" w:cs="Arial"/>
          <w:sz w:val="24"/>
          <w:szCs w:val="24"/>
        </w:rPr>
        <w:t>On 22 November 2023, the Chancellor of the Exchequer delivered a speech outlining the Autumn Statement for 2024/25 and future years, with the following headlines:</w:t>
      </w:r>
    </w:p>
    <w:p w14:paraId="1BD83F2F" w14:textId="77777777" w:rsidR="005B3B5B" w:rsidRDefault="005B3B5B" w:rsidP="005B3B5B">
      <w:pPr>
        <w:pStyle w:val="ListParagraph"/>
        <w:numPr>
          <w:ilvl w:val="0"/>
          <w:numId w:val="71"/>
        </w:numPr>
        <w:contextualSpacing/>
        <w:rPr>
          <w:rFonts w:ascii="Arial" w:hAnsi="Arial" w:cs="Arial"/>
          <w:szCs w:val="24"/>
        </w:rPr>
      </w:pPr>
      <w:r>
        <w:rPr>
          <w:rFonts w:ascii="Arial" w:hAnsi="Arial" w:cs="Arial"/>
        </w:rPr>
        <w:t>No additional funding for local government although an inflationary increase based on September 2023 CPI (6.7%) was anticipated</w:t>
      </w:r>
    </w:p>
    <w:p w14:paraId="51FCB88D" w14:textId="77777777" w:rsidR="005B3B5B" w:rsidRDefault="005B3B5B" w:rsidP="005B3B5B">
      <w:pPr>
        <w:pStyle w:val="ListParagraph"/>
        <w:numPr>
          <w:ilvl w:val="0"/>
          <w:numId w:val="71"/>
        </w:numPr>
        <w:contextualSpacing/>
        <w:rPr>
          <w:rFonts w:ascii="Arial" w:hAnsi="Arial" w:cs="Arial"/>
        </w:rPr>
      </w:pPr>
      <w:r>
        <w:rPr>
          <w:rFonts w:ascii="Arial" w:hAnsi="Arial" w:cs="Arial"/>
        </w:rPr>
        <w:t>Inflation expected to fall to 2% by 2025, then falling gradually towards year 3</w:t>
      </w:r>
    </w:p>
    <w:p w14:paraId="6740E830" w14:textId="77777777" w:rsidR="005B3B5B" w:rsidRDefault="005B3B5B" w:rsidP="005B3B5B">
      <w:pPr>
        <w:pStyle w:val="ListParagraph"/>
        <w:numPr>
          <w:ilvl w:val="0"/>
          <w:numId w:val="71"/>
        </w:numPr>
        <w:contextualSpacing/>
        <w:rPr>
          <w:rFonts w:ascii="Arial" w:hAnsi="Arial" w:cs="Arial"/>
        </w:rPr>
      </w:pPr>
      <w:r>
        <w:rPr>
          <w:rFonts w:ascii="Arial" w:hAnsi="Arial" w:cs="Arial"/>
        </w:rPr>
        <w:t>Council tax flexibilities for local authorities set at 2.99%, although no announcement had been made about the Fire sector.</w:t>
      </w:r>
    </w:p>
    <w:p w14:paraId="40187A04" w14:textId="77777777" w:rsidR="005B3B5B" w:rsidRDefault="005B3B5B" w:rsidP="005B3B5B">
      <w:pPr>
        <w:pStyle w:val="ListParagraph"/>
        <w:ind w:left="1080"/>
        <w:rPr>
          <w:rFonts w:ascii="Arial" w:hAnsi="Arial" w:cs="Arial"/>
        </w:rPr>
      </w:pPr>
    </w:p>
    <w:p w14:paraId="060DB99B" w14:textId="77777777" w:rsidR="005B3B5B" w:rsidRDefault="005B3B5B" w:rsidP="005B3B5B">
      <w:pPr>
        <w:rPr>
          <w:rFonts w:ascii="Arial" w:hAnsi="Arial" w:cs="Arial"/>
          <w:sz w:val="24"/>
          <w:szCs w:val="24"/>
        </w:rPr>
      </w:pPr>
      <w:r>
        <w:rPr>
          <w:rFonts w:ascii="Arial" w:hAnsi="Arial" w:cs="Arial"/>
          <w:sz w:val="24"/>
          <w:szCs w:val="24"/>
        </w:rPr>
        <w:t>The Fire sector and Government departments continued to lobby the Treasury for a precept increase of £5 or 2%, whichever was higher. This was in line with referendum principles that were set in 2023/24 for fire authorities.</w:t>
      </w:r>
    </w:p>
    <w:p w14:paraId="57963417" w14:textId="77777777" w:rsidR="005B3B5B" w:rsidRDefault="005B3B5B" w:rsidP="005B3B5B">
      <w:pPr>
        <w:pStyle w:val="ListParagraph"/>
        <w:ind w:left="1080"/>
        <w:rPr>
          <w:rFonts w:ascii="Arial" w:hAnsi="Arial" w:cs="Arial"/>
          <w:szCs w:val="24"/>
        </w:rPr>
      </w:pPr>
    </w:p>
    <w:p w14:paraId="3973920F" w14:textId="00A54C02" w:rsidR="005B3B5B" w:rsidRDefault="005B3B5B" w:rsidP="005B3B5B">
      <w:pPr>
        <w:rPr>
          <w:rFonts w:ascii="Arial" w:hAnsi="Arial" w:cs="Arial"/>
          <w:sz w:val="24"/>
          <w:szCs w:val="24"/>
        </w:rPr>
      </w:pPr>
      <w:r>
        <w:rPr>
          <w:rFonts w:ascii="Arial" w:hAnsi="Arial" w:cs="Arial"/>
          <w:sz w:val="24"/>
          <w:szCs w:val="24"/>
        </w:rPr>
        <w:t>The government produced its local government finance policy statement on 5 December 2023, which confirmed its intentions for the finance settlement in 2024/25. As well as the increases in R</w:t>
      </w:r>
      <w:r w:rsidR="007A215C">
        <w:rPr>
          <w:rFonts w:ascii="Arial" w:hAnsi="Arial" w:cs="Arial"/>
          <w:sz w:val="24"/>
          <w:szCs w:val="24"/>
        </w:rPr>
        <w:t xml:space="preserve">evenue </w:t>
      </w:r>
      <w:r>
        <w:rPr>
          <w:rFonts w:ascii="Arial" w:hAnsi="Arial" w:cs="Arial"/>
          <w:sz w:val="24"/>
          <w:szCs w:val="24"/>
        </w:rPr>
        <w:t>S</w:t>
      </w:r>
      <w:r w:rsidR="007A215C">
        <w:rPr>
          <w:rFonts w:ascii="Arial" w:hAnsi="Arial" w:cs="Arial"/>
          <w:sz w:val="24"/>
          <w:szCs w:val="24"/>
        </w:rPr>
        <w:t xml:space="preserve">upport </w:t>
      </w:r>
      <w:r>
        <w:rPr>
          <w:rFonts w:ascii="Arial" w:hAnsi="Arial" w:cs="Arial"/>
          <w:sz w:val="24"/>
          <w:szCs w:val="24"/>
        </w:rPr>
        <w:t>G</w:t>
      </w:r>
      <w:r w:rsidR="007A215C">
        <w:rPr>
          <w:rFonts w:ascii="Arial" w:hAnsi="Arial" w:cs="Arial"/>
          <w:sz w:val="24"/>
          <w:szCs w:val="24"/>
        </w:rPr>
        <w:t>rant</w:t>
      </w:r>
      <w:r>
        <w:rPr>
          <w:rFonts w:ascii="Arial" w:hAnsi="Arial" w:cs="Arial"/>
          <w:sz w:val="24"/>
          <w:szCs w:val="24"/>
        </w:rPr>
        <w:t xml:space="preserve"> and continuation of grants, the statement confirmed that s31 grant for pension contribution increases had been rolled into RSG. Precept referendum principles for the Fire sector were reduced from £5 or 2%, to 2.99% for 2024/25.</w:t>
      </w:r>
    </w:p>
    <w:p w14:paraId="6AB9DFB8" w14:textId="77777777" w:rsidR="001575AB" w:rsidRDefault="001575AB" w:rsidP="005B3B5B">
      <w:pPr>
        <w:rPr>
          <w:rFonts w:ascii="Arial" w:hAnsi="Arial" w:cs="Arial"/>
          <w:sz w:val="24"/>
          <w:szCs w:val="24"/>
        </w:rPr>
      </w:pPr>
    </w:p>
    <w:p w14:paraId="63932EA7" w14:textId="77777777" w:rsidR="001575AB" w:rsidRDefault="001575AB" w:rsidP="005B3B5B">
      <w:pPr>
        <w:rPr>
          <w:rFonts w:ascii="Arial" w:hAnsi="Arial" w:cs="Arial"/>
          <w:sz w:val="24"/>
          <w:szCs w:val="24"/>
        </w:rPr>
      </w:pPr>
    </w:p>
    <w:p w14:paraId="21B71F18" w14:textId="77777777" w:rsidR="005B3B5B" w:rsidRDefault="005B3B5B" w:rsidP="005B3B5B">
      <w:pPr>
        <w:rPr>
          <w:rFonts w:ascii="Arial" w:hAnsi="Arial" w:cs="Arial"/>
          <w:b/>
          <w:bCs/>
          <w:sz w:val="24"/>
          <w:szCs w:val="24"/>
        </w:rPr>
      </w:pPr>
      <w:r>
        <w:rPr>
          <w:rFonts w:ascii="Arial" w:hAnsi="Arial" w:cs="Arial"/>
          <w:b/>
          <w:bCs/>
          <w:sz w:val="24"/>
          <w:szCs w:val="24"/>
        </w:rPr>
        <w:lastRenderedPageBreak/>
        <w:t>Provisional Grant Settlement 2024/25</w:t>
      </w:r>
    </w:p>
    <w:p w14:paraId="4940D94C" w14:textId="77777777" w:rsidR="00D5528B" w:rsidRDefault="00D5528B" w:rsidP="005B3B5B">
      <w:pPr>
        <w:rPr>
          <w:rFonts w:ascii="Arial" w:hAnsi="Arial" w:cs="Arial"/>
          <w:b/>
          <w:bCs/>
          <w:sz w:val="24"/>
          <w:szCs w:val="24"/>
        </w:rPr>
      </w:pPr>
    </w:p>
    <w:p w14:paraId="0930A6CD" w14:textId="44B814D3" w:rsidR="005B3B5B" w:rsidRDefault="005B3B5B" w:rsidP="005B3B5B">
      <w:pPr>
        <w:rPr>
          <w:rFonts w:ascii="Arial" w:hAnsi="Arial" w:cs="Arial"/>
          <w:sz w:val="24"/>
          <w:szCs w:val="24"/>
        </w:rPr>
      </w:pPr>
      <w:r>
        <w:rPr>
          <w:rFonts w:ascii="Arial" w:hAnsi="Arial" w:cs="Arial"/>
          <w:sz w:val="24"/>
          <w:szCs w:val="24"/>
        </w:rPr>
        <w:t>The provisional settlement was announced on 18 December, providing numbers for 2024/25. The settlement encapsulated all of the announcements in the policy statement, and also confirmed the payment of Funding Guarantee, which ensure</w:t>
      </w:r>
      <w:r w:rsidR="00E86D52">
        <w:rPr>
          <w:rFonts w:ascii="Arial" w:hAnsi="Arial" w:cs="Arial"/>
          <w:sz w:val="24"/>
          <w:szCs w:val="24"/>
        </w:rPr>
        <w:t>d</w:t>
      </w:r>
      <w:r>
        <w:rPr>
          <w:rFonts w:ascii="Arial" w:hAnsi="Arial" w:cs="Arial"/>
          <w:sz w:val="24"/>
          <w:szCs w:val="24"/>
        </w:rPr>
        <w:t xml:space="preserve"> that all authorities would receive at least 3% increase in core spending power. </w:t>
      </w:r>
    </w:p>
    <w:p w14:paraId="2A7BBA1A" w14:textId="77777777" w:rsidR="005B3B5B" w:rsidRDefault="005B3B5B" w:rsidP="005B3B5B">
      <w:pPr>
        <w:rPr>
          <w:rFonts w:ascii="Arial" w:hAnsi="Arial" w:cs="Arial"/>
          <w:sz w:val="24"/>
          <w:szCs w:val="24"/>
        </w:rPr>
      </w:pPr>
      <w:r>
        <w:rPr>
          <w:rFonts w:ascii="Arial" w:hAnsi="Arial" w:cs="Arial"/>
          <w:sz w:val="24"/>
          <w:szCs w:val="24"/>
        </w:rPr>
        <w:t>As a result of the precept announcement, and after consultation with other fire &amp; rescue services, it was agreed that the pay award assumption for 2024/25 would be reduced from 5% to 4%.</w:t>
      </w:r>
    </w:p>
    <w:p w14:paraId="679F30B0" w14:textId="77777777" w:rsidR="005B3B5B" w:rsidRDefault="005B3B5B" w:rsidP="005B3B5B">
      <w:pPr>
        <w:rPr>
          <w:rFonts w:ascii="Arial" w:hAnsi="Arial" w:cs="Arial"/>
          <w:sz w:val="24"/>
          <w:szCs w:val="24"/>
        </w:rPr>
      </w:pPr>
    </w:p>
    <w:p w14:paraId="611BC772" w14:textId="77777777" w:rsidR="005B3B5B" w:rsidRDefault="005B3B5B" w:rsidP="005B3B5B">
      <w:pPr>
        <w:rPr>
          <w:rFonts w:ascii="Arial" w:hAnsi="Arial" w:cs="Arial"/>
          <w:b/>
          <w:bCs/>
          <w:sz w:val="24"/>
          <w:szCs w:val="24"/>
        </w:rPr>
      </w:pPr>
      <w:r>
        <w:rPr>
          <w:rFonts w:ascii="Arial" w:hAnsi="Arial" w:cs="Arial"/>
          <w:b/>
          <w:bCs/>
          <w:sz w:val="24"/>
          <w:szCs w:val="24"/>
        </w:rPr>
        <w:t>Fire Pension Scheme Valuation 2020</w:t>
      </w:r>
    </w:p>
    <w:p w14:paraId="1C4619D8" w14:textId="77777777" w:rsidR="00D5528B" w:rsidRDefault="00D5528B" w:rsidP="005B3B5B">
      <w:pPr>
        <w:rPr>
          <w:rFonts w:ascii="Arial" w:hAnsi="Arial" w:cs="Arial"/>
          <w:b/>
          <w:bCs/>
          <w:sz w:val="24"/>
          <w:szCs w:val="24"/>
        </w:rPr>
      </w:pPr>
    </w:p>
    <w:p w14:paraId="01BF55C2" w14:textId="77777777" w:rsidR="005B3B5B" w:rsidRDefault="005B3B5B" w:rsidP="005B3B5B">
      <w:pPr>
        <w:rPr>
          <w:rFonts w:ascii="Arial" w:hAnsi="Arial" w:cs="Arial"/>
          <w:sz w:val="24"/>
          <w:szCs w:val="24"/>
        </w:rPr>
      </w:pPr>
      <w:r>
        <w:rPr>
          <w:rFonts w:ascii="Arial" w:hAnsi="Arial" w:cs="Arial"/>
          <w:sz w:val="24"/>
          <w:szCs w:val="24"/>
        </w:rPr>
        <w:t>The Treasury completed its analysis of the outcomes of the 2020 valuation; the impact of the valuation on the schemes was an increase in employer contributions, from 30.2% to 37.6%.</w:t>
      </w:r>
    </w:p>
    <w:p w14:paraId="244991D3" w14:textId="77777777" w:rsidR="005B3B5B" w:rsidRDefault="005B3B5B" w:rsidP="005B3B5B">
      <w:pPr>
        <w:rPr>
          <w:rFonts w:ascii="Arial" w:hAnsi="Arial" w:cs="Arial"/>
          <w:sz w:val="24"/>
          <w:szCs w:val="24"/>
        </w:rPr>
      </w:pPr>
      <w:r>
        <w:rPr>
          <w:rFonts w:ascii="Arial" w:hAnsi="Arial" w:cs="Arial"/>
          <w:sz w:val="24"/>
          <w:szCs w:val="24"/>
        </w:rPr>
        <w:t>It was confirmed by the Home Office that the total costs of the increase for 2024/25 would be funded by government; however, as 2025/26 was the beginning of the next Comprehensive Spending Review, continued funding for this increase could not be guaranteed.</w:t>
      </w:r>
    </w:p>
    <w:p w14:paraId="356C14C9" w14:textId="1D07188B" w:rsidR="005B3B5B" w:rsidRDefault="005B3B5B" w:rsidP="005B3B5B">
      <w:pPr>
        <w:rPr>
          <w:rFonts w:ascii="Arial" w:hAnsi="Arial" w:cs="Arial"/>
          <w:sz w:val="24"/>
          <w:szCs w:val="24"/>
        </w:rPr>
      </w:pPr>
      <w:r>
        <w:rPr>
          <w:rFonts w:ascii="Arial" w:hAnsi="Arial" w:cs="Arial"/>
          <w:sz w:val="24"/>
          <w:szCs w:val="24"/>
        </w:rPr>
        <w:t xml:space="preserve">The contribution increase represented an increase in the revenue budget of around £800,000 per year. This potential cost from 2025/26 must be borne in mind as future precept increases </w:t>
      </w:r>
      <w:r w:rsidR="00AB1C54">
        <w:rPr>
          <w:rFonts w:ascii="Arial" w:hAnsi="Arial" w:cs="Arial"/>
          <w:sz w:val="24"/>
          <w:szCs w:val="24"/>
        </w:rPr>
        <w:t>are</w:t>
      </w:r>
      <w:r>
        <w:rPr>
          <w:rFonts w:ascii="Arial" w:hAnsi="Arial" w:cs="Arial"/>
          <w:sz w:val="24"/>
          <w:szCs w:val="24"/>
        </w:rPr>
        <w:t xml:space="preserve"> considered.</w:t>
      </w:r>
    </w:p>
    <w:p w14:paraId="0E66384B" w14:textId="77777777" w:rsidR="005B3B5B" w:rsidRDefault="005B3B5B" w:rsidP="005B3B5B">
      <w:pPr>
        <w:rPr>
          <w:rFonts w:ascii="Arial" w:hAnsi="Arial" w:cs="Arial"/>
          <w:sz w:val="22"/>
          <w:szCs w:val="22"/>
        </w:rPr>
      </w:pPr>
    </w:p>
    <w:p w14:paraId="028A3D7D" w14:textId="77777777" w:rsidR="005B3B5B" w:rsidRDefault="005B3B5B" w:rsidP="005B3B5B">
      <w:pPr>
        <w:rPr>
          <w:rFonts w:ascii="Arial" w:hAnsi="Arial" w:cs="Arial"/>
          <w:b/>
          <w:bCs/>
          <w:sz w:val="24"/>
          <w:szCs w:val="24"/>
        </w:rPr>
      </w:pPr>
      <w:r>
        <w:rPr>
          <w:rFonts w:ascii="Arial" w:hAnsi="Arial" w:cs="Arial"/>
          <w:b/>
          <w:bCs/>
          <w:sz w:val="24"/>
          <w:szCs w:val="24"/>
        </w:rPr>
        <w:t>Future Growth and Investment</w:t>
      </w:r>
    </w:p>
    <w:p w14:paraId="731778C3" w14:textId="77777777" w:rsidR="002702CF" w:rsidRDefault="002702CF" w:rsidP="005B3B5B">
      <w:pPr>
        <w:rPr>
          <w:rFonts w:ascii="Arial" w:hAnsi="Arial" w:cs="Arial"/>
          <w:b/>
          <w:bCs/>
          <w:sz w:val="24"/>
          <w:szCs w:val="24"/>
        </w:rPr>
      </w:pPr>
    </w:p>
    <w:p w14:paraId="0C658648" w14:textId="77777777" w:rsidR="005B3B5B" w:rsidRDefault="005B3B5B" w:rsidP="005B3B5B">
      <w:pPr>
        <w:rPr>
          <w:rFonts w:ascii="Arial" w:hAnsi="Arial" w:cs="Arial"/>
          <w:b/>
          <w:bCs/>
          <w:sz w:val="24"/>
          <w:szCs w:val="24"/>
        </w:rPr>
      </w:pPr>
      <w:r>
        <w:rPr>
          <w:rFonts w:ascii="Arial" w:hAnsi="Arial" w:cs="Arial"/>
          <w:b/>
          <w:bCs/>
          <w:sz w:val="24"/>
          <w:szCs w:val="24"/>
        </w:rPr>
        <w:t>Community Risk Management Plan Outcomes</w:t>
      </w:r>
    </w:p>
    <w:p w14:paraId="3725AD5D" w14:textId="77777777" w:rsidR="00D5528B" w:rsidRDefault="00D5528B" w:rsidP="005B3B5B">
      <w:pPr>
        <w:rPr>
          <w:rFonts w:ascii="Arial" w:hAnsi="Arial" w:cs="Arial"/>
          <w:b/>
          <w:bCs/>
          <w:sz w:val="24"/>
          <w:szCs w:val="24"/>
        </w:rPr>
      </w:pPr>
    </w:p>
    <w:p w14:paraId="2DDD2F88" w14:textId="77777777" w:rsidR="005B3B5B" w:rsidRDefault="005B3B5B" w:rsidP="005B3B5B">
      <w:pPr>
        <w:rPr>
          <w:rFonts w:ascii="Arial" w:hAnsi="Arial" w:cs="Arial"/>
          <w:sz w:val="24"/>
          <w:szCs w:val="24"/>
        </w:rPr>
      </w:pPr>
      <w:r>
        <w:rPr>
          <w:rFonts w:ascii="Arial" w:hAnsi="Arial" w:cs="Arial"/>
          <w:sz w:val="24"/>
          <w:szCs w:val="24"/>
        </w:rPr>
        <w:t xml:space="preserve">The Community Risk Management Plan (CRMP) forms the basis of the contract between Shropshire and Wrekin Fire and Rescue Authority and the communities and individuals it serves. The plan underpins the Service strategy for the next 3 years and sets out how it plans to ensure the right people and equipment are in the right place at the right time. </w:t>
      </w:r>
    </w:p>
    <w:p w14:paraId="580E681E" w14:textId="77777777" w:rsidR="006756DC" w:rsidRDefault="006756DC" w:rsidP="005B3B5B">
      <w:pPr>
        <w:rPr>
          <w:rFonts w:ascii="Arial" w:hAnsi="Arial" w:cs="Arial"/>
          <w:sz w:val="24"/>
          <w:szCs w:val="24"/>
        </w:rPr>
      </w:pPr>
    </w:p>
    <w:p w14:paraId="708D0CBA" w14:textId="77777777" w:rsidR="005B3B5B" w:rsidRDefault="005B3B5B" w:rsidP="005B3B5B">
      <w:pPr>
        <w:rPr>
          <w:rFonts w:ascii="Arial" w:hAnsi="Arial" w:cs="Arial"/>
          <w:sz w:val="24"/>
          <w:szCs w:val="24"/>
        </w:rPr>
      </w:pPr>
      <w:r>
        <w:rPr>
          <w:rFonts w:ascii="Arial" w:hAnsi="Arial" w:cs="Arial"/>
          <w:sz w:val="24"/>
          <w:szCs w:val="24"/>
        </w:rPr>
        <w:t>This work would require investment to meet current and future demands; indicative figures were included within the capital report and were liable to variation as an evidenced based approach to CRMP was developed.</w:t>
      </w:r>
    </w:p>
    <w:p w14:paraId="34895ACB" w14:textId="77777777" w:rsidR="00805C06" w:rsidRDefault="00805C06" w:rsidP="005B3B5B">
      <w:pPr>
        <w:rPr>
          <w:rFonts w:ascii="Arial" w:hAnsi="Arial" w:cs="Arial"/>
          <w:sz w:val="24"/>
          <w:szCs w:val="24"/>
        </w:rPr>
      </w:pPr>
    </w:p>
    <w:p w14:paraId="6E2E2B23" w14:textId="77777777" w:rsidR="005B3B5B" w:rsidRDefault="005B3B5B" w:rsidP="005B3B5B">
      <w:pPr>
        <w:rPr>
          <w:rFonts w:ascii="Arial" w:hAnsi="Arial" w:cs="Arial"/>
          <w:sz w:val="24"/>
          <w:szCs w:val="24"/>
        </w:rPr>
      </w:pPr>
      <w:r>
        <w:rPr>
          <w:rFonts w:ascii="Arial" w:hAnsi="Arial" w:cs="Arial"/>
          <w:b/>
          <w:bCs/>
          <w:sz w:val="24"/>
          <w:szCs w:val="24"/>
        </w:rPr>
        <w:t>Other growth and investment</w:t>
      </w:r>
      <w:r>
        <w:rPr>
          <w:rFonts w:ascii="Arial" w:hAnsi="Arial" w:cs="Arial"/>
          <w:sz w:val="24"/>
          <w:szCs w:val="24"/>
        </w:rPr>
        <w:t xml:space="preserve"> </w:t>
      </w:r>
    </w:p>
    <w:p w14:paraId="40FD9715" w14:textId="77777777" w:rsidR="00D5528B" w:rsidRDefault="00D5528B" w:rsidP="005B3B5B">
      <w:pPr>
        <w:rPr>
          <w:rFonts w:ascii="Arial" w:hAnsi="Arial" w:cs="Arial"/>
          <w:sz w:val="24"/>
          <w:szCs w:val="24"/>
        </w:rPr>
      </w:pPr>
    </w:p>
    <w:p w14:paraId="7C39C962" w14:textId="77777777" w:rsidR="005B3B5B" w:rsidRDefault="005B3B5B" w:rsidP="005B3B5B">
      <w:pPr>
        <w:rPr>
          <w:rFonts w:ascii="Arial" w:hAnsi="Arial" w:cs="Arial"/>
          <w:sz w:val="24"/>
          <w:szCs w:val="24"/>
        </w:rPr>
      </w:pPr>
      <w:r>
        <w:rPr>
          <w:rFonts w:ascii="Arial" w:hAnsi="Arial" w:cs="Arial"/>
          <w:sz w:val="24"/>
          <w:szCs w:val="24"/>
        </w:rPr>
        <w:t>Reviews were being undertaken of some Service departments as the budget was being formulated and a number of growth posts were considered to ensure that the service could continue to meet its objectives. Officers had begun the process of reviewing the Service’s structure, and it was felt that temporary posts were appropriate until the strategic direction of the Service was determined.</w:t>
      </w:r>
    </w:p>
    <w:p w14:paraId="16A2F0A8" w14:textId="77777777" w:rsidR="000D644B" w:rsidRDefault="000D644B" w:rsidP="005B3B5B">
      <w:pPr>
        <w:rPr>
          <w:rFonts w:ascii="Arial" w:hAnsi="Arial" w:cs="Arial"/>
          <w:sz w:val="24"/>
          <w:szCs w:val="24"/>
        </w:rPr>
      </w:pPr>
    </w:p>
    <w:p w14:paraId="4BFA9B65" w14:textId="0A647862" w:rsidR="005B3B5B" w:rsidRDefault="005B3B5B" w:rsidP="005B3B5B">
      <w:pPr>
        <w:rPr>
          <w:rFonts w:ascii="Arial" w:hAnsi="Arial" w:cs="Arial"/>
          <w:sz w:val="24"/>
          <w:szCs w:val="24"/>
        </w:rPr>
      </w:pPr>
      <w:r>
        <w:rPr>
          <w:rFonts w:ascii="Arial" w:hAnsi="Arial" w:cs="Arial"/>
          <w:sz w:val="24"/>
          <w:szCs w:val="24"/>
        </w:rPr>
        <w:t xml:space="preserve">A number of strategic reviews were introduced in 2022/23, as part of the Authority’s new Service Plan, and these were to continue throughout the four-year strategic planning period. </w:t>
      </w:r>
    </w:p>
    <w:p w14:paraId="62AA9A60" w14:textId="77777777" w:rsidR="000D644B" w:rsidRDefault="000D644B" w:rsidP="005B3B5B">
      <w:pPr>
        <w:rPr>
          <w:rFonts w:ascii="Arial" w:hAnsi="Arial" w:cs="Arial"/>
          <w:sz w:val="24"/>
          <w:szCs w:val="24"/>
        </w:rPr>
      </w:pPr>
    </w:p>
    <w:p w14:paraId="68283F8A" w14:textId="77777777" w:rsidR="005B3B5B" w:rsidRDefault="005B3B5B" w:rsidP="005B3B5B">
      <w:pPr>
        <w:rPr>
          <w:rFonts w:ascii="Arial" w:hAnsi="Arial" w:cs="Arial"/>
          <w:sz w:val="24"/>
          <w:szCs w:val="24"/>
        </w:rPr>
      </w:pPr>
      <w:r>
        <w:rPr>
          <w:rFonts w:ascii="Arial" w:hAnsi="Arial" w:cs="Arial"/>
          <w:sz w:val="24"/>
          <w:szCs w:val="24"/>
        </w:rPr>
        <w:t xml:space="preserve">Consideration was also given to the ongoing resource requirements as these reviews were completed. The Authority had considered the introduction of some </w:t>
      </w:r>
      <w:r>
        <w:rPr>
          <w:rFonts w:ascii="Arial" w:hAnsi="Arial" w:cs="Arial"/>
          <w:sz w:val="24"/>
          <w:szCs w:val="24"/>
        </w:rPr>
        <w:lastRenderedPageBreak/>
        <w:t>modest growth in the budget in 2023/24 and 2024/25, however due to pay awards over and above contingency levels, this was withdrawn. The current funding position enabled the reintroduction of £150,000 of this growth from 2024/25. Its use was to be determined as the reviews progressed.</w:t>
      </w:r>
    </w:p>
    <w:p w14:paraId="063B8BED" w14:textId="77777777" w:rsidR="00326F05" w:rsidRDefault="00326F05" w:rsidP="005B3B5B">
      <w:pPr>
        <w:rPr>
          <w:rFonts w:ascii="Arial" w:hAnsi="Arial" w:cs="Arial"/>
          <w:sz w:val="24"/>
          <w:szCs w:val="24"/>
        </w:rPr>
      </w:pPr>
    </w:p>
    <w:p w14:paraId="6B1A86C5" w14:textId="77777777" w:rsidR="005B3B5B" w:rsidRDefault="005B3B5B" w:rsidP="005B3B5B">
      <w:pPr>
        <w:rPr>
          <w:rFonts w:ascii="Arial" w:hAnsi="Arial" w:cs="Arial"/>
          <w:sz w:val="24"/>
          <w:szCs w:val="24"/>
        </w:rPr>
      </w:pPr>
      <w:r>
        <w:rPr>
          <w:rFonts w:ascii="Arial" w:hAnsi="Arial" w:cs="Arial"/>
          <w:b/>
          <w:bCs/>
          <w:sz w:val="24"/>
          <w:szCs w:val="24"/>
        </w:rPr>
        <w:t>Consideration of Precept Increases</w:t>
      </w:r>
      <w:r>
        <w:rPr>
          <w:rFonts w:ascii="Arial" w:hAnsi="Arial" w:cs="Arial"/>
          <w:sz w:val="24"/>
          <w:szCs w:val="24"/>
        </w:rPr>
        <w:t xml:space="preserve"> </w:t>
      </w:r>
    </w:p>
    <w:p w14:paraId="33F08E69" w14:textId="77777777" w:rsidR="00326F05" w:rsidRDefault="00326F05" w:rsidP="005B3B5B">
      <w:pPr>
        <w:rPr>
          <w:rFonts w:ascii="Arial" w:hAnsi="Arial" w:cs="Arial"/>
          <w:sz w:val="24"/>
          <w:szCs w:val="24"/>
        </w:rPr>
      </w:pPr>
    </w:p>
    <w:p w14:paraId="73B11425" w14:textId="77777777" w:rsidR="005B3B5B" w:rsidRDefault="005B3B5B" w:rsidP="005B3B5B">
      <w:pPr>
        <w:rPr>
          <w:rFonts w:ascii="Arial" w:hAnsi="Arial" w:cs="Arial"/>
          <w:sz w:val="24"/>
          <w:szCs w:val="24"/>
        </w:rPr>
      </w:pPr>
      <w:r>
        <w:rPr>
          <w:rFonts w:ascii="Arial" w:hAnsi="Arial" w:cs="Arial"/>
          <w:sz w:val="24"/>
          <w:szCs w:val="24"/>
        </w:rPr>
        <w:t>In 2023/24 the council tax referendum spending limit was increased to £5 for fire and rescue authorities, and this was in part due to co-ordinated lobbying by the local members of Parliament, National Fire Chiefs Council, the Local Government Association and the Home Office. Despite continued lobbying, the spending limit reverted to 2.99% for fire authorities, which, coupled with a one-year settlement, limited scope for development and medium-term planning.</w:t>
      </w:r>
    </w:p>
    <w:p w14:paraId="0434A210" w14:textId="77777777" w:rsidR="00326F05" w:rsidRDefault="00326F05" w:rsidP="005B3B5B">
      <w:pPr>
        <w:rPr>
          <w:rFonts w:ascii="Arial" w:hAnsi="Arial" w:cs="Arial"/>
          <w:sz w:val="24"/>
          <w:szCs w:val="24"/>
        </w:rPr>
      </w:pPr>
    </w:p>
    <w:p w14:paraId="3019F5A3" w14:textId="6B62A62E" w:rsidR="005B3B5B" w:rsidRDefault="005B3B5B" w:rsidP="005B3B5B">
      <w:pPr>
        <w:rPr>
          <w:rFonts w:ascii="Arial" w:hAnsi="Arial" w:cs="Arial"/>
          <w:sz w:val="24"/>
          <w:szCs w:val="24"/>
        </w:rPr>
      </w:pPr>
      <w:r>
        <w:rPr>
          <w:rFonts w:ascii="Arial" w:hAnsi="Arial" w:cs="Arial"/>
          <w:sz w:val="24"/>
          <w:szCs w:val="24"/>
        </w:rPr>
        <w:t xml:space="preserve">It was considered prudent to consider a range of precept increase options and the consequences of these options. The maximum of 2.99% was shown in the table, along with lower percentage increases. The potential increase in pension costs following the 2020 scheme valuation was also factored into the options. </w:t>
      </w:r>
    </w:p>
    <w:p w14:paraId="6EF13AB7" w14:textId="77777777" w:rsidR="005B3B5B" w:rsidRDefault="005B3B5B" w:rsidP="005B3B5B">
      <w:pPr>
        <w:rPr>
          <w:rFonts w:ascii="Arial" w:hAnsi="Arial" w:cs="Arial"/>
          <w:sz w:val="24"/>
          <w:szCs w:val="24"/>
        </w:rPr>
      </w:pPr>
    </w:p>
    <w:p w14:paraId="09F9258D" w14:textId="77777777" w:rsidR="005B3B5B" w:rsidRDefault="005B3B5B" w:rsidP="005B3B5B">
      <w:pPr>
        <w:rPr>
          <w:rFonts w:ascii="Arial" w:hAnsi="Arial" w:cs="Arial"/>
          <w:b/>
          <w:bCs/>
          <w:sz w:val="24"/>
          <w:szCs w:val="24"/>
        </w:rPr>
      </w:pPr>
      <w:r>
        <w:rPr>
          <w:rFonts w:ascii="Arial" w:hAnsi="Arial" w:cs="Arial"/>
          <w:b/>
          <w:bCs/>
          <w:sz w:val="24"/>
          <w:szCs w:val="24"/>
        </w:rPr>
        <w:t>Further Developments</w:t>
      </w:r>
    </w:p>
    <w:p w14:paraId="38CF81EE" w14:textId="77777777" w:rsidR="00DD2B05" w:rsidRDefault="00DD2B05" w:rsidP="005B3B5B">
      <w:pPr>
        <w:rPr>
          <w:rFonts w:ascii="Arial" w:hAnsi="Arial" w:cs="Arial"/>
          <w:b/>
          <w:bCs/>
          <w:sz w:val="24"/>
          <w:szCs w:val="24"/>
        </w:rPr>
      </w:pPr>
    </w:p>
    <w:p w14:paraId="36223C42" w14:textId="77777777" w:rsidR="005B3B5B" w:rsidRDefault="005B3B5B" w:rsidP="005B3B5B">
      <w:pPr>
        <w:rPr>
          <w:rFonts w:ascii="Arial" w:hAnsi="Arial" w:cs="Arial"/>
          <w:sz w:val="24"/>
          <w:szCs w:val="24"/>
        </w:rPr>
      </w:pPr>
      <w:r>
        <w:rPr>
          <w:rFonts w:ascii="Arial" w:hAnsi="Arial" w:cs="Arial"/>
          <w:sz w:val="24"/>
          <w:szCs w:val="24"/>
        </w:rPr>
        <w:t xml:space="preserve">The final position of the revenue budget for 2024/25 incorporated capital charges following approval of the capital programme, and further costs relating to operational communications. </w:t>
      </w:r>
    </w:p>
    <w:p w14:paraId="38CA978E" w14:textId="77777777" w:rsidR="00DD2B05" w:rsidRDefault="00DD2B05" w:rsidP="005B3B5B">
      <w:pPr>
        <w:rPr>
          <w:rFonts w:ascii="Arial" w:hAnsi="Arial" w:cs="Arial"/>
          <w:sz w:val="24"/>
          <w:szCs w:val="24"/>
        </w:rPr>
      </w:pPr>
    </w:p>
    <w:p w14:paraId="5A6E85FE" w14:textId="77777777" w:rsidR="005B3B5B" w:rsidRDefault="005B3B5B" w:rsidP="005B3B5B">
      <w:pPr>
        <w:rPr>
          <w:rFonts w:ascii="Arial" w:hAnsi="Arial" w:cs="Arial"/>
          <w:sz w:val="24"/>
          <w:szCs w:val="24"/>
        </w:rPr>
      </w:pPr>
      <w:r>
        <w:rPr>
          <w:rFonts w:ascii="Arial" w:hAnsi="Arial" w:cs="Arial"/>
          <w:sz w:val="24"/>
          <w:szCs w:val="24"/>
        </w:rPr>
        <w:t>In terms of funding, the final settlement awarded the Authority further grants and funding following government consultation. A further £200,000 was awarded in Funding Guarantee, to ensure that the Authority saw an increase of at least 4% in core spending power.</w:t>
      </w:r>
    </w:p>
    <w:p w14:paraId="32A17D9E" w14:textId="77777777" w:rsidR="005B3B5B" w:rsidRDefault="005B3B5B" w:rsidP="005B3B5B">
      <w:pPr>
        <w:rPr>
          <w:rFonts w:ascii="Arial" w:hAnsi="Arial" w:cs="Arial"/>
          <w:sz w:val="24"/>
          <w:szCs w:val="24"/>
          <w:lang w:eastAsia="en-GB"/>
        </w:rPr>
      </w:pPr>
    </w:p>
    <w:p w14:paraId="785CEB10" w14:textId="70B6E577" w:rsidR="005B3B5B" w:rsidRDefault="005B3B5B" w:rsidP="005B3B5B">
      <w:pPr>
        <w:pStyle w:val="PlainText"/>
        <w:rPr>
          <w:rFonts w:ascii="Arial" w:hAnsi="Arial" w:cs="Arial"/>
          <w:sz w:val="24"/>
          <w:szCs w:val="24"/>
        </w:rPr>
      </w:pPr>
      <w:r>
        <w:rPr>
          <w:rFonts w:ascii="Arial" w:hAnsi="Arial" w:cs="Arial"/>
          <w:sz w:val="24"/>
          <w:szCs w:val="24"/>
        </w:rPr>
        <w:t xml:space="preserve">Following the recommendation from Strategy &amp; Resources Committee, the Authority approved a precept increase of 2.99% for 2024/25, in line with the referendum spending limit. </w:t>
      </w:r>
    </w:p>
    <w:p w14:paraId="1FB2CEC2" w14:textId="77777777" w:rsidR="005B3B5B" w:rsidRDefault="005B3B5B" w:rsidP="005B3B5B">
      <w:pPr>
        <w:pStyle w:val="PlainText"/>
        <w:rPr>
          <w:rFonts w:ascii="Arial" w:hAnsi="Arial" w:cs="Arial"/>
          <w:sz w:val="24"/>
          <w:szCs w:val="24"/>
        </w:rPr>
      </w:pPr>
    </w:p>
    <w:p w14:paraId="29B2AB64" w14:textId="77777777" w:rsidR="005B3B5B" w:rsidRDefault="005B3B5B" w:rsidP="005B3B5B">
      <w:pPr>
        <w:rPr>
          <w:rFonts w:ascii="Arial" w:hAnsi="Arial" w:cs="Arial"/>
          <w:sz w:val="24"/>
          <w:szCs w:val="24"/>
        </w:rPr>
      </w:pPr>
      <w:r>
        <w:rPr>
          <w:rFonts w:ascii="Arial" w:hAnsi="Arial" w:cs="Arial"/>
          <w:sz w:val="24"/>
          <w:szCs w:val="24"/>
        </w:rPr>
        <w:t>The maximum precept increase enabled the Authority to cover inflationary pressures and prepare for the future, and officers committed to ensuring that the funds available are used in a way which demonstrates excellent value for money.</w:t>
      </w:r>
    </w:p>
    <w:p w14:paraId="67FBE047" w14:textId="77777777" w:rsidR="00D23E95" w:rsidRDefault="00D23E95" w:rsidP="005B3B5B">
      <w:pPr>
        <w:rPr>
          <w:rFonts w:ascii="Arial" w:hAnsi="Arial" w:cs="Arial"/>
          <w:sz w:val="24"/>
          <w:szCs w:val="24"/>
        </w:rPr>
      </w:pPr>
    </w:p>
    <w:p w14:paraId="4665D6AC" w14:textId="77777777" w:rsidR="005B3B5B" w:rsidRDefault="005B3B5B" w:rsidP="005B3B5B">
      <w:pPr>
        <w:rPr>
          <w:rFonts w:ascii="Arial" w:hAnsi="Arial" w:cs="Arial"/>
          <w:sz w:val="24"/>
          <w:szCs w:val="24"/>
        </w:rPr>
      </w:pPr>
      <w:r>
        <w:rPr>
          <w:rFonts w:ascii="Arial" w:hAnsi="Arial" w:cs="Arial"/>
          <w:sz w:val="24"/>
          <w:szCs w:val="24"/>
        </w:rPr>
        <w:t xml:space="preserve">While the finance settlement for 2024/25 was more favourable than anticipated, single year settlements continued to hamper medium term planning and sustainability. The Fire Authority’s strategy had been to assess the consequences of its decisions across the planning period, which enabled timely strategic decisions to be made and implemented. </w:t>
      </w:r>
    </w:p>
    <w:p w14:paraId="2A8EE84E" w14:textId="77777777" w:rsidR="00D23E95" w:rsidRDefault="00D23E95" w:rsidP="005B3B5B">
      <w:pPr>
        <w:rPr>
          <w:rFonts w:ascii="Arial" w:hAnsi="Arial" w:cs="Arial"/>
          <w:sz w:val="24"/>
          <w:szCs w:val="24"/>
        </w:rPr>
      </w:pPr>
    </w:p>
    <w:p w14:paraId="4BE958EE" w14:textId="77777777" w:rsidR="005B3B5B" w:rsidRDefault="005B3B5B" w:rsidP="005B3B5B">
      <w:pPr>
        <w:rPr>
          <w:rFonts w:ascii="Arial" w:hAnsi="Arial" w:cs="Arial"/>
          <w:sz w:val="24"/>
          <w:szCs w:val="24"/>
        </w:rPr>
      </w:pPr>
      <w:r>
        <w:rPr>
          <w:rFonts w:ascii="Arial" w:hAnsi="Arial" w:cs="Arial"/>
          <w:sz w:val="24"/>
          <w:szCs w:val="24"/>
        </w:rPr>
        <w:t>Assumptions were revised to better reflect the Authority’s likely position following single year settlements. The Fair Funding Review, which would improve the distribution of funds across local authorities, was unlikely to be carried out over the next two years. This would negate the need for local authorities to rely on council tax to fill any funding gaps.</w:t>
      </w:r>
    </w:p>
    <w:p w14:paraId="790F03C9" w14:textId="77777777" w:rsidR="005B3B5B" w:rsidRDefault="005B3B5B" w:rsidP="00465393">
      <w:pPr>
        <w:rPr>
          <w:rFonts w:ascii="Arial" w:hAnsi="Arial" w:cs="Arial"/>
          <w:sz w:val="24"/>
          <w:szCs w:val="24"/>
        </w:rPr>
      </w:pPr>
    </w:p>
    <w:p w14:paraId="38927570" w14:textId="57C0BB15" w:rsidR="00D5528B" w:rsidRDefault="00D5528B">
      <w:pPr>
        <w:rPr>
          <w:rFonts w:ascii="Arial" w:hAnsi="Arial" w:cs="Arial"/>
          <w:b/>
          <w:sz w:val="24"/>
          <w:szCs w:val="24"/>
        </w:rPr>
      </w:pPr>
      <w:r>
        <w:rPr>
          <w:rFonts w:ascii="Arial" w:hAnsi="Arial" w:cs="Arial"/>
          <w:b/>
          <w:sz w:val="24"/>
          <w:szCs w:val="24"/>
        </w:rPr>
        <w:br w:type="page"/>
      </w:r>
    </w:p>
    <w:p w14:paraId="17D5F4B1" w14:textId="77777777" w:rsidR="004F4183" w:rsidRPr="000D756E" w:rsidRDefault="004F4183" w:rsidP="002A7C01">
      <w:pPr>
        <w:rPr>
          <w:rFonts w:ascii="Arial" w:hAnsi="Arial" w:cs="Arial"/>
          <w:b/>
          <w:sz w:val="24"/>
          <w:szCs w:val="24"/>
        </w:rPr>
      </w:pPr>
    </w:p>
    <w:p w14:paraId="65B01EF4" w14:textId="77777777" w:rsidR="00727FE6" w:rsidRPr="000D756E" w:rsidRDefault="007B021E" w:rsidP="002A7C01">
      <w:pPr>
        <w:rPr>
          <w:rFonts w:ascii="Arial" w:hAnsi="Arial" w:cs="Arial"/>
          <w:b/>
          <w:sz w:val="24"/>
          <w:szCs w:val="24"/>
        </w:rPr>
      </w:pPr>
      <w:r w:rsidRPr="000D756E">
        <w:rPr>
          <w:rFonts w:ascii="Arial" w:hAnsi="Arial" w:cs="Arial"/>
          <w:b/>
          <w:sz w:val="24"/>
          <w:szCs w:val="24"/>
        </w:rPr>
        <w:t>Revenue Budget and Expenditure</w:t>
      </w:r>
      <w:r w:rsidR="00105941" w:rsidRPr="000D756E">
        <w:rPr>
          <w:rFonts w:ascii="Arial" w:hAnsi="Arial" w:cs="Arial"/>
          <w:b/>
          <w:sz w:val="24"/>
          <w:szCs w:val="24"/>
        </w:rPr>
        <w:t xml:space="preserve">    </w:t>
      </w:r>
    </w:p>
    <w:p w14:paraId="30A06B9B" w14:textId="77777777" w:rsidR="00727FE6" w:rsidRPr="000D756E" w:rsidRDefault="00727FE6" w:rsidP="002A7C01">
      <w:pPr>
        <w:rPr>
          <w:rFonts w:ascii="Arial" w:hAnsi="Arial" w:cs="Arial"/>
          <w:sz w:val="24"/>
          <w:szCs w:val="24"/>
        </w:rPr>
      </w:pPr>
    </w:p>
    <w:p w14:paraId="154CE18B" w14:textId="5F897101" w:rsidR="00727FE6" w:rsidRPr="000D756E" w:rsidRDefault="00727FE6" w:rsidP="002A7C01">
      <w:pPr>
        <w:rPr>
          <w:rFonts w:ascii="Arial" w:hAnsi="Arial" w:cs="Arial"/>
          <w:sz w:val="24"/>
          <w:szCs w:val="24"/>
        </w:rPr>
      </w:pPr>
      <w:r w:rsidRPr="000D756E">
        <w:rPr>
          <w:rFonts w:ascii="Arial" w:hAnsi="Arial" w:cs="Arial"/>
          <w:sz w:val="24"/>
          <w:szCs w:val="24"/>
        </w:rPr>
        <w:t>In February 20</w:t>
      </w:r>
      <w:r w:rsidR="005C4379" w:rsidRPr="000D756E">
        <w:rPr>
          <w:rFonts w:ascii="Arial" w:hAnsi="Arial" w:cs="Arial"/>
          <w:sz w:val="24"/>
          <w:szCs w:val="24"/>
        </w:rPr>
        <w:t>2</w:t>
      </w:r>
      <w:r w:rsidR="00B27388">
        <w:rPr>
          <w:rFonts w:ascii="Arial" w:hAnsi="Arial" w:cs="Arial"/>
          <w:sz w:val="24"/>
          <w:szCs w:val="24"/>
        </w:rPr>
        <w:t>4</w:t>
      </w:r>
      <w:r w:rsidRPr="000D756E">
        <w:rPr>
          <w:rFonts w:ascii="Arial" w:hAnsi="Arial" w:cs="Arial"/>
          <w:sz w:val="24"/>
          <w:szCs w:val="24"/>
        </w:rPr>
        <w:t>, Shropshire and Wrekin Fire Authority approved a revenue budget of £</w:t>
      </w:r>
      <w:r w:rsidR="00F65836" w:rsidRPr="000D756E">
        <w:rPr>
          <w:rFonts w:ascii="Arial" w:hAnsi="Arial" w:cs="Arial"/>
          <w:sz w:val="24"/>
          <w:szCs w:val="24"/>
        </w:rPr>
        <w:t>2</w:t>
      </w:r>
      <w:r w:rsidR="003D3BCB">
        <w:rPr>
          <w:rFonts w:ascii="Arial" w:hAnsi="Arial" w:cs="Arial"/>
          <w:sz w:val="24"/>
          <w:szCs w:val="24"/>
        </w:rPr>
        <w:t>9.178</w:t>
      </w:r>
      <w:r w:rsidR="000257D6" w:rsidRPr="000D756E">
        <w:rPr>
          <w:rFonts w:ascii="Arial" w:hAnsi="Arial" w:cs="Arial"/>
          <w:sz w:val="24"/>
          <w:szCs w:val="24"/>
        </w:rPr>
        <w:t>m</w:t>
      </w:r>
      <w:r w:rsidRPr="000D756E">
        <w:rPr>
          <w:rFonts w:ascii="Arial" w:hAnsi="Arial" w:cs="Arial"/>
          <w:sz w:val="24"/>
          <w:szCs w:val="24"/>
        </w:rPr>
        <w:t xml:space="preserve"> for 20</w:t>
      </w:r>
      <w:r w:rsidR="005C4379" w:rsidRPr="000D756E">
        <w:rPr>
          <w:rFonts w:ascii="Arial" w:hAnsi="Arial" w:cs="Arial"/>
          <w:sz w:val="24"/>
          <w:szCs w:val="24"/>
        </w:rPr>
        <w:t>2</w:t>
      </w:r>
      <w:r w:rsidR="003D3BCB">
        <w:rPr>
          <w:rFonts w:ascii="Arial" w:hAnsi="Arial" w:cs="Arial"/>
          <w:sz w:val="24"/>
          <w:szCs w:val="24"/>
        </w:rPr>
        <w:t>4/25</w:t>
      </w:r>
      <w:r w:rsidRPr="000D756E">
        <w:rPr>
          <w:rFonts w:ascii="Arial" w:hAnsi="Arial" w:cs="Arial"/>
          <w:sz w:val="24"/>
          <w:szCs w:val="24"/>
        </w:rPr>
        <w:t xml:space="preserve">. This budget quantified the Service’s strategic and operational plans, and the further </w:t>
      </w:r>
      <w:r w:rsidR="00992108" w:rsidRPr="000D756E">
        <w:rPr>
          <w:rFonts w:ascii="Arial" w:hAnsi="Arial" w:cs="Arial"/>
          <w:sz w:val="24"/>
          <w:szCs w:val="24"/>
        </w:rPr>
        <w:t>subdivision</w:t>
      </w:r>
      <w:r w:rsidRPr="000D756E">
        <w:rPr>
          <w:rFonts w:ascii="Arial" w:hAnsi="Arial" w:cs="Arial"/>
          <w:sz w:val="24"/>
          <w:szCs w:val="24"/>
        </w:rPr>
        <w:t xml:space="preserve"> into business areas also enabled individual business plans to be quantified, and achievements monitored.</w:t>
      </w:r>
    </w:p>
    <w:p w14:paraId="417548DE" w14:textId="77777777" w:rsidR="00727FE6" w:rsidRPr="000D756E" w:rsidRDefault="00727FE6" w:rsidP="002A7C01">
      <w:pPr>
        <w:rPr>
          <w:rFonts w:ascii="Arial" w:hAnsi="Arial" w:cs="Arial"/>
          <w:sz w:val="24"/>
          <w:szCs w:val="24"/>
        </w:rPr>
      </w:pPr>
    </w:p>
    <w:p w14:paraId="6C156701" w14:textId="1666AEAE" w:rsidR="00FD7878" w:rsidRPr="000D756E" w:rsidRDefault="00727FE6" w:rsidP="00FD7878">
      <w:pPr>
        <w:rPr>
          <w:rFonts w:ascii="Arial" w:hAnsi="Arial" w:cs="Arial"/>
          <w:sz w:val="24"/>
          <w:szCs w:val="24"/>
        </w:rPr>
      </w:pPr>
      <w:r w:rsidRPr="000D756E">
        <w:rPr>
          <w:rFonts w:ascii="Arial" w:hAnsi="Arial" w:cs="Arial"/>
          <w:sz w:val="24"/>
          <w:szCs w:val="24"/>
        </w:rPr>
        <w:t xml:space="preserve">The revenue budget </w:t>
      </w:r>
      <w:r w:rsidR="007B021E" w:rsidRPr="000D756E">
        <w:rPr>
          <w:rFonts w:ascii="Arial" w:hAnsi="Arial" w:cs="Arial"/>
          <w:sz w:val="24"/>
          <w:szCs w:val="24"/>
        </w:rPr>
        <w:t xml:space="preserve">for </w:t>
      </w:r>
      <w:r w:rsidR="005C4379" w:rsidRPr="000D756E">
        <w:rPr>
          <w:rFonts w:ascii="Arial" w:hAnsi="Arial" w:cs="Arial"/>
          <w:sz w:val="24"/>
          <w:szCs w:val="24"/>
        </w:rPr>
        <w:t>20</w:t>
      </w:r>
      <w:r w:rsidR="00E823F3" w:rsidRPr="000D756E">
        <w:rPr>
          <w:rFonts w:ascii="Arial" w:hAnsi="Arial" w:cs="Arial"/>
          <w:sz w:val="24"/>
          <w:szCs w:val="24"/>
        </w:rPr>
        <w:t>2</w:t>
      </w:r>
      <w:r w:rsidR="003D3BCB">
        <w:rPr>
          <w:rFonts w:ascii="Arial" w:hAnsi="Arial" w:cs="Arial"/>
          <w:sz w:val="24"/>
          <w:szCs w:val="24"/>
        </w:rPr>
        <w:t>4/25</w:t>
      </w:r>
      <w:r w:rsidR="007B021E" w:rsidRPr="000D756E">
        <w:rPr>
          <w:rFonts w:ascii="Arial" w:hAnsi="Arial" w:cs="Arial"/>
          <w:sz w:val="24"/>
          <w:szCs w:val="24"/>
        </w:rPr>
        <w:t xml:space="preserve"> </w:t>
      </w:r>
      <w:r w:rsidRPr="000D756E">
        <w:rPr>
          <w:rFonts w:ascii="Arial" w:hAnsi="Arial" w:cs="Arial"/>
          <w:sz w:val="24"/>
          <w:szCs w:val="24"/>
        </w:rPr>
        <w:t>was</w:t>
      </w:r>
      <w:r w:rsidR="008C5F84" w:rsidRPr="000D756E">
        <w:rPr>
          <w:rFonts w:ascii="Arial" w:hAnsi="Arial" w:cs="Arial"/>
          <w:sz w:val="24"/>
          <w:szCs w:val="24"/>
        </w:rPr>
        <w:t xml:space="preserve"> </w:t>
      </w:r>
      <w:r w:rsidRPr="000D756E">
        <w:rPr>
          <w:rFonts w:ascii="Arial" w:hAnsi="Arial" w:cs="Arial"/>
          <w:sz w:val="24"/>
          <w:szCs w:val="24"/>
        </w:rPr>
        <w:t>funded as follows:</w:t>
      </w:r>
      <w:r w:rsidR="000F7A51" w:rsidRPr="000D756E">
        <w:rPr>
          <w:rFonts w:ascii="Arial" w:hAnsi="Arial" w:cs="Arial"/>
          <w:sz w:val="24"/>
          <w:szCs w:val="24"/>
        </w:rPr>
        <w:t xml:space="preserve">  </w:t>
      </w:r>
    </w:p>
    <w:p w14:paraId="0C1D8C2D" w14:textId="11B7A6F7" w:rsidR="00727FE6" w:rsidRPr="000D756E" w:rsidRDefault="000F7A51" w:rsidP="002A7C01">
      <w:pPr>
        <w:rPr>
          <w:rFonts w:ascii="Arial" w:hAnsi="Arial" w:cs="Arial"/>
          <w:sz w:val="24"/>
          <w:szCs w:val="24"/>
        </w:rPr>
      </w:pPr>
      <w:r w:rsidRPr="000D756E">
        <w:rPr>
          <w:rFonts w:ascii="Arial" w:hAnsi="Arial" w:cs="Arial"/>
          <w:sz w:val="24"/>
          <w:szCs w:val="24"/>
        </w:rPr>
        <w:t xml:space="preserve"> </w:t>
      </w:r>
      <w:r w:rsidR="00DA5CFF">
        <w:rPr>
          <w:noProof/>
        </w:rPr>
        <w:drawing>
          <wp:inline distT="0" distB="0" distL="0" distR="0" wp14:anchorId="40D9D3B7" wp14:editId="42D45738">
            <wp:extent cx="5733415" cy="3782060"/>
            <wp:effectExtent l="0" t="0" r="635" b="8890"/>
            <wp:docPr id="1666822342" name="Chart 1">
              <a:extLst xmlns:a="http://schemas.openxmlformats.org/drawingml/2006/main">
                <a:ext uri="{FF2B5EF4-FFF2-40B4-BE49-F238E27FC236}">
                  <a16:creationId xmlns:a16="http://schemas.microsoft.com/office/drawing/2014/main" id="{64431AEE-490E-3631-551B-87448E3225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49742BB" w14:textId="77777777" w:rsidR="009D2B26" w:rsidRPr="000D756E" w:rsidRDefault="009D2B26" w:rsidP="002A7C01">
      <w:pPr>
        <w:rPr>
          <w:rFonts w:ascii="Arial" w:hAnsi="Arial" w:cs="Arial"/>
          <w:sz w:val="24"/>
          <w:szCs w:val="24"/>
        </w:rPr>
      </w:pPr>
    </w:p>
    <w:p w14:paraId="19E7FC78" w14:textId="77777777" w:rsidR="00C6207F" w:rsidRPr="000D756E" w:rsidRDefault="00C6207F" w:rsidP="002A7C01">
      <w:pPr>
        <w:rPr>
          <w:rFonts w:ascii="Arial" w:hAnsi="Arial" w:cs="Arial"/>
          <w:sz w:val="24"/>
          <w:szCs w:val="24"/>
        </w:rPr>
      </w:pPr>
    </w:p>
    <w:p w14:paraId="42D3A61F" w14:textId="2C802F88" w:rsidR="00EB4784" w:rsidRPr="000D756E" w:rsidRDefault="00A16FE7" w:rsidP="002A7C01">
      <w:pPr>
        <w:rPr>
          <w:rFonts w:ascii="Arial" w:hAnsi="Arial" w:cs="Arial"/>
          <w:sz w:val="24"/>
          <w:szCs w:val="24"/>
        </w:rPr>
      </w:pPr>
      <w:r w:rsidRPr="000D756E">
        <w:rPr>
          <w:rFonts w:ascii="Arial" w:hAnsi="Arial" w:cs="Arial"/>
          <w:sz w:val="24"/>
          <w:szCs w:val="24"/>
        </w:rPr>
        <w:t xml:space="preserve">Additional grants were </w:t>
      </w:r>
      <w:r w:rsidR="00A96413" w:rsidRPr="000D756E">
        <w:rPr>
          <w:rFonts w:ascii="Arial" w:hAnsi="Arial" w:cs="Arial"/>
          <w:sz w:val="24"/>
          <w:szCs w:val="24"/>
        </w:rPr>
        <w:t xml:space="preserve">provided by the government to compensate for business rates reductions. </w:t>
      </w:r>
      <w:r w:rsidR="00477348" w:rsidRPr="000D756E">
        <w:rPr>
          <w:rFonts w:ascii="Arial" w:hAnsi="Arial" w:cs="Arial"/>
          <w:sz w:val="24"/>
          <w:szCs w:val="24"/>
        </w:rPr>
        <w:t xml:space="preserve">These have been shown </w:t>
      </w:r>
      <w:r w:rsidR="002F4768" w:rsidRPr="000D756E">
        <w:rPr>
          <w:rFonts w:ascii="Arial" w:hAnsi="Arial" w:cs="Arial"/>
          <w:sz w:val="24"/>
          <w:szCs w:val="24"/>
        </w:rPr>
        <w:t xml:space="preserve">in the graph above within </w:t>
      </w:r>
      <w:r w:rsidR="005B250A" w:rsidRPr="000D756E">
        <w:rPr>
          <w:rFonts w:ascii="Arial" w:hAnsi="Arial" w:cs="Arial"/>
          <w:sz w:val="24"/>
          <w:szCs w:val="24"/>
        </w:rPr>
        <w:t>‘Other Grants’</w:t>
      </w:r>
      <w:r w:rsidR="002F4768" w:rsidRPr="000D756E">
        <w:rPr>
          <w:rFonts w:ascii="Arial" w:hAnsi="Arial" w:cs="Arial"/>
          <w:sz w:val="24"/>
          <w:szCs w:val="24"/>
        </w:rPr>
        <w:t>.</w:t>
      </w:r>
    </w:p>
    <w:p w14:paraId="46171AAD" w14:textId="5E8CBD97" w:rsidR="00F05342" w:rsidRPr="000D756E" w:rsidRDefault="00F05342">
      <w:pPr>
        <w:rPr>
          <w:rFonts w:ascii="Arial" w:hAnsi="Arial" w:cs="Arial"/>
          <w:sz w:val="24"/>
          <w:szCs w:val="24"/>
        </w:rPr>
      </w:pPr>
      <w:r w:rsidRPr="000D756E">
        <w:rPr>
          <w:rFonts w:ascii="Arial" w:hAnsi="Arial" w:cs="Arial"/>
          <w:sz w:val="24"/>
          <w:szCs w:val="24"/>
        </w:rPr>
        <w:br w:type="page"/>
      </w:r>
    </w:p>
    <w:p w14:paraId="58522890" w14:textId="77777777" w:rsidR="002F4768" w:rsidRPr="000D756E" w:rsidRDefault="002F4768" w:rsidP="002A7C01">
      <w:pPr>
        <w:rPr>
          <w:rFonts w:ascii="Arial" w:hAnsi="Arial" w:cs="Arial"/>
          <w:sz w:val="24"/>
          <w:szCs w:val="24"/>
        </w:rPr>
      </w:pPr>
    </w:p>
    <w:p w14:paraId="477EC889" w14:textId="68ABC60B" w:rsidR="00F748D7" w:rsidRDefault="00727FE6" w:rsidP="002A7C01">
      <w:pPr>
        <w:rPr>
          <w:rFonts w:ascii="Arial" w:hAnsi="Arial" w:cs="Arial"/>
          <w:sz w:val="24"/>
          <w:szCs w:val="24"/>
        </w:rPr>
      </w:pPr>
      <w:r w:rsidRPr="000D756E">
        <w:rPr>
          <w:rFonts w:ascii="Arial" w:hAnsi="Arial" w:cs="Arial"/>
          <w:sz w:val="24"/>
          <w:szCs w:val="24"/>
        </w:rPr>
        <w:t>During 20</w:t>
      </w:r>
      <w:r w:rsidR="00A5638B" w:rsidRPr="000D756E">
        <w:rPr>
          <w:rFonts w:ascii="Arial" w:hAnsi="Arial" w:cs="Arial"/>
          <w:sz w:val="24"/>
          <w:szCs w:val="24"/>
        </w:rPr>
        <w:t>2</w:t>
      </w:r>
      <w:r w:rsidR="00616A21">
        <w:rPr>
          <w:rFonts w:ascii="Arial" w:hAnsi="Arial" w:cs="Arial"/>
          <w:sz w:val="24"/>
          <w:szCs w:val="24"/>
        </w:rPr>
        <w:t>4/25</w:t>
      </w:r>
      <w:r w:rsidR="00BA321A" w:rsidRPr="000D756E">
        <w:rPr>
          <w:rFonts w:ascii="Arial" w:hAnsi="Arial" w:cs="Arial"/>
          <w:sz w:val="24"/>
          <w:szCs w:val="24"/>
        </w:rPr>
        <w:t xml:space="preserve"> the Fire Authority received regular updates on financial performance and </w:t>
      </w:r>
      <w:r w:rsidR="004F4C29">
        <w:rPr>
          <w:rFonts w:ascii="Arial" w:hAnsi="Arial" w:cs="Arial"/>
          <w:sz w:val="24"/>
          <w:szCs w:val="24"/>
        </w:rPr>
        <w:t>transfer</w:t>
      </w:r>
      <w:r w:rsidR="00F748D7">
        <w:rPr>
          <w:rFonts w:ascii="Arial" w:hAnsi="Arial" w:cs="Arial"/>
          <w:sz w:val="24"/>
          <w:szCs w:val="24"/>
        </w:rPr>
        <w:t>red</w:t>
      </w:r>
      <w:r w:rsidR="004F4C29">
        <w:rPr>
          <w:rFonts w:ascii="Arial" w:hAnsi="Arial" w:cs="Arial"/>
          <w:sz w:val="24"/>
          <w:szCs w:val="24"/>
        </w:rPr>
        <w:t xml:space="preserve"> £869,000 </w:t>
      </w:r>
      <w:r w:rsidR="00F748D7">
        <w:rPr>
          <w:rFonts w:ascii="Arial" w:hAnsi="Arial" w:cs="Arial"/>
          <w:sz w:val="24"/>
          <w:szCs w:val="24"/>
        </w:rPr>
        <w:t>of underspends to reserves for use within the Service.</w:t>
      </w:r>
      <w:r w:rsidR="00905DF7">
        <w:rPr>
          <w:rFonts w:ascii="Arial" w:hAnsi="Arial" w:cs="Arial"/>
          <w:sz w:val="24"/>
          <w:szCs w:val="24"/>
        </w:rPr>
        <w:t xml:space="preserve"> </w:t>
      </w:r>
    </w:p>
    <w:p w14:paraId="5123933B" w14:textId="77777777" w:rsidR="000D5810" w:rsidRDefault="000D5810" w:rsidP="002A7C01">
      <w:pPr>
        <w:rPr>
          <w:rFonts w:ascii="Arial" w:hAnsi="Arial" w:cs="Arial"/>
          <w:sz w:val="24"/>
          <w:szCs w:val="24"/>
        </w:rPr>
      </w:pPr>
    </w:p>
    <w:p w14:paraId="5874FAFD" w14:textId="20E4C90E" w:rsidR="000A71CD" w:rsidRPr="000D756E" w:rsidRDefault="00BA321A" w:rsidP="002A7C01">
      <w:pPr>
        <w:rPr>
          <w:rFonts w:ascii="Arial" w:hAnsi="Arial" w:cs="Arial"/>
          <w:sz w:val="24"/>
          <w:szCs w:val="24"/>
        </w:rPr>
      </w:pPr>
      <w:r w:rsidRPr="000D756E">
        <w:rPr>
          <w:rFonts w:ascii="Arial" w:hAnsi="Arial" w:cs="Arial"/>
          <w:sz w:val="24"/>
          <w:szCs w:val="24"/>
        </w:rPr>
        <w:t>Actual out t</w:t>
      </w:r>
      <w:r w:rsidR="000A71CD" w:rsidRPr="000D756E">
        <w:rPr>
          <w:rFonts w:ascii="Arial" w:hAnsi="Arial" w:cs="Arial"/>
          <w:sz w:val="24"/>
          <w:szCs w:val="24"/>
        </w:rPr>
        <w:t>ur</w:t>
      </w:r>
      <w:r w:rsidRPr="000D756E">
        <w:rPr>
          <w:rFonts w:ascii="Arial" w:hAnsi="Arial" w:cs="Arial"/>
          <w:sz w:val="24"/>
          <w:szCs w:val="24"/>
        </w:rPr>
        <w:t>n</w:t>
      </w:r>
      <w:r w:rsidR="00E77448" w:rsidRPr="00E77448">
        <w:rPr>
          <w:rFonts w:ascii="Arial" w:hAnsi="Arial" w:cs="Arial"/>
          <w:sz w:val="24"/>
          <w:szCs w:val="24"/>
        </w:rPr>
        <w:t xml:space="preserve"> </w:t>
      </w:r>
      <w:r w:rsidR="00E77448" w:rsidRPr="000D756E">
        <w:rPr>
          <w:rFonts w:ascii="Arial" w:hAnsi="Arial" w:cs="Arial"/>
          <w:sz w:val="24"/>
          <w:szCs w:val="24"/>
        </w:rPr>
        <w:t>on the revenue budget</w:t>
      </w:r>
      <w:r w:rsidR="00AB1C54">
        <w:rPr>
          <w:rFonts w:ascii="Arial" w:hAnsi="Arial" w:cs="Arial"/>
          <w:sz w:val="24"/>
          <w:szCs w:val="24"/>
        </w:rPr>
        <w:t xml:space="preserve">, including transfer of </w:t>
      </w:r>
      <w:r w:rsidR="00E77448">
        <w:rPr>
          <w:rFonts w:ascii="Arial" w:hAnsi="Arial" w:cs="Arial"/>
          <w:sz w:val="24"/>
          <w:szCs w:val="24"/>
        </w:rPr>
        <w:t>variances to reserves,</w:t>
      </w:r>
      <w:r w:rsidRPr="000D756E">
        <w:rPr>
          <w:rFonts w:ascii="Arial" w:hAnsi="Arial" w:cs="Arial"/>
          <w:sz w:val="24"/>
          <w:szCs w:val="24"/>
        </w:rPr>
        <w:t xml:space="preserve"> was £</w:t>
      </w:r>
      <w:r w:rsidR="00E51716" w:rsidRPr="000D756E">
        <w:rPr>
          <w:rFonts w:ascii="Arial" w:hAnsi="Arial" w:cs="Arial"/>
          <w:sz w:val="24"/>
          <w:szCs w:val="24"/>
        </w:rPr>
        <w:t>2</w:t>
      </w:r>
      <w:r w:rsidR="00CE1F6A">
        <w:rPr>
          <w:rFonts w:ascii="Arial" w:hAnsi="Arial" w:cs="Arial"/>
          <w:sz w:val="24"/>
          <w:szCs w:val="24"/>
        </w:rPr>
        <w:t>8.36</w:t>
      </w:r>
      <w:r w:rsidR="00E77448">
        <w:rPr>
          <w:rFonts w:ascii="Arial" w:hAnsi="Arial" w:cs="Arial"/>
          <w:sz w:val="24"/>
          <w:szCs w:val="24"/>
        </w:rPr>
        <w:t>3</w:t>
      </w:r>
      <w:r w:rsidR="00CE1F6A">
        <w:rPr>
          <w:rFonts w:ascii="Arial" w:hAnsi="Arial" w:cs="Arial"/>
          <w:sz w:val="24"/>
          <w:szCs w:val="24"/>
        </w:rPr>
        <w:t>m</w:t>
      </w:r>
      <w:r w:rsidR="005747FA" w:rsidRPr="000D756E">
        <w:rPr>
          <w:rFonts w:ascii="Arial" w:hAnsi="Arial" w:cs="Arial"/>
          <w:sz w:val="24"/>
          <w:szCs w:val="24"/>
        </w:rPr>
        <w:t xml:space="preserve">; </w:t>
      </w:r>
      <w:r w:rsidR="00F61DD4" w:rsidRPr="000D756E">
        <w:rPr>
          <w:rFonts w:ascii="Arial" w:hAnsi="Arial" w:cs="Arial"/>
          <w:sz w:val="24"/>
          <w:szCs w:val="24"/>
        </w:rPr>
        <w:t>variances</w:t>
      </w:r>
      <w:r w:rsidR="008B7B88" w:rsidRPr="000D756E">
        <w:rPr>
          <w:rFonts w:ascii="Arial" w:hAnsi="Arial" w:cs="Arial"/>
          <w:sz w:val="24"/>
          <w:szCs w:val="24"/>
        </w:rPr>
        <w:t xml:space="preserve"> of £</w:t>
      </w:r>
      <w:r w:rsidR="000D5810">
        <w:rPr>
          <w:rFonts w:ascii="Arial" w:hAnsi="Arial" w:cs="Arial"/>
          <w:sz w:val="24"/>
          <w:szCs w:val="24"/>
        </w:rPr>
        <w:t>81</w:t>
      </w:r>
      <w:r w:rsidR="00F11066">
        <w:rPr>
          <w:rFonts w:ascii="Arial" w:hAnsi="Arial" w:cs="Arial"/>
          <w:sz w:val="24"/>
          <w:szCs w:val="24"/>
        </w:rPr>
        <w:t>5</w:t>
      </w:r>
      <w:r w:rsidR="00D84307" w:rsidRPr="000D756E">
        <w:rPr>
          <w:rFonts w:ascii="Arial" w:hAnsi="Arial" w:cs="Arial"/>
          <w:sz w:val="24"/>
          <w:szCs w:val="24"/>
        </w:rPr>
        <w:t>,000</w:t>
      </w:r>
      <w:r w:rsidR="008B7B88" w:rsidRPr="000D756E">
        <w:rPr>
          <w:rFonts w:ascii="Arial" w:hAnsi="Arial" w:cs="Arial"/>
          <w:sz w:val="24"/>
          <w:szCs w:val="24"/>
        </w:rPr>
        <w:t xml:space="preserve"> </w:t>
      </w:r>
      <w:r w:rsidR="00D07B02">
        <w:rPr>
          <w:rFonts w:ascii="Arial" w:hAnsi="Arial" w:cs="Arial"/>
          <w:sz w:val="24"/>
          <w:szCs w:val="24"/>
        </w:rPr>
        <w:t>have been identified</w:t>
      </w:r>
      <w:r w:rsidR="000D5810">
        <w:rPr>
          <w:rFonts w:ascii="Arial" w:hAnsi="Arial" w:cs="Arial"/>
          <w:sz w:val="24"/>
          <w:szCs w:val="24"/>
        </w:rPr>
        <w:t>, £262,000 of which were</w:t>
      </w:r>
      <w:r w:rsidR="000D5810" w:rsidRPr="000D5810">
        <w:rPr>
          <w:rFonts w:ascii="Arial" w:hAnsi="Arial" w:cs="Arial"/>
          <w:sz w:val="24"/>
          <w:szCs w:val="24"/>
        </w:rPr>
        <w:t xml:space="preserve"> </w:t>
      </w:r>
      <w:r w:rsidR="000D5810">
        <w:rPr>
          <w:rFonts w:ascii="Arial" w:hAnsi="Arial" w:cs="Arial"/>
          <w:sz w:val="24"/>
          <w:szCs w:val="24"/>
        </w:rPr>
        <w:t>reported to the Fire Authority in June 2025.</w:t>
      </w:r>
      <w:r w:rsidR="00E85E25">
        <w:rPr>
          <w:rFonts w:ascii="Arial" w:hAnsi="Arial" w:cs="Arial"/>
          <w:sz w:val="24"/>
          <w:szCs w:val="24"/>
        </w:rPr>
        <w:t xml:space="preserve"> The remaining variances are shown in the table below.</w:t>
      </w:r>
    </w:p>
    <w:p w14:paraId="1ACDB419" w14:textId="77777777" w:rsidR="00EC0D19" w:rsidRPr="000D756E" w:rsidRDefault="00EC0D19" w:rsidP="002A7C01">
      <w:pPr>
        <w:rPr>
          <w:rFonts w:ascii="Arial" w:hAnsi="Arial" w:cs="Arial"/>
          <w:sz w:val="24"/>
          <w:szCs w:val="24"/>
        </w:rPr>
      </w:pPr>
    </w:p>
    <w:p w14:paraId="18736658" w14:textId="17A2E304" w:rsidR="000A71CD" w:rsidRPr="000D756E" w:rsidRDefault="000A71CD" w:rsidP="002A7C01">
      <w:pPr>
        <w:rPr>
          <w:rFonts w:ascii="Arial" w:hAnsi="Arial" w:cs="Arial"/>
          <w:sz w:val="24"/>
          <w:szCs w:val="24"/>
        </w:rPr>
      </w:pPr>
    </w:p>
    <w:p w14:paraId="1E2A0A79" w14:textId="4FFDD43F" w:rsidR="00A5254A" w:rsidRPr="000D756E" w:rsidRDefault="00F11066" w:rsidP="002A7C01">
      <w:pPr>
        <w:rPr>
          <w:rFonts w:ascii="Arial" w:hAnsi="Arial" w:cs="Arial"/>
          <w:sz w:val="24"/>
          <w:szCs w:val="24"/>
        </w:rPr>
      </w:pPr>
      <w:r>
        <w:rPr>
          <w:noProof/>
        </w:rPr>
        <w:drawing>
          <wp:inline distT="0" distB="0" distL="0" distR="0" wp14:anchorId="024B0C02" wp14:editId="0CC3D638">
            <wp:extent cx="5733415" cy="3890645"/>
            <wp:effectExtent l="0" t="0" r="635" b="14605"/>
            <wp:docPr id="788920795" name="Chart 1">
              <a:extLst xmlns:a="http://schemas.openxmlformats.org/drawingml/2006/main">
                <a:ext uri="{FF2B5EF4-FFF2-40B4-BE49-F238E27FC236}">
                  <a16:creationId xmlns:a16="http://schemas.microsoft.com/office/drawing/2014/main" id="{06ACE817-8E74-F961-B40C-C5A999DA0F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235"/>
      </w:tblGrid>
      <w:tr w:rsidR="000D756E" w:rsidRPr="000D756E" w14:paraId="5DD04803" w14:textId="77777777" w:rsidTr="00EC0D19">
        <w:tc>
          <w:tcPr>
            <w:tcW w:w="7621" w:type="dxa"/>
            <w:tcBorders>
              <w:top w:val="nil"/>
              <w:left w:val="nil"/>
              <w:bottom w:val="nil"/>
              <w:right w:val="nil"/>
            </w:tcBorders>
          </w:tcPr>
          <w:p w14:paraId="39F070DD" w14:textId="25489B36" w:rsidR="00C74639" w:rsidRPr="000D756E" w:rsidRDefault="00C74639" w:rsidP="00200DB4">
            <w:pPr>
              <w:rPr>
                <w:rFonts w:ascii="Arial" w:hAnsi="Arial" w:cs="Arial"/>
                <w:b/>
                <w:sz w:val="24"/>
                <w:szCs w:val="24"/>
              </w:rPr>
            </w:pPr>
          </w:p>
        </w:tc>
        <w:tc>
          <w:tcPr>
            <w:tcW w:w="1235" w:type="dxa"/>
            <w:tcBorders>
              <w:top w:val="nil"/>
              <w:left w:val="nil"/>
              <w:bottom w:val="nil"/>
              <w:right w:val="nil"/>
            </w:tcBorders>
          </w:tcPr>
          <w:p w14:paraId="5826A68D" w14:textId="77777777" w:rsidR="00200DB4" w:rsidRPr="000D756E" w:rsidRDefault="00200DB4" w:rsidP="00200DB4">
            <w:pPr>
              <w:rPr>
                <w:rFonts w:ascii="Arial" w:hAnsi="Arial" w:cs="Arial"/>
                <w:b/>
                <w:sz w:val="24"/>
                <w:szCs w:val="24"/>
              </w:rPr>
            </w:pPr>
          </w:p>
        </w:tc>
      </w:tr>
      <w:tr w:rsidR="000D756E" w:rsidRPr="000D756E" w14:paraId="0AB4A8A6" w14:textId="77777777" w:rsidTr="00EC0D19">
        <w:tc>
          <w:tcPr>
            <w:tcW w:w="7621" w:type="dxa"/>
            <w:tcBorders>
              <w:top w:val="single" w:sz="4" w:space="0" w:color="auto"/>
            </w:tcBorders>
          </w:tcPr>
          <w:p w14:paraId="1A677E4C" w14:textId="77777777" w:rsidR="00200DB4" w:rsidRPr="000D756E" w:rsidRDefault="00200DB4" w:rsidP="00200DB4">
            <w:pPr>
              <w:rPr>
                <w:rFonts w:ascii="Arial" w:hAnsi="Arial" w:cs="Arial"/>
                <w:b/>
                <w:sz w:val="24"/>
                <w:szCs w:val="24"/>
              </w:rPr>
            </w:pPr>
          </w:p>
          <w:p w14:paraId="0F64EFF8" w14:textId="77777777" w:rsidR="00200DB4" w:rsidRPr="000D756E" w:rsidRDefault="00200DB4" w:rsidP="00200DB4">
            <w:pPr>
              <w:rPr>
                <w:rFonts w:ascii="Arial" w:hAnsi="Arial" w:cs="Arial"/>
                <w:b/>
                <w:sz w:val="24"/>
                <w:szCs w:val="24"/>
              </w:rPr>
            </w:pPr>
            <w:r w:rsidRPr="000D756E">
              <w:rPr>
                <w:rFonts w:ascii="Arial" w:hAnsi="Arial" w:cs="Arial"/>
                <w:b/>
                <w:sz w:val="24"/>
                <w:szCs w:val="24"/>
              </w:rPr>
              <w:t>Efficiencies and other variances</w:t>
            </w:r>
          </w:p>
          <w:p w14:paraId="2E56C613" w14:textId="77777777" w:rsidR="00200DB4" w:rsidRPr="000D756E" w:rsidRDefault="00200DB4" w:rsidP="00200DB4">
            <w:pPr>
              <w:rPr>
                <w:rFonts w:ascii="Arial" w:hAnsi="Arial" w:cs="Arial"/>
                <w:b/>
                <w:sz w:val="24"/>
                <w:szCs w:val="24"/>
              </w:rPr>
            </w:pPr>
          </w:p>
        </w:tc>
        <w:tc>
          <w:tcPr>
            <w:tcW w:w="1235" w:type="dxa"/>
            <w:tcBorders>
              <w:top w:val="single" w:sz="4" w:space="0" w:color="auto"/>
            </w:tcBorders>
          </w:tcPr>
          <w:p w14:paraId="51F99D98" w14:textId="77777777" w:rsidR="00200DB4" w:rsidRPr="000D756E" w:rsidRDefault="00200DB4" w:rsidP="00200DB4">
            <w:pPr>
              <w:jc w:val="right"/>
              <w:rPr>
                <w:rFonts w:ascii="Arial" w:hAnsi="Arial" w:cs="Arial"/>
                <w:b/>
                <w:sz w:val="24"/>
                <w:szCs w:val="24"/>
              </w:rPr>
            </w:pPr>
          </w:p>
          <w:p w14:paraId="701FB020" w14:textId="77777777" w:rsidR="00200DB4" w:rsidRPr="000D756E" w:rsidRDefault="00200DB4" w:rsidP="00200DB4">
            <w:pPr>
              <w:jc w:val="right"/>
              <w:rPr>
                <w:rFonts w:ascii="Arial" w:hAnsi="Arial" w:cs="Arial"/>
                <w:b/>
                <w:sz w:val="24"/>
                <w:szCs w:val="24"/>
                <w:highlight w:val="green"/>
              </w:rPr>
            </w:pPr>
            <w:r w:rsidRPr="000D756E">
              <w:rPr>
                <w:rFonts w:ascii="Arial" w:hAnsi="Arial" w:cs="Arial"/>
                <w:b/>
                <w:sz w:val="24"/>
                <w:szCs w:val="24"/>
              </w:rPr>
              <w:t>£’000</w:t>
            </w:r>
          </w:p>
        </w:tc>
      </w:tr>
      <w:tr w:rsidR="000D756E" w:rsidRPr="000D756E" w14:paraId="2024BCBA" w14:textId="77777777" w:rsidTr="00EC0D19">
        <w:tc>
          <w:tcPr>
            <w:tcW w:w="7621" w:type="dxa"/>
          </w:tcPr>
          <w:p w14:paraId="4FB6A6DF" w14:textId="1EF654CE" w:rsidR="00200DB4" w:rsidRPr="000D756E" w:rsidRDefault="00BD05DC" w:rsidP="00200DB4">
            <w:pPr>
              <w:rPr>
                <w:rFonts w:ascii="Arial" w:hAnsi="Arial" w:cs="Arial"/>
                <w:sz w:val="24"/>
                <w:szCs w:val="24"/>
              </w:rPr>
            </w:pPr>
            <w:r>
              <w:rPr>
                <w:rFonts w:ascii="Arial" w:hAnsi="Arial" w:cs="Arial"/>
                <w:sz w:val="24"/>
                <w:szCs w:val="24"/>
              </w:rPr>
              <w:t>Prevention</w:t>
            </w:r>
            <w:r w:rsidR="00B43C41" w:rsidRPr="000D756E">
              <w:rPr>
                <w:rFonts w:ascii="Arial" w:hAnsi="Arial" w:cs="Arial"/>
                <w:sz w:val="24"/>
                <w:szCs w:val="24"/>
              </w:rPr>
              <w:t xml:space="preserve"> pay</w:t>
            </w:r>
          </w:p>
        </w:tc>
        <w:tc>
          <w:tcPr>
            <w:tcW w:w="1235" w:type="dxa"/>
          </w:tcPr>
          <w:p w14:paraId="2D2C8630" w14:textId="0DA23FEE" w:rsidR="00200DB4" w:rsidRPr="000D756E" w:rsidRDefault="00C849E6" w:rsidP="00DA6E7B">
            <w:pPr>
              <w:jc w:val="right"/>
              <w:rPr>
                <w:rFonts w:ascii="Arial" w:hAnsi="Arial" w:cs="Arial"/>
                <w:sz w:val="24"/>
                <w:szCs w:val="24"/>
              </w:rPr>
            </w:pPr>
            <w:r>
              <w:rPr>
                <w:rFonts w:ascii="Arial" w:hAnsi="Arial" w:cs="Arial"/>
                <w:sz w:val="24"/>
                <w:szCs w:val="24"/>
              </w:rPr>
              <w:t>143</w:t>
            </w:r>
          </w:p>
        </w:tc>
      </w:tr>
      <w:tr w:rsidR="000D756E" w:rsidRPr="000D756E" w14:paraId="19905749" w14:textId="77777777" w:rsidTr="00EC0D19">
        <w:tc>
          <w:tcPr>
            <w:tcW w:w="7621" w:type="dxa"/>
          </w:tcPr>
          <w:p w14:paraId="4A21D5A3" w14:textId="2DE573F5" w:rsidR="00200DB4" w:rsidRPr="000D756E" w:rsidRDefault="00540F2A" w:rsidP="00200DB4">
            <w:pPr>
              <w:rPr>
                <w:rFonts w:ascii="Arial" w:hAnsi="Arial" w:cs="Arial"/>
                <w:sz w:val="24"/>
                <w:szCs w:val="24"/>
              </w:rPr>
            </w:pPr>
            <w:r>
              <w:rPr>
                <w:rFonts w:ascii="Arial" w:hAnsi="Arial" w:cs="Arial"/>
                <w:sz w:val="24"/>
                <w:szCs w:val="24"/>
              </w:rPr>
              <w:t>Other</w:t>
            </w:r>
            <w:r w:rsidR="001711F3" w:rsidRPr="000D756E">
              <w:rPr>
                <w:rFonts w:ascii="Arial" w:hAnsi="Arial" w:cs="Arial"/>
                <w:sz w:val="24"/>
                <w:szCs w:val="24"/>
              </w:rPr>
              <w:t xml:space="preserve"> pay</w:t>
            </w:r>
          </w:p>
        </w:tc>
        <w:tc>
          <w:tcPr>
            <w:tcW w:w="1235" w:type="dxa"/>
          </w:tcPr>
          <w:p w14:paraId="0F0DA56F" w14:textId="4D58256D" w:rsidR="00200DB4" w:rsidRPr="000D756E" w:rsidRDefault="00540F2A" w:rsidP="00C53015">
            <w:pPr>
              <w:jc w:val="right"/>
              <w:rPr>
                <w:rFonts w:ascii="Arial" w:hAnsi="Arial" w:cs="Arial"/>
                <w:sz w:val="24"/>
                <w:szCs w:val="24"/>
              </w:rPr>
            </w:pPr>
            <w:r>
              <w:rPr>
                <w:rFonts w:ascii="Arial" w:hAnsi="Arial" w:cs="Arial"/>
                <w:sz w:val="24"/>
                <w:szCs w:val="24"/>
              </w:rPr>
              <w:t>-3</w:t>
            </w:r>
          </w:p>
        </w:tc>
      </w:tr>
      <w:tr w:rsidR="000D756E" w:rsidRPr="000D756E" w14:paraId="59DAB236" w14:textId="77777777" w:rsidTr="00EC0D19">
        <w:tc>
          <w:tcPr>
            <w:tcW w:w="7621" w:type="dxa"/>
          </w:tcPr>
          <w:p w14:paraId="51715BB1" w14:textId="3D1745AE" w:rsidR="00200DB4" w:rsidRPr="000D756E" w:rsidRDefault="007B4904" w:rsidP="00200DB4">
            <w:pPr>
              <w:rPr>
                <w:rFonts w:ascii="Arial" w:hAnsi="Arial" w:cs="Arial"/>
                <w:sz w:val="24"/>
                <w:szCs w:val="24"/>
              </w:rPr>
            </w:pPr>
            <w:r>
              <w:rPr>
                <w:rFonts w:ascii="Arial" w:hAnsi="Arial" w:cs="Arial"/>
                <w:sz w:val="24"/>
                <w:szCs w:val="24"/>
              </w:rPr>
              <w:t>Legal fees</w:t>
            </w:r>
          </w:p>
        </w:tc>
        <w:tc>
          <w:tcPr>
            <w:tcW w:w="1235" w:type="dxa"/>
          </w:tcPr>
          <w:p w14:paraId="04D77CC8" w14:textId="216CCB87" w:rsidR="00200DB4" w:rsidRPr="000D756E" w:rsidRDefault="007B4904" w:rsidP="00200DB4">
            <w:pPr>
              <w:jc w:val="right"/>
              <w:rPr>
                <w:rFonts w:ascii="Arial" w:hAnsi="Arial" w:cs="Arial"/>
                <w:sz w:val="24"/>
                <w:szCs w:val="24"/>
              </w:rPr>
            </w:pPr>
            <w:r>
              <w:rPr>
                <w:rFonts w:ascii="Arial" w:hAnsi="Arial" w:cs="Arial"/>
                <w:sz w:val="24"/>
                <w:szCs w:val="24"/>
              </w:rPr>
              <w:t>-42</w:t>
            </w:r>
          </w:p>
        </w:tc>
      </w:tr>
      <w:tr w:rsidR="000D756E" w:rsidRPr="000D756E" w14:paraId="4EC6A43F" w14:textId="77777777" w:rsidTr="00EC0D19">
        <w:tc>
          <w:tcPr>
            <w:tcW w:w="7621" w:type="dxa"/>
          </w:tcPr>
          <w:p w14:paraId="35F3AC3E" w14:textId="56F423F3" w:rsidR="00200DB4" w:rsidRPr="000D756E" w:rsidRDefault="007B4904" w:rsidP="00200DB4">
            <w:pPr>
              <w:rPr>
                <w:rFonts w:ascii="Arial" w:hAnsi="Arial" w:cs="Arial"/>
                <w:sz w:val="24"/>
                <w:szCs w:val="24"/>
              </w:rPr>
            </w:pPr>
            <w:r>
              <w:rPr>
                <w:rFonts w:ascii="Arial" w:hAnsi="Arial" w:cs="Arial"/>
                <w:sz w:val="24"/>
                <w:szCs w:val="24"/>
              </w:rPr>
              <w:t>Debt charges</w:t>
            </w:r>
          </w:p>
        </w:tc>
        <w:tc>
          <w:tcPr>
            <w:tcW w:w="1235" w:type="dxa"/>
          </w:tcPr>
          <w:p w14:paraId="60238C35" w14:textId="6DE8B04F" w:rsidR="00200DB4" w:rsidRPr="000D756E" w:rsidRDefault="007B4904" w:rsidP="00200DB4">
            <w:pPr>
              <w:jc w:val="right"/>
              <w:rPr>
                <w:rFonts w:ascii="Arial" w:hAnsi="Arial" w:cs="Arial"/>
                <w:sz w:val="24"/>
                <w:szCs w:val="24"/>
              </w:rPr>
            </w:pPr>
            <w:r>
              <w:rPr>
                <w:rFonts w:ascii="Arial" w:hAnsi="Arial" w:cs="Arial"/>
                <w:sz w:val="24"/>
                <w:szCs w:val="24"/>
              </w:rPr>
              <w:t>52</w:t>
            </w:r>
          </w:p>
        </w:tc>
      </w:tr>
      <w:tr w:rsidR="000D756E" w:rsidRPr="000D756E" w14:paraId="7369976A" w14:textId="77777777" w:rsidTr="00EC0D19">
        <w:tc>
          <w:tcPr>
            <w:tcW w:w="7621" w:type="dxa"/>
          </w:tcPr>
          <w:p w14:paraId="0C649915" w14:textId="487BAC1D" w:rsidR="00941B9B" w:rsidRPr="000D756E" w:rsidRDefault="0048019B" w:rsidP="00200DB4">
            <w:pPr>
              <w:rPr>
                <w:rFonts w:ascii="Arial" w:hAnsi="Arial" w:cs="Arial"/>
                <w:sz w:val="24"/>
                <w:szCs w:val="24"/>
              </w:rPr>
            </w:pPr>
            <w:r>
              <w:rPr>
                <w:rFonts w:ascii="Arial" w:hAnsi="Arial" w:cs="Arial"/>
                <w:sz w:val="24"/>
                <w:szCs w:val="24"/>
              </w:rPr>
              <w:t>Audit fees</w:t>
            </w:r>
          </w:p>
        </w:tc>
        <w:tc>
          <w:tcPr>
            <w:tcW w:w="1235" w:type="dxa"/>
          </w:tcPr>
          <w:p w14:paraId="0A517E5E" w14:textId="00F16D82" w:rsidR="00941B9B" w:rsidRPr="000D756E" w:rsidRDefault="0048019B" w:rsidP="00200DB4">
            <w:pPr>
              <w:jc w:val="right"/>
              <w:rPr>
                <w:rFonts w:ascii="Arial" w:hAnsi="Arial" w:cs="Arial"/>
                <w:sz w:val="24"/>
                <w:szCs w:val="24"/>
              </w:rPr>
            </w:pPr>
            <w:r>
              <w:rPr>
                <w:rFonts w:ascii="Arial" w:hAnsi="Arial" w:cs="Arial"/>
                <w:sz w:val="24"/>
                <w:szCs w:val="24"/>
              </w:rPr>
              <w:t>-51</w:t>
            </w:r>
          </w:p>
        </w:tc>
      </w:tr>
      <w:tr w:rsidR="000D756E" w:rsidRPr="000D756E" w14:paraId="5EE3B9D0" w14:textId="77777777" w:rsidTr="00EC0D19">
        <w:tc>
          <w:tcPr>
            <w:tcW w:w="7621" w:type="dxa"/>
          </w:tcPr>
          <w:p w14:paraId="7D2394CB" w14:textId="1161683E" w:rsidR="005514AE" w:rsidRPr="000D756E" w:rsidRDefault="0048019B" w:rsidP="00200DB4">
            <w:pPr>
              <w:rPr>
                <w:rFonts w:ascii="Arial" w:hAnsi="Arial" w:cs="Arial"/>
                <w:sz w:val="24"/>
                <w:szCs w:val="24"/>
              </w:rPr>
            </w:pPr>
            <w:r>
              <w:rPr>
                <w:rFonts w:ascii="Arial" w:hAnsi="Arial" w:cs="Arial"/>
                <w:sz w:val="24"/>
                <w:szCs w:val="24"/>
              </w:rPr>
              <w:t>Training</w:t>
            </w:r>
          </w:p>
        </w:tc>
        <w:tc>
          <w:tcPr>
            <w:tcW w:w="1235" w:type="dxa"/>
          </w:tcPr>
          <w:p w14:paraId="59103C3C" w14:textId="3BA77165" w:rsidR="005514AE" w:rsidRPr="000D756E" w:rsidRDefault="0048019B" w:rsidP="00200DB4">
            <w:pPr>
              <w:jc w:val="right"/>
              <w:rPr>
                <w:rFonts w:ascii="Arial" w:hAnsi="Arial" w:cs="Arial"/>
                <w:sz w:val="24"/>
                <w:szCs w:val="24"/>
              </w:rPr>
            </w:pPr>
            <w:r>
              <w:rPr>
                <w:rFonts w:ascii="Arial" w:hAnsi="Arial" w:cs="Arial"/>
                <w:sz w:val="24"/>
                <w:szCs w:val="24"/>
              </w:rPr>
              <w:t>-24</w:t>
            </w:r>
          </w:p>
        </w:tc>
      </w:tr>
      <w:tr w:rsidR="000D756E" w:rsidRPr="000D756E" w14:paraId="6F633397" w14:textId="77777777" w:rsidTr="00EC0D19">
        <w:tc>
          <w:tcPr>
            <w:tcW w:w="7621" w:type="dxa"/>
          </w:tcPr>
          <w:p w14:paraId="10DD6946" w14:textId="7E520BCF" w:rsidR="00EC0D19" w:rsidRPr="000D756E" w:rsidRDefault="0048019B" w:rsidP="00200DB4">
            <w:pPr>
              <w:rPr>
                <w:rFonts w:ascii="Arial" w:hAnsi="Arial" w:cs="Arial"/>
                <w:sz w:val="24"/>
                <w:szCs w:val="24"/>
              </w:rPr>
            </w:pPr>
            <w:r>
              <w:rPr>
                <w:rFonts w:ascii="Arial" w:hAnsi="Arial" w:cs="Arial"/>
                <w:sz w:val="24"/>
                <w:szCs w:val="24"/>
              </w:rPr>
              <w:t>Pensions</w:t>
            </w:r>
          </w:p>
        </w:tc>
        <w:tc>
          <w:tcPr>
            <w:tcW w:w="1235" w:type="dxa"/>
          </w:tcPr>
          <w:p w14:paraId="191C57DB" w14:textId="552E911A" w:rsidR="00EC0D19" w:rsidRPr="000D756E" w:rsidRDefault="0048019B" w:rsidP="00200DB4">
            <w:pPr>
              <w:jc w:val="right"/>
              <w:rPr>
                <w:rFonts w:ascii="Arial" w:hAnsi="Arial" w:cs="Arial"/>
                <w:sz w:val="24"/>
                <w:szCs w:val="24"/>
              </w:rPr>
            </w:pPr>
            <w:r>
              <w:rPr>
                <w:rFonts w:ascii="Arial" w:hAnsi="Arial" w:cs="Arial"/>
                <w:sz w:val="24"/>
                <w:szCs w:val="24"/>
              </w:rPr>
              <w:t>-29</w:t>
            </w:r>
          </w:p>
        </w:tc>
      </w:tr>
      <w:tr w:rsidR="000D756E" w:rsidRPr="000D756E" w14:paraId="3CFF3F0A" w14:textId="77777777" w:rsidTr="00EC0D19">
        <w:tc>
          <w:tcPr>
            <w:tcW w:w="7621" w:type="dxa"/>
          </w:tcPr>
          <w:p w14:paraId="01DBBF4D" w14:textId="6A0D4AD6" w:rsidR="00122578" w:rsidRPr="000D756E" w:rsidRDefault="00FA0C7A" w:rsidP="00200DB4">
            <w:pPr>
              <w:rPr>
                <w:rFonts w:ascii="Arial" w:hAnsi="Arial" w:cs="Arial"/>
                <w:sz w:val="24"/>
                <w:szCs w:val="24"/>
              </w:rPr>
            </w:pPr>
            <w:r>
              <w:rPr>
                <w:rFonts w:ascii="Arial" w:hAnsi="Arial" w:cs="Arial"/>
                <w:sz w:val="24"/>
                <w:szCs w:val="24"/>
              </w:rPr>
              <w:t>ICT</w:t>
            </w:r>
          </w:p>
        </w:tc>
        <w:tc>
          <w:tcPr>
            <w:tcW w:w="1235" w:type="dxa"/>
          </w:tcPr>
          <w:p w14:paraId="66469642" w14:textId="045F332B" w:rsidR="00122578" w:rsidRPr="000D756E" w:rsidRDefault="00FA0C7A" w:rsidP="00200DB4">
            <w:pPr>
              <w:jc w:val="right"/>
              <w:rPr>
                <w:rFonts w:ascii="Arial" w:hAnsi="Arial" w:cs="Arial"/>
                <w:sz w:val="24"/>
                <w:szCs w:val="24"/>
              </w:rPr>
            </w:pPr>
            <w:r>
              <w:rPr>
                <w:rFonts w:ascii="Arial" w:hAnsi="Arial" w:cs="Arial"/>
                <w:sz w:val="24"/>
                <w:szCs w:val="24"/>
              </w:rPr>
              <w:t>-121</w:t>
            </w:r>
          </w:p>
        </w:tc>
      </w:tr>
      <w:tr w:rsidR="000D756E" w:rsidRPr="000D756E" w14:paraId="6F03D802" w14:textId="77777777" w:rsidTr="00AF5398">
        <w:tc>
          <w:tcPr>
            <w:tcW w:w="7621" w:type="dxa"/>
          </w:tcPr>
          <w:p w14:paraId="3157EB1C" w14:textId="3EFBF4C8" w:rsidR="00AE3E7C" w:rsidRPr="000D756E" w:rsidRDefault="00FA0C7A" w:rsidP="00AF5398">
            <w:pPr>
              <w:rPr>
                <w:rFonts w:ascii="Arial" w:hAnsi="Arial" w:cs="Arial"/>
                <w:sz w:val="24"/>
                <w:szCs w:val="24"/>
              </w:rPr>
            </w:pPr>
            <w:r>
              <w:rPr>
                <w:rFonts w:ascii="Arial" w:hAnsi="Arial" w:cs="Arial"/>
                <w:sz w:val="24"/>
                <w:szCs w:val="24"/>
              </w:rPr>
              <w:t xml:space="preserve">Firelink </w:t>
            </w:r>
            <w:r w:rsidR="00C902BC">
              <w:rPr>
                <w:rFonts w:ascii="Arial" w:hAnsi="Arial" w:cs="Arial"/>
                <w:sz w:val="24"/>
                <w:szCs w:val="24"/>
              </w:rPr>
              <w:t>cost adjustments</w:t>
            </w:r>
          </w:p>
        </w:tc>
        <w:tc>
          <w:tcPr>
            <w:tcW w:w="1235" w:type="dxa"/>
          </w:tcPr>
          <w:p w14:paraId="14E34CBE" w14:textId="048BEBF7" w:rsidR="00AE3E7C" w:rsidRPr="000D756E" w:rsidRDefault="00FA0C7A" w:rsidP="00AF5398">
            <w:pPr>
              <w:jc w:val="right"/>
              <w:rPr>
                <w:rFonts w:ascii="Arial" w:hAnsi="Arial" w:cs="Arial"/>
                <w:sz w:val="24"/>
                <w:szCs w:val="24"/>
              </w:rPr>
            </w:pPr>
            <w:r>
              <w:rPr>
                <w:rFonts w:ascii="Arial" w:hAnsi="Arial" w:cs="Arial"/>
                <w:sz w:val="24"/>
                <w:szCs w:val="24"/>
              </w:rPr>
              <w:t>261</w:t>
            </w:r>
          </w:p>
        </w:tc>
      </w:tr>
      <w:tr w:rsidR="000D756E" w:rsidRPr="000D756E" w14:paraId="41D03987" w14:textId="77777777" w:rsidTr="00AF5398">
        <w:tc>
          <w:tcPr>
            <w:tcW w:w="7621" w:type="dxa"/>
          </w:tcPr>
          <w:p w14:paraId="621BDFF1" w14:textId="0838F7D9" w:rsidR="00AE3E7C" w:rsidRPr="000D756E" w:rsidRDefault="002C7B31" w:rsidP="00AF5398">
            <w:pPr>
              <w:rPr>
                <w:rFonts w:ascii="Arial" w:hAnsi="Arial" w:cs="Arial"/>
                <w:sz w:val="24"/>
                <w:szCs w:val="24"/>
              </w:rPr>
            </w:pPr>
            <w:r>
              <w:rPr>
                <w:rFonts w:ascii="Arial" w:hAnsi="Arial" w:cs="Arial"/>
                <w:sz w:val="24"/>
                <w:szCs w:val="24"/>
              </w:rPr>
              <w:t>Communications costs</w:t>
            </w:r>
          </w:p>
        </w:tc>
        <w:tc>
          <w:tcPr>
            <w:tcW w:w="1235" w:type="dxa"/>
          </w:tcPr>
          <w:p w14:paraId="626B19F8" w14:textId="7CB8376C" w:rsidR="00AE3E7C" w:rsidRPr="000D756E" w:rsidRDefault="002C7B31" w:rsidP="00AF5398">
            <w:pPr>
              <w:jc w:val="right"/>
              <w:rPr>
                <w:rFonts w:ascii="Arial" w:hAnsi="Arial" w:cs="Arial"/>
                <w:sz w:val="24"/>
                <w:szCs w:val="24"/>
              </w:rPr>
            </w:pPr>
            <w:r>
              <w:rPr>
                <w:rFonts w:ascii="Arial" w:hAnsi="Arial" w:cs="Arial"/>
                <w:sz w:val="24"/>
                <w:szCs w:val="24"/>
              </w:rPr>
              <w:t>-140</w:t>
            </w:r>
          </w:p>
        </w:tc>
      </w:tr>
      <w:tr w:rsidR="000D756E" w:rsidRPr="000D756E" w14:paraId="0E61B87A" w14:textId="77777777" w:rsidTr="00AF5398">
        <w:tc>
          <w:tcPr>
            <w:tcW w:w="7621" w:type="dxa"/>
          </w:tcPr>
          <w:p w14:paraId="6C3BC23D" w14:textId="06362343" w:rsidR="00AE3E7C" w:rsidRPr="000D756E" w:rsidRDefault="008D6644" w:rsidP="00AF5398">
            <w:pPr>
              <w:rPr>
                <w:rFonts w:ascii="Arial" w:hAnsi="Arial" w:cs="Arial"/>
                <w:sz w:val="24"/>
                <w:szCs w:val="24"/>
              </w:rPr>
            </w:pPr>
            <w:r w:rsidRPr="000D756E">
              <w:rPr>
                <w:rFonts w:ascii="Arial" w:hAnsi="Arial" w:cs="Arial"/>
                <w:sz w:val="24"/>
                <w:szCs w:val="24"/>
              </w:rPr>
              <w:t>Other variances</w:t>
            </w:r>
          </w:p>
        </w:tc>
        <w:tc>
          <w:tcPr>
            <w:tcW w:w="1235" w:type="dxa"/>
          </w:tcPr>
          <w:p w14:paraId="4B9781F7" w14:textId="0E575B55" w:rsidR="00AE3E7C" w:rsidRPr="000D756E" w:rsidRDefault="0003576E" w:rsidP="00AF5398">
            <w:pPr>
              <w:jc w:val="right"/>
              <w:rPr>
                <w:rFonts w:ascii="Arial" w:hAnsi="Arial" w:cs="Arial"/>
                <w:sz w:val="24"/>
                <w:szCs w:val="24"/>
              </w:rPr>
            </w:pPr>
            <w:r>
              <w:rPr>
                <w:rFonts w:ascii="Arial" w:hAnsi="Arial" w:cs="Arial"/>
                <w:sz w:val="24"/>
                <w:szCs w:val="24"/>
              </w:rPr>
              <w:t>-</w:t>
            </w:r>
            <w:r w:rsidR="00EF3A18">
              <w:rPr>
                <w:rFonts w:ascii="Arial" w:hAnsi="Arial" w:cs="Arial"/>
                <w:sz w:val="24"/>
                <w:szCs w:val="24"/>
              </w:rPr>
              <w:t>5</w:t>
            </w:r>
          </w:p>
        </w:tc>
      </w:tr>
      <w:tr w:rsidR="000D756E" w:rsidRPr="000D756E" w14:paraId="245F8892" w14:textId="77777777" w:rsidTr="00EC0D19">
        <w:tc>
          <w:tcPr>
            <w:tcW w:w="7621" w:type="dxa"/>
          </w:tcPr>
          <w:p w14:paraId="4BBF0930" w14:textId="1B2390ED" w:rsidR="00200DB4" w:rsidRPr="000D756E" w:rsidRDefault="008D6644" w:rsidP="00200DB4">
            <w:pPr>
              <w:rPr>
                <w:rFonts w:ascii="Arial" w:hAnsi="Arial" w:cs="Arial"/>
                <w:bCs/>
                <w:sz w:val="24"/>
                <w:szCs w:val="24"/>
              </w:rPr>
            </w:pPr>
            <w:r w:rsidRPr="000D756E">
              <w:rPr>
                <w:rFonts w:ascii="Arial" w:hAnsi="Arial" w:cs="Arial"/>
                <w:bCs/>
                <w:sz w:val="24"/>
                <w:szCs w:val="24"/>
              </w:rPr>
              <w:t>Contingency balance</w:t>
            </w:r>
          </w:p>
        </w:tc>
        <w:tc>
          <w:tcPr>
            <w:tcW w:w="1235" w:type="dxa"/>
          </w:tcPr>
          <w:p w14:paraId="7AD04E7A" w14:textId="3F4B9F2E" w:rsidR="00200DB4" w:rsidRPr="000D756E" w:rsidRDefault="00F717A1" w:rsidP="007D6581">
            <w:pPr>
              <w:jc w:val="right"/>
              <w:rPr>
                <w:rFonts w:ascii="Arial" w:hAnsi="Arial" w:cs="Arial"/>
                <w:bCs/>
                <w:sz w:val="24"/>
                <w:szCs w:val="24"/>
              </w:rPr>
            </w:pPr>
            <w:r>
              <w:rPr>
                <w:rFonts w:ascii="Arial" w:hAnsi="Arial" w:cs="Arial"/>
                <w:bCs/>
                <w:sz w:val="24"/>
                <w:szCs w:val="24"/>
              </w:rPr>
              <w:t>474</w:t>
            </w:r>
          </w:p>
        </w:tc>
      </w:tr>
      <w:tr w:rsidR="000D756E" w:rsidRPr="000D756E" w14:paraId="6120DFAC" w14:textId="77777777" w:rsidTr="00EC0D19">
        <w:tc>
          <w:tcPr>
            <w:tcW w:w="7621" w:type="dxa"/>
          </w:tcPr>
          <w:p w14:paraId="07105F2F" w14:textId="77777777" w:rsidR="00495998" w:rsidRPr="000D756E" w:rsidRDefault="00495998" w:rsidP="00200DB4">
            <w:pPr>
              <w:rPr>
                <w:rFonts w:ascii="Arial" w:hAnsi="Arial" w:cs="Arial"/>
                <w:b/>
                <w:sz w:val="24"/>
                <w:szCs w:val="24"/>
              </w:rPr>
            </w:pPr>
          </w:p>
        </w:tc>
        <w:tc>
          <w:tcPr>
            <w:tcW w:w="1235" w:type="dxa"/>
          </w:tcPr>
          <w:p w14:paraId="1A203869" w14:textId="77777777" w:rsidR="00495998" w:rsidRPr="000D756E" w:rsidRDefault="00495998" w:rsidP="007D6581">
            <w:pPr>
              <w:jc w:val="right"/>
              <w:rPr>
                <w:rFonts w:ascii="Arial" w:hAnsi="Arial" w:cs="Arial"/>
                <w:b/>
                <w:sz w:val="24"/>
                <w:szCs w:val="24"/>
              </w:rPr>
            </w:pPr>
          </w:p>
        </w:tc>
      </w:tr>
      <w:tr w:rsidR="00710BAB" w:rsidRPr="000D756E" w14:paraId="1AC0418C" w14:textId="77777777" w:rsidTr="00EC0D19">
        <w:tc>
          <w:tcPr>
            <w:tcW w:w="7621" w:type="dxa"/>
          </w:tcPr>
          <w:p w14:paraId="28A7BF00" w14:textId="3A8DB323" w:rsidR="00C20817" w:rsidRPr="000D756E" w:rsidRDefault="008D6644" w:rsidP="00200DB4">
            <w:pPr>
              <w:rPr>
                <w:rFonts w:ascii="Arial" w:hAnsi="Arial" w:cs="Arial"/>
                <w:b/>
                <w:sz w:val="24"/>
                <w:szCs w:val="24"/>
              </w:rPr>
            </w:pPr>
            <w:r w:rsidRPr="000D756E">
              <w:rPr>
                <w:rFonts w:ascii="Arial" w:hAnsi="Arial" w:cs="Arial"/>
                <w:b/>
                <w:sz w:val="24"/>
                <w:szCs w:val="24"/>
              </w:rPr>
              <w:t>Total</w:t>
            </w:r>
          </w:p>
        </w:tc>
        <w:tc>
          <w:tcPr>
            <w:tcW w:w="1235" w:type="dxa"/>
          </w:tcPr>
          <w:p w14:paraId="46573605" w14:textId="2226E352" w:rsidR="00C20817" w:rsidRPr="000D756E" w:rsidRDefault="00E85E25" w:rsidP="007D6581">
            <w:pPr>
              <w:jc w:val="right"/>
              <w:rPr>
                <w:rFonts w:ascii="Arial" w:hAnsi="Arial" w:cs="Arial"/>
                <w:b/>
                <w:sz w:val="24"/>
                <w:szCs w:val="24"/>
              </w:rPr>
            </w:pPr>
            <w:r>
              <w:rPr>
                <w:rFonts w:ascii="Arial" w:hAnsi="Arial" w:cs="Arial"/>
                <w:b/>
                <w:sz w:val="24"/>
                <w:szCs w:val="24"/>
              </w:rPr>
              <w:t>5</w:t>
            </w:r>
            <w:r w:rsidR="00E478C3">
              <w:rPr>
                <w:rFonts w:ascii="Arial" w:hAnsi="Arial" w:cs="Arial"/>
                <w:b/>
                <w:sz w:val="24"/>
                <w:szCs w:val="24"/>
              </w:rPr>
              <w:t>1</w:t>
            </w:r>
            <w:r w:rsidR="000C22A1">
              <w:rPr>
                <w:rFonts w:ascii="Arial" w:hAnsi="Arial" w:cs="Arial"/>
                <w:b/>
                <w:sz w:val="24"/>
                <w:szCs w:val="24"/>
              </w:rPr>
              <w:t>3</w:t>
            </w:r>
          </w:p>
        </w:tc>
      </w:tr>
    </w:tbl>
    <w:p w14:paraId="00071266" w14:textId="045BE81B" w:rsidR="00C74639" w:rsidRPr="000D756E" w:rsidRDefault="00C74639" w:rsidP="002A7C01">
      <w:pPr>
        <w:rPr>
          <w:rFonts w:ascii="Arial" w:hAnsi="Arial" w:cs="Arial"/>
          <w:sz w:val="24"/>
          <w:szCs w:val="24"/>
        </w:rPr>
      </w:pPr>
    </w:p>
    <w:p w14:paraId="11444D73" w14:textId="350594BB" w:rsidR="00EC0D19" w:rsidRPr="000D756E" w:rsidRDefault="00EC0D19"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276"/>
      </w:tblGrid>
      <w:tr w:rsidR="000D756E" w:rsidRPr="000D756E" w14:paraId="3CA9FAF0" w14:textId="77777777" w:rsidTr="0087232B">
        <w:tc>
          <w:tcPr>
            <w:tcW w:w="7621" w:type="dxa"/>
          </w:tcPr>
          <w:p w14:paraId="468B0C97" w14:textId="1BD01634" w:rsidR="00EC0D19" w:rsidRPr="000D756E" w:rsidRDefault="00EC0D19" w:rsidP="00282A4B">
            <w:pPr>
              <w:rPr>
                <w:rFonts w:ascii="Arial" w:hAnsi="Arial" w:cs="Arial"/>
                <w:b/>
                <w:sz w:val="24"/>
                <w:szCs w:val="24"/>
              </w:rPr>
            </w:pPr>
            <w:r w:rsidRPr="000D756E">
              <w:rPr>
                <w:rFonts w:ascii="Arial" w:hAnsi="Arial" w:cs="Arial"/>
                <w:sz w:val="24"/>
                <w:szCs w:val="24"/>
              </w:rPr>
              <w:br w:type="page"/>
            </w:r>
          </w:p>
          <w:p w14:paraId="5F6ED305" w14:textId="5B4BF05E" w:rsidR="00EC0D19" w:rsidRPr="000D756E" w:rsidRDefault="00EC0D19" w:rsidP="00282A4B">
            <w:pPr>
              <w:rPr>
                <w:rFonts w:ascii="Arial" w:hAnsi="Arial" w:cs="Arial"/>
                <w:b/>
                <w:sz w:val="24"/>
                <w:szCs w:val="24"/>
              </w:rPr>
            </w:pPr>
            <w:r w:rsidRPr="000D756E">
              <w:rPr>
                <w:rFonts w:ascii="Arial" w:hAnsi="Arial" w:cs="Arial"/>
                <w:b/>
                <w:sz w:val="24"/>
                <w:szCs w:val="24"/>
              </w:rPr>
              <w:t xml:space="preserve">Slipped </w:t>
            </w:r>
            <w:r w:rsidR="001D5031" w:rsidRPr="000D756E">
              <w:rPr>
                <w:rFonts w:ascii="Arial" w:hAnsi="Arial" w:cs="Arial"/>
                <w:b/>
                <w:sz w:val="24"/>
                <w:szCs w:val="24"/>
              </w:rPr>
              <w:t xml:space="preserve">Income and </w:t>
            </w:r>
            <w:r w:rsidRPr="000D756E">
              <w:rPr>
                <w:rFonts w:ascii="Arial" w:hAnsi="Arial" w:cs="Arial"/>
                <w:b/>
                <w:sz w:val="24"/>
                <w:szCs w:val="24"/>
              </w:rPr>
              <w:t>Expenditure</w:t>
            </w:r>
          </w:p>
          <w:p w14:paraId="39A262AC" w14:textId="77777777" w:rsidR="00EC0D19" w:rsidRPr="000D756E" w:rsidRDefault="00EC0D19" w:rsidP="00282A4B">
            <w:pPr>
              <w:rPr>
                <w:rFonts w:ascii="Arial" w:hAnsi="Arial" w:cs="Arial"/>
                <w:b/>
                <w:sz w:val="24"/>
                <w:szCs w:val="24"/>
              </w:rPr>
            </w:pPr>
          </w:p>
        </w:tc>
        <w:tc>
          <w:tcPr>
            <w:tcW w:w="1276" w:type="dxa"/>
          </w:tcPr>
          <w:p w14:paraId="25B043FE" w14:textId="77777777" w:rsidR="00EC0D19" w:rsidRPr="000D756E" w:rsidRDefault="00EC0D19" w:rsidP="00282A4B">
            <w:pPr>
              <w:rPr>
                <w:rFonts w:ascii="Arial" w:hAnsi="Arial" w:cs="Arial"/>
                <w:b/>
                <w:sz w:val="24"/>
                <w:szCs w:val="24"/>
              </w:rPr>
            </w:pPr>
          </w:p>
          <w:p w14:paraId="762D2323" w14:textId="77777777" w:rsidR="00EC0D19" w:rsidRPr="000D756E" w:rsidRDefault="00EC0D19" w:rsidP="0087232B">
            <w:pPr>
              <w:jc w:val="right"/>
              <w:rPr>
                <w:rFonts w:ascii="Arial" w:hAnsi="Arial" w:cs="Arial"/>
                <w:b/>
                <w:sz w:val="24"/>
                <w:szCs w:val="24"/>
              </w:rPr>
            </w:pPr>
            <w:r w:rsidRPr="000D756E">
              <w:rPr>
                <w:rFonts w:ascii="Arial" w:hAnsi="Arial" w:cs="Arial"/>
                <w:b/>
                <w:sz w:val="24"/>
                <w:szCs w:val="24"/>
              </w:rPr>
              <w:t>£’000</w:t>
            </w:r>
          </w:p>
        </w:tc>
      </w:tr>
      <w:tr w:rsidR="000D756E" w:rsidRPr="000D756E" w14:paraId="3BD5728F" w14:textId="77777777" w:rsidTr="0087232B">
        <w:tc>
          <w:tcPr>
            <w:tcW w:w="7621" w:type="dxa"/>
          </w:tcPr>
          <w:p w14:paraId="600CA187" w14:textId="73F77623" w:rsidR="00EC0D19" w:rsidRPr="000D756E" w:rsidRDefault="00E478C3" w:rsidP="00282A4B">
            <w:pPr>
              <w:rPr>
                <w:rFonts w:ascii="Arial" w:hAnsi="Arial" w:cs="Arial"/>
                <w:sz w:val="24"/>
                <w:szCs w:val="24"/>
              </w:rPr>
            </w:pPr>
            <w:r>
              <w:rPr>
                <w:rFonts w:ascii="Arial" w:hAnsi="Arial" w:cs="Arial"/>
                <w:sz w:val="24"/>
                <w:szCs w:val="24"/>
              </w:rPr>
              <w:t xml:space="preserve">Culture and values </w:t>
            </w:r>
            <w:r w:rsidR="0062404F">
              <w:rPr>
                <w:rFonts w:ascii="Arial" w:hAnsi="Arial" w:cs="Arial"/>
                <w:sz w:val="24"/>
                <w:szCs w:val="24"/>
              </w:rPr>
              <w:t>project</w:t>
            </w:r>
          </w:p>
        </w:tc>
        <w:tc>
          <w:tcPr>
            <w:tcW w:w="1276" w:type="dxa"/>
          </w:tcPr>
          <w:p w14:paraId="5F9D97CD" w14:textId="4330D6D6" w:rsidR="00EC0D19" w:rsidRPr="000D756E" w:rsidRDefault="00E478C3" w:rsidP="0087232B">
            <w:pPr>
              <w:jc w:val="right"/>
              <w:rPr>
                <w:rFonts w:ascii="Arial" w:hAnsi="Arial" w:cs="Arial"/>
                <w:sz w:val="24"/>
                <w:szCs w:val="24"/>
              </w:rPr>
            </w:pPr>
            <w:r>
              <w:rPr>
                <w:rFonts w:ascii="Arial" w:hAnsi="Arial" w:cs="Arial"/>
                <w:sz w:val="24"/>
                <w:szCs w:val="24"/>
              </w:rPr>
              <w:t>40</w:t>
            </w:r>
          </w:p>
        </w:tc>
      </w:tr>
      <w:tr w:rsidR="000D756E" w:rsidRPr="000D756E" w14:paraId="1EBB1FD1" w14:textId="77777777" w:rsidTr="0087232B">
        <w:tc>
          <w:tcPr>
            <w:tcW w:w="7621" w:type="dxa"/>
          </w:tcPr>
          <w:p w14:paraId="7A88A0D6" w14:textId="14A0120C" w:rsidR="009F1552" w:rsidRPr="000D756E" w:rsidRDefault="009F1552" w:rsidP="009F1552">
            <w:pPr>
              <w:rPr>
                <w:rFonts w:ascii="Arial" w:hAnsi="Arial" w:cs="Arial"/>
                <w:sz w:val="24"/>
                <w:szCs w:val="24"/>
              </w:rPr>
            </w:pPr>
          </w:p>
        </w:tc>
        <w:tc>
          <w:tcPr>
            <w:tcW w:w="1276" w:type="dxa"/>
          </w:tcPr>
          <w:p w14:paraId="668F3397" w14:textId="4889E4F1" w:rsidR="009F1552" w:rsidRPr="000D756E" w:rsidRDefault="009F1552" w:rsidP="009F1552">
            <w:pPr>
              <w:jc w:val="right"/>
              <w:rPr>
                <w:rFonts w:ascii="Arial" w:hAnsi="Arial" w:cs="Arial"/>
                <w:sz w:val="24"/>
                <w:szCs w:val="24"/>
              </w:rPr>
            </w:pPr>
          </w:p>
        </w:tc>
      </w:tr>
      <w:tr w:rsidR="009F1552" w:rsidRPr="000D756E" w14:paraId="74B34596" w14:textId="77777777" w:rsidTr="0087232B">
        <w:tc>
          <w:tcPr>
            <w:tcW w:w="7621" w:type="dxa"/>
          </w:tcPr>
          <w:p w14:paraId="0BC0675A" w14:textId="77777777" w:rsidR="009F1552" w:rsidRPr="000D756E" w:rsidRDefault="009F1552" w:rsidP="009F1552">
            <w:pPr>
              <w:rPr>
                <w:rFonts w:ascii="Arial" w:hAnsi="Arial" w:cs="Arial"/>
                <w:b/>
                <w:sz w:val="24"/>
                <w:szCs w:val="24"/>
              </w:rPr>
            </w:pPr>
            <w:r w:rsidRPr="000D756E">
              <w:rPr>
                <w:rFonts w:ascii="Arial" w:hAnsi="Arial" w:cs="Arial"/>
                <w:b/>
                <w:sz w:val="24"/>
                <w:szCs w:val="24"/>
              </w:rPr>
              <w:t>Total</w:t>
            </w:r>
          </w:p>
        </w:tc>
        <w:tc>
          <w:tcPr>
            <w:tcW w:w="1276" w:type="dxa"/>
          </w:tcPr>
          <w:p w14:paraId="6F4993AD" w14:textId="5115BA05" w:rsidR="009F1552" w:rsidRPr="000D756E" w:rsidRDefault="0062404F" w:rsidP="009F1552">
            <w:pPr>
              <w:jc w:val="right"/>
              <w:rPr>
                <w:rFonts w:ascii="Arial" w:hAnsi="Arial" w:cs="Arial"/>
                <w:b/>
                <w:sz w:val="24"/>
                <w:szCs w:val="24"/>
              </w:rPr>
            </w:pPr>
            <w:r>
              <w:rPr>
                <w:rFonts w:ascii="Arial" w:hAnsi="Arial" w:cs="Arial"/>
                <w:b/>
                <w:sz w:val="24"/>
                <w:szCs w:val="24"/>
              </w:rPr>
              <w:t>40</w:t>
            </w:r>
          </w:p>
        </w:tc>
      </w:tr>
    </w:tbl>
    <w:p w14:paraId="2F520F00" w14:textId="77777777" w:rsidR="00EC0D19" w:rsidRPr="000D756E" w:rsidRDefault="00EC0D19"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235"/>
      </w:tblGrid>
      <w:tr w:rsidR="000D756E" w:rsidRPr="000D756E" w14:paraId="23B9DAD4" w14:textId="77777777" w:rsidTr="00EC0D19">
        <w:tc>
          <w:tcPr>
            <w:tcW w:w="7621" w:type="dxa"/>
          </w:tcPr>
          <w:p w14:paraId="7A16445E" w14:textId="77777777" w:rsidR="00884C8B" w:rsidRPr="000D756E" w:rsidRDefault="00884C8B" w:rsidP="00131C8A">
            <w:pPr>
              <w:rPr>
                <w:rFonts w:ascii="Arial" w:hAnsi="Arial" w:cs="Arial"/>
                <w:b/>
                <w:sz w:val="24"/>
                <w:szCs w:val="24"/>
              </w:rPr>
            </w:pPr>
          </w:p>
          <w:p w14:paraId="4349D464" w14:textId="77777777" w:rsidR="00884C8B" w:rsidRPr="000D756E" w:rsidRDefault="00D17B27" w:rsidP="00131C8A">
            <w:pPr>
              <w:rPr>
                <w:rFonts w:ascii="Arial" w:hAnsi="Arial" w:cs="Arial"/>
                <w:b/>
                <w:sz w:val="24"/>
                <w:szCs w:val="24"/>
              </w:rPr>
            </w:pPr>
            <w:r w:rsidRPr="000D756E">
              <w:rPr>
                <w:rFonts w:ascii="Arial" w:hAnsi="Arial" w:cs="Arial"/>
                <w:b/>
                <w:sz w:val="24"/>
                <w:szCs w:val="24"/>
              </w:rPr>
              <w:t>Income</w:t>
            </w:r>
          </w:p>
          <w:p w14:paraId="0265DF1E" w14:textId="77777777" w:rsidR="00884C8B" w:rsidRPr="000D756E" w:rsidRDefault="00884C8B" w:rsidP="00131C8A">
            <w:pPr>
              <w:rPr>
                <w:rFonts w:ascii="Arial" w:hAnsi="Arial" w:cs="Arial"/>
                <w:b/>
                <w:sz w:val="24"/>
                <w:szCs w:val="24"/>
              </w:rPr>
            </w:pPr>
          </w:p>
        </w:tc>
        <w:tc>
          <w:tcPr>
            <w:tcW w:w="1235" w:type="dxa"/>
          </w:tcPr>
          <w:p w14:paraId="192D2CC3" w14:textId="77777777" w:rsidR="00884C8B" w:rsidRPr="000D756E" w:rsidRDefault="00884C8B" w:rsidP="00131C8A">
            <w:pPr>
              <w:jc w:val="right"/>
              <w:rPr>
                <w:rFonts w:ascii="Arial" w:hAnsi="Arial" w:cs="Arial"/>
                <w:b/>
                <w:sz w:val="24"/>
                <w:szCs w:val="24"/>
              </w:rPr>
            </w:pPr>
          </w:p>
          <w:p w14:paraId="751AE46B" w14:textId="77777777" w:rsidR="00884C8B" w:rsidRPr="000D756E" w:rsidRDefault="00884C8B" w:rsidP="00131C8A">
            <w:pPr>
              <w:jc w:val="right"/>
              <w:rPr>
                <w:rFonts w:ascii="Arial" w:hAnsi="Arial" w:cs="Arial"/>
                <w:b/>
                <w:sz w:val="24"/>
                <w:szCs w:val="24"/>
              </w:rPr>
            </w:pPr>
            <w:r w:rsidRPr="000D756E">
              <w:rPr>
                <w:rFonts w:ascii="Arial" w:hAnsi="Arial" w:cs="Arial"/>
                <w:b/>
                <w:sz w:val="24"/>
                <w:szCs w:val="24"/>
              </w:rPr>
              <w:t>£’000</w:t>
            </w:r>
          </w:p>
        </w:tc>
      </w:tr>
      <w:tr w:rsidR="000D756E" w:rsidRPr="000D756E" w14:paraId="638368C7" w14:textId="77777777" w:rsidTr="001F37A6">
        <w:trPr>
          <w:trHeight w:val="379"/>
        </w:trPr>
        <w:tc>
          <w:tcPr>
            <w:tcW w:w="7621" w:type="dxa"/>
            <w:vAlign w:val="center"/>
          </w:tcPr>
          <w:p w14:paraId="2C0CB788" w14:textId="6D91604E" w:rsidR="004575AB" w:rsidRPr="000D756E" w:rsidRDefault="0062404F" w:rsidP="00131C8A">
            <w:pPr>
              <w:rPr>
                <w:rFonts w:ascii="Arial" w:hAnsi="Arial" w:cs="Arial"/>
                <w:sz w:val="24"/>
                <w:szCs w:val="24"/>
              </w:rPr>
            </w:pPr>
            <w:r>
              <w:rPr>
                <w:rFonts w:ascii="Arial" w:hAnsi="Arial" w:cs="Arial"/>
                <w:sz w:val="24"/>
                <w:szCs w:val="24"/>
              </w:rPr>
              <w:t>Lower g</w:t>
            </w:r>
            <w:r w:rsidR="00831474" w:rsidRPr="000D756E">
              <w:rPr>
                <w:rFonts w:ascii="Arial" w:hAnsi="Arial" w:cs="Arial"/>
                <w:sz w:val="24"/>
                <w:szCs w:val="24"/>
              </w:rPr>
              <w:t>rant received</w:t>
            </w:r>
            <w:r>
              <w:rPr>
                <w:rFonts w:ascii="Arial" w:hAnsi="Arial" w:cs="Arial"/>
                <w:sz w:val="24"/>
                <w:szCs w:val="24"/>
              </w:rPr>
              <w:t xml:space="preserve"> </w:t>
            </w:r>
          </w:p>
        </w:tc>
        <w:tc>
          <w:tcPr>
            <w:tcW w:w="1235" w:type="dxa"/>
          </w:tcPr>
          <w:p w14:paraId="7EE99EF0" w14:textId="2589A7EE" w:rsidR="00884C8B" w:rsidRPr="000D756E" w:rsidRDefault="0062404F" w:rsidP="004D21AF">
            <w:pPr>
              <w:jc w:val="right"/>
              <w:rPr>
                <w:rFonts w:ascii="Arial" w:hAnsi="Arial" w:cs="Arial"/>
                <w:sz w:val="24"/>
                <w:szCs w:val="24"/>
              </w:rPr>
            </w:pPr>
            <w:r>
              <w:rPr>
                <w:rFonts w:ascii="Arial" w:hAnsi="Arial" w:cs="Arial"/>
                <w:sz w:val="24"/>
                <w:szCs w:val="24"/>
              </w:rPr>
              <w:t>-116</w:t>
            </w:r>
          </w:p>
        </w:tc>
      </w:tr>
      <w:tr w:rsidR="007342D4" w:rsidRPr="000D756E" w14:paraId="75B63743" w14:textId="77777777" w:rsidTr="00EC0D19">
        <w:tc>
          <w:tcPr>
            <w:tcW w:w="7621" w:type="dxa"/>
            <w:tcBorders>
              <w:bottom w:val="single" w:sz="4" w:space="0" w:color="auto"/>
            </w:tcBorders>
          </w:tcPr>
          <w:p w14:paraId="4357836B" w14:textId="69462521" w:rsidR="00884C8B" w:rsidRPr="000D756E" w:rsidRDefault="00884C8B" w:rsidP="00131C8A">
            <w:pPr>
              <w:rPr>
                <w:rFonts w:ascii="Arial" w:hAnsi="Arial" w:cs="Arial"/>
                <w:b/>
                <w:sz w:val="24"/>
                <w:szCs w:val="24"/>
              </w:rPr>
            </w:pPr>
          </w:p>
        </w:tc>
        <w:tc>
          <w:tcPr>
            <w:tcW w:w="1235" w:type="dxa"/>
            <w:tcBorders>
              <w:bottom w:val="single" w:sz="4" w:space="0" w:color="auto"/>
            </w:tcBorders>
          </w:tcPr>
          <w:p w14:paraId="0F5973A5" w14:textId="6DC6A9C0" w:rsidR="00884C8B" w:rsidRPr="000D756E" w:rsidRDefault="0062404F" w:rsidP="004D21AF">
            <w:pPr>
              <w:jc w:val="right"/>
              <w:rPr>
                <w:rFonts w:ascii="Arial" w:hAnsi="Arial" w:cs="Arial"/>
                <w:b/>
                <w:sz w:val="24"/>
                <w:szCs w:val="24"/>
              </w:rPr>
            </w:pPr>
            <w:r>
              <w:rPr>
                <w:rFonts w:ascii="Arial" w:hAnsi="Arial" w:cs="Arial"/>
                <w:b/>
                <w:sz w:val="24"/>
                <w:szCs w:val="24"/>
              </w:rPr>
              <w:t>-116</w:t>
            </w:r>
          </w:p>
        </w:tc>
      </w:tr>
    </w:tbl>
    <w:p w14:paraId="6A72F9A0" w14:textId="77777777" w:rsidR="00817F07" w:rsidRPr="000D756E" w:rsidRDefault="00817F07" w:rsidP="002A7C01">
      <w:pPr>
        <w:rPr>
          <w:rFonts w:ascii="Arial" w:hAnsi="Arial" w:cs="Arial"/>
          <w:b/>
          <w:sz w:val="24"/>
          <w:szCs w:val="24"/>
        </w:rPr>
      </w:pPr>
    </w:p>
    <w:p w14:paraId="57DF6BBB" w14:textId="77777777" w:rsidR="00D13151" w:rsidRPr="000D756E" w:rsidRDefault="00D13151" w:rsidP="002A7C01">
      <w:pPr>
        <w:rPr>
          <w:rFonts w:ascii="Arial" w:hAnsi="Arial" w:cs="Arial"/>
          <w:b/>
          <w:i/>
          <w:iCs/>
          <w:sz w:val="24"/>
          <w:szCs w:val="24"/>
        </w:rPr>
      </w:pPr>
    </w:p>
    <w:p w14:paraId="3134C165" w14:textId="77777777" w:rsidR="00727FE6" w:rsidRPr="000D756E" w:rsidRDefault="00727FE6" w:rsidP="002A7C01">
      <w:pPr>
        <w:rPr>
          <w:rFonts w:ascii="Arial" w:hAnsi="Arial" w:cs="Arial"/>
          <w:b/>
          <w:sz w:val="24"/>
          <w:szCs w:val="24"/>
        </w:rPr>
      </w:pPr>
      <w:r w:rsidRPr="000D756E">
        <w:rPr>
          <w:rFonts w:ascii="Arial" w:hAnsi="Arial" w:cs="Arial"/>
          <w:b/>
          <w:sz w:val="24"/>
          <w:szCs w:val="24"/>
        </w:rPr>
        <w:t>Capit</w:t>
      </w:r>
      <w:r w:rsidR="003051E8" w:rsidRPr="000D756E">
        <w:rPr>
          <w:rFonts w:ascii="Arial" w:hAnsi="Arial" w:cs="Arial"/>
          <w:b/>
          <w:sz w:val="24"/>
          <w:szCs w:val="24"/>
        </w:rPr>
        <w:t>al Expenditure</w:t>
      </w:r>
      <w:r w:rsidR="00105941" w:rsidRPr="000D756E">
        <w:rPr>
          <w:rFonts w:ascii="Arial" w:hAnsi="Arial" w:cs="Arial"/>
          <w:b/>
          <w:sz w:val="24"/>
          <w:szCs w:val="24"/>
        </w:rPr>
        <w:t xml:space="preserve">   </w:t>
      </w:r>
    </w:p>
    <w:p w14:paraId="4FEC1F13" w14:textId="77777777" w:rsidR="00727FE6" w:rsidRPr="000D756E" w:rsidRDefault="00727FE6" w:rsidP="002A7C01">
      <w:pPr>
        <w:rPr>
          <w:rFonts w:ascii="Arial" w:hAnsi="Arial" w:cs="Arial"/>
          <w:b/>
          <w:sz w:val="24"/>
          <w:szCs w:val="24"/>
        </w:rPr>
      </w:pPr>
    </w:p>
    <w:p w14:paraId="3070FE82" w14:textId="27DBF7C1" w:rsidR="00727FE6" w:rsidRPr="000D756E" w:rsidRDefault="003051E8" w:rsidP="002A7C01">
      <w:pPr>
        <w:rPr>
          <w:rFonts w:ascii="Arial" w:hAnsi="Arial" w:cs="Arial"/>
          <w:sz w:val="24"/>
          <w:szCs w:val="24"/>
        </w:rPr>
      </w:pPr>
      <w:r w:rsidRPr="000D756E">
        <w:rPr>
          <w:rFonts w:ascii="Arial" w:hAnsi="Arial" w:cs="Arial"/>
          <w:sz w:val="24"/>
          <w:szCs w:val="24"/>
        </w:rPr>
        <w:t>In 20</w:t>
      </w:r>
      <w:r w:rsidR="00631353" w:rsidRPr="000D756E">
        <w:rPr>
          <w:rFonts w:ascii="Arial" w:hAnsi="Arial" w:cs="Arial"/>
          <w:sz w:val="24"/>
          <w:szCs w:val="24"/>
        </w:rPr>
        <w:t>2</w:t>
      </w:r>
      <w:r w:rsidR="0062404F">
        <w:rPr>
          <w:rFonts w:ascii="Arial" w:hAnsi="Arial" w:cs="Arial"/>
          <w:sz w:val="24"/>
          <w:szCs w:val="24"/>
        </w:rPr>
        <w:t>4/25</w:t>
      </w:r>
      <w:r w:rsidR="00882AE9" w:rsidRPr="000D756E">
        <w:rPr>
          <w:rFonts w:ascii="Arial" w:hAnsi="Arial" w:cs="Arial"/>
          <w:sz w:val="24"/>
          <w:szCs w:val="24"/>
        </w:rPr>
        <w:t xml:space="preserve"> </w:t>
      </w:r>
      <w:r w:rsidRPr="000D756E">
        <w:rPr>
          <w:rFonts w:ascii="Arial" w:hAnsi="Arial" w:cs="Arial"/>
          <w:sz w:val="24"/>
          <w:szCs w:val="24"/>
        </w:rPr>
        <w:t>the Fire Authority spent £</w:t>
      </w:r>
      <w:r w:rsidR="001426BB" w:rsidRPr="000D756E">
        <w:rPr>
          <w:rFonts w:ascii="Arial" w:hAnsi="Arial" w:cs="Arial"/>
          <w:sz w:val="24"/>
          <w:szCs w:val="24"/>
        </w:rPr>
        <w:t>6.</w:t>
      </w:r>
      <w:r w:rsidR="0062404F">
        <w:rPr>
          <w:rFonts w:ascii="Arial" w:hAnsi="Arial" w:cs="Arial"/>
          <w:sz w:val="24"/>
          <w:szCs w:val="24"/>
        </w:rPr>
        <w:t>162</w:t>
      </w:r>
      <w:r w:rsidR="00EA59BA" w:rsidRPr="000D756E">
        <w:rPr>
          <w:rFonts w:ascii="Arial" w:hAnsi="Arial" w:cs="Arial"/>
          <w:sz w:val="24"/>
          <w:szCs w:val="24"/>
        </w:rPr>
        <w:t>m</w:t>
      </w:r>
      <w:r w:rsidR="00037679" w:rsidRPr="000D756E">
        <w:rPr>
          <w:rFonts w:ascii="Arial" w:hAnsi="Arial" w:cs="Arial"/>
          <w:sz w:val="24"/>
          <w:szCs w:val="24"/>
        </w:rPr>
        <w:t xml:space="preserve"> </w:t>
      </w:r>
      <w:r w:rsidRPr="000D756E">
        <w:rPr>
          <w:rFonts w:ascii="Arial" w:hAnsi="Arial" w:cs="Arial"/>
          <w:sz w:val="24"/>
          <w:szCs w:val="24"/>
        </w:rPr>
        <w:t>on capital projects. These can be summarised as follows:</w:t>
      </w:r>
    </w:p>
    <w:p w14:paraId="79E09C90" w14:textId="77777777" w:rsidR="00727FE6" w:rsidRPr="000D756E" w:rsidRDefault="00727FE6"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368"/>
      </w:tblGrid>
      <w:tr w:rsidR="000D756E" w:rsidRPr="000D756E" w14:paraId="34028284" w14:textId="77777777" w:rsidTr="00D55C48">
        <w:tc>
          <w:tcPr>
            <w:tcW w:w="7488" w:type="dxa"/>
          </w:tcPr>
          <w:p w14:paraId="38E32A43" w14:textId="77777777" w:rsidR="00727FE6" w:rsidRPr="000D756E" w:rsidRDefault="00727FE6" w:rsidP="002A7C01">
            <w:pPr>
              <w:rPr>
                <w:rFonts w:ascii="Arial" w:hAnsi="Arial" w:cs="Arial"/>
                <w:sz w:val="24"/>
                <w:szCs w:val="24"/>
              </w:rPr>
            </w:pPr>
          </w:p>
          <w:p w14:paraId="7DD9202E" w14:textId="77777777" w:rsidR="00727FE6" w:rsidRPr="000D756E" w:rsidRDefault="00727FE6" w:rsidP="002A7C01">
            <w:pPr>
              <w:rPr>
                <w:rFonts w:ascii="Arial" w:hAnsi="Arial" w:cs="Arial"/>
                <w:b/>
                <w:sz w:val="24"/>
                <w:szCs w:val="24"/>
              </w:rPr>
            </w:pPr>
            <w:r w:rsidRPr="000D756E">
              <w:rPr>
                <w:rFonts w:ascii="Arial" w:hAnsi="Arial" w:cs="Arial"/>
                <w:b/>
                <w:sz w:val="24"/>
                <w:szCs w:val="24"/>
              </w:rPr>
              <w:t>Scheme</w:t>
            </w:r>
          </w:p>
        </w:tc>
        <w:tc>
          <w:tcPr>
            <w:tcW w:w="1368" w:type="dxa"/>
          </w:tcPr>
          <w:p w14:paraId="0DB48EBB" w14:textId="77777777" w:rsidR="00727FE6" w:rsidRPr="000D756E" w:rsidRDefault="00727FE6" w:rsidP="00622710">
            <w:pPr>
              <w:jc w:val="right"/>
              <w:rPr>
                <w:rFonts w:ascii="Arial" w:hAnsi="Arial" w:cs="Arial"/>
                <w:b/>
                <w:sz w:val="24"/>
                <w:szCs w:val="24"/>
              </w:rPr>
            </w:pPr>
          </w:p>
          <w:p w14:paraId="62D465E3" w14:textId="77777777" w:rsidR="00727FE6" w:rsidRPr="000D756E" w:rsidRDefault="00727FE6" w:rsidP="00622710">
            <w:pPr>
              <w:jc w:val="right"/>
              <w:rPr>
                <w:rFonts w:ascii="Arial" w:hAnsi="Arial" w:cs="Arial"/>
                <w:b/>
                <w:sz w:val="24"/>
                <w:szCs w:val="24"/>
              </w:rPr>
            </w:pPr>
            <w:r w:rsidRPr="000D756E">
              <w:rPr>
                <w:rFonts w:ascii="Arial" w:hAnsi="Arial" w:cs="Arial"/>
                <w:b/>
                <w:sz w:val="24"/>
                <w:szCs w:val="24"/>
              </w:rPr>
              <w:t>£’000</w:t>
            </w:r>
          </w:p>
          <w:p w14:paraId="09559A06" w14:textId="77777777" w:rsidR="00727FE6" w:rsidRPr="000D756E" w:rsidRDefault="00727FE6" w:rsidP="00622710">
            <w:pPr>
              <w:jc w:val="right"/>
              <w:rPr>
                <w:rFonts w:ascii="Arial" w:hAnsi="Arial" w:cs="Arial"/>
                <w:b/>
                <w:sz w:val="24"/>
                <w:szCs w:val="24"/>
              </w:rPr>
            </w:pPr>
          </w:p>
        </w:tc>
      </w:tr>
      <w:tr w:rsidR="000D756E" w:rsidRPr="000D756E" w14:paraId="406EFD25" w14:textId="77777777" w:rsidTr="00D55C48">
        <w:tc>
          <w:tcPr>
            <w:tcW w:w="7488" w:type="dxa"/>
          </w:tcPr>
          <w:p w14:paraId="5F55CD7B" w14:textId="4110761E" w:rsidR="003051E8" w:rsidRPr="000D756E" w:rsidRDefault="003B2554" w:rsidP="002A7C01">
            <w:pPr>
              <w:rPr>
                <w:rFonts w:ascii="Arial" w:hAnsi="Arial" w:cs="Arial"/>
                <w:sz w:val="24"/>
                <w:szCs w:val="24"/>
              </w:rPr>
            </w:pPr>
            <w:r w:rsidRPr="000D756E">
              <w:rPr>
                <w:rFonts w:ascii="Arial" w:hAnsi="Arial" w:cs="Arial"/>
                <w:sz w:val="24"/>
                <w:szCs w:val="24"/>
              </w:rPr>
              <w:t>Buil</w:t>
            </w:r>
            <w:r w:rsidR="001306A4" w:rsidRPr="000D756E">
              <w:rPr>
                <w:rFonts w:ascii="Arial" w:hAnsi="Arial" w:cs="Arial"/>
                <w:sz w:val="24"/>
                <w:szCs w:val="24"/>
              </w:rPr>
              <w:t>ding Improvements</w:t>
            </w:r>
          </w:p>
        </w:tc>
        <w:tc>
          <w:tcPr>
            <w:tcW w:w="1368" w:type="dxa"/>
          </w:tcPr>
          <w:p w14:paraId="79B8C51E" w14:textId="20521351" w:rsidR="003051E8" w:rsidRPr="000D756E" w:rsidRDefault="008D2A82" w:rsidP="008D2A82">
            <w:pPr>
              <w:jc w:val="right"/>
              <w:rPr>
                <w:rFonts w:ascii="Arial" w:hAnsi="Arial" w:cs="Arial"/>
                <w:sz w:val="24"/>
                <w:szCs w:val="24"/>
              </w:rPr>
            </w:pPr>
            <w:r>
              <w:rPr>
                <w:rFonts w:ascii="Arial" w:hAnsi="Arial" w:cs="Arial"/>
                <w:sz w:val="24"/>
                <w:szCs w:val="24"/>
              </w:rPr>
              <w:t>2,193</w:t>
            </w:r>
          </w:p>
        </w:tc>
      </w:tr>
      <w:tr w:rsidR="000D756E" w:rsidRPr="000D756E" w14:paraId="747C6CBD" w14:textId="77777777" w:rsidTr="00D55C48">
        <w:tc>
          <w:tcPr>
            <w:tcW w:w="7488" w:type="dxa"/>
          </w:tcPr>
          <w:p w14:paraId="7CF247FC" w14:textId="35606D02" w:rsidR="005661E9" w:rsidRPr="000D756E" w:rsidRDefault="00F81A9D" w:rsidP="002A7C01">
            <w:pPr>
              <w:rPr>
                <w:rFonts w:ascii="Arial" w:hAnsi="Arial" w:cs="Arial"/>
                <w:sz w:val="24"/>
                <w:szCs w:val="24"/>
              </w:rPr>
            </w:pPr>
            <w:r w:rsidRPr="000D756E">
              <w:rPr>
                <w:rFonts w:ascii="Arial" w:hAnsi="Arial" w:cs="Arial"/>
                <w:sz w:val="24"/>
                <w:szCs w:val="24"/>
              </w:rPr>
              <w:t xml:space="preserve">Vehicles and </w:t>
            </w:r>
            <w:r w:rsidR="00ED1FC4" w:rsidRPr="000D756E">
              <w:rPr>
                <w:rFonts w:ascii="Arial" w:hAnsi="Arial" w:cs="Arial"/>
                <w:sz w:val="24"/>
                <w:szCs w:val="24"/>
              </w:rPr>
              <w:t>equipment</w:t>
            </w:r>
          </w:p>
        </w:tc>
        <w:tc>
          <w:tcPr>
            <w:tcW w:w="1368" w:type="dxa"/>
          </w:tcPr>
          <w:p w14:paraId="75C07CB0" w14:textId="7F28F448" w:rsidR="005661E9" w:rsidRPr="000D756E" w:rsidRDefault="008D2A82" w:rsidP="003F719A">
            <w:pPr>
              <w:jc w:val="right"/>
              <w:rPr>
                <w:rFonts w:ascii="Arial" w:hAnsi="Arial" w:cs="Arial"/>
                <w:sz w:val="24"/>
                <w:szCs w:val="24"/>
              </w:rPr>
            </w:pPr>
            <w:r>
              <w:rPr>
                <w:rFonts w:ascii="Arial" w:hAnsi="Arial" w:cs="Arial"/>
                <w:sz w:val="24"/>
                <w:szCs w:val="24"/>
              </w:rPr>
              <w:t>3,601</w:t>
            </w:r>
          </w:p>
        </w:tc>
      </w:tr>
      <w:tr w:rsidR="000D756E" w:rsidRPr="000D756E" w14:paraId="2B6F43B0" w14:textId="77777777" w:rsidTr="00D55C48">
        <w:tc>
          <w:tcPr>
            <w:tcW w:w="7488" w:type="dxa"/>
          </w:tcPr>
          <w:p w14:paraId="646471CA" w14:textId="2E124A43" w:rsidR="008D5433" w:rsidRPr="000D756E" w:rsidRDefault="0087599B" w:rsidP="002A7C01">
            <w:pPr>
              <w:rPr>
                <w:rFonts w:ascii="Arial" w:hAnsi="Arial" w:cs="Arial"/>
                <w:sz w:val="24"/>
                <w:szCs w:val="24"/>
              </w:rPr>
            </w:pPr>
            <w:r w:rsidRPr="000D756E">
              <w:rPr>
                <w:rFonts w:ascii="Arial" w:hAnsi="Arial" w:cs="Arial"/>
                <w:sz w:val="24"/>
                <w:szCs w:val="24"/>
              </w:rPr>
              <w:t xml:space="preserve">IT </w:t>
            </w:r>
            <w:r w:rsidR="00091DB2" w:rsidRPr="000D756E">
              <w:rPr>
                <w:rFonts w:ascii="Arial" w:hAnsi="Arial" w:cs="Arial"/>
                <w:sz w:val="24"/>
                <w:szCs w:val="24"/>
              </w:rPr>
              <w:t>Infrastructure</w:t>
            </w:r>
          </w:p>
        </w:tc>
        <w:tc>
          <w:tcPr>
            <w:tcW w:w="1368" w:type="dxa"/>
          </w:tcPr>
          <w:p w14:paraId="7C6E3835" w14:textId="7F9B87A2" w:rsidR="008D5433" w:rsidRPr="000D756E" w:rsidRDefault="008D2A82" w:rsidP="003F719A">
            <w:pPr>
              <w:jc w:val="right"/>
              <w:rPr>
                <w:rFonts w:ascii="Arial" w:hAnsi="Arial" w:cs="Arial"/>
                <w:sz w:val="24"/>
                <w:szCs w:val="24"/>
              </w:rPr>
            </w:pPr>
            <w:r>
              <w:rPr>
                <w:rFonts w:ascii="Arial" w:hAnsi="Arial" w:cs="Arial"/>
                <w:sz w:val="24"/>
                <w:szCs w:val="24"/>
              </w:rPr>
              <w:t>368</w:t>
            </w:r>
          </w:p>
        </w:tc>
      </w:tr>
      <w:tr w:rsidR="008B3824" w:rsidRPr="000D756E" w14:paraId="06C4C70F" w14:textId="77777777" w:rsidTr="00D55C48">
        <w:tc>
          <w:tcPr>
            <w:tcW w:w="7488" w:type="dxa"/>
          </w:tcPr>
          <w:p w14:paraId="66848948" w14:textId="178E489B" w:rsidR="00631353" w:rsidRPr="000D756E" w:rsidRDefault="00631353" w:rsidP="00631353">
            <w:pPr>
              <w:rPr>
                <w:rFonts w:ascii="Arial" w:hAnsi="Arial" w:cs="Arial"/>
                <w:sz w:val="24"/>
                <w:szCs w:val="24"/>
              </w:rPr>
            </w:pPr>
            <w:r w:rsidRPr="000D756E">
              <w:rPr>
                <w:rFonts w:ascii="Arial" w:hAnsi="Arial" w:cs="Arial"/>
                <w:b/>
                <w:sz w:val="24"/>
                <w:szCs w:val="24"/>
              </w:rPr>
              <w:t>Total</w:t>
            </w:r>
          </w:p>
        </w:tc>
        <w:tc>
          <w:tcPr>
            <w:tcW w:w="1368" w:type="dxa"/>
          </w:tcPr>
          <w:p w14:paraId="059380E7" w14:textId="220C15E0" w:rsidR="00631353" w:rsidRPr="000D756E" w:rsidRDefault="0062404F" w:rsidP="003F719A">
            <w:pPr>
              <w:jc w:val="right"/>
              <w:rPr>
                <w:rFonts w:ascii="Arial" w:hAnsi="Arial" w:cs="Arial"/>
                <w:b/>
                <w:bCs/>
                <w:sz w:val="24"/>
                <w:szCs w:val="24"/>
              </w:rPr>
            </w:pPr>
            <w:r>
              <w:rPr>
                <w:rFonts w:ascii="Arial" w:hAnsi="Arial" w:cs="Arial"/>
                <w:b/>
                <w:bCs/>
                <w:sz w:val="24"/>
                <w:szCs w:val="24"/>
              </w:rPr>
              <w:t>6,162</w:t>
            </w:r>
          </w:p>
        </w:tc>
      </w:tr>
    </w:tbl>
    <w:p w14:paraId="457702E8" w14:textId="77777777" w:rsidR="00727FE6" w:rsidRPr="000D756E" w:rsidRDefault="00727FE6" w:rsidP="002A7C01">
      <w:pPr>
        <w:rPr>
          <w:rFonts w:ascii="Arial" w:hAnsi="Arial" w:cs="Arial"/>
          <w:i/>
          <w:sz w:val="24"/>
          <w:szCs w:val="24"/>
        </w:rPr>
      </w:pPr>
    </w:p>
    <w:p w14:paraId="1BDDEA6C" w14:textId="77777777" w:rsidR="002C20C7" w:rsidRPr="000D756E" w:rsidRDefault="003051E8" w:rsidP="002A7C01">
      <w:pPr>
        <w:rPr>
          <w:rFonts w:ascii="Arial" w:hAnsi="Arial" w:cs="Arial"/>
          <w:sz w:val="24"/>
          <w:szCs w:val="24"/>
        </w:rPr>
      </w:pPr>
      <w:r w:rsidRPr="000D756E">
        <w:rPr>
          <w:rFonts w:ascii="Arial" w:hAnsi="Arial" w:cs="Arial"/>
          <w:sz w:val="24"/>
          <w:szCs w:val="24"/>
        </w:rPr>
        <w:t>Expenditure on capital projects</w:t>
      </w:r>
      <w:r w:rsidR="00727FE6" w:rsidRPr="000D756E">
        <w:rPr>
          <w:rFonts w:ascii="Arial" w:hAnsi="Arial" w:cs="Arial"/>
          <w:sz w:val="24"/>
          <w:szCs w:val="24"/>
        </w:rPr>
        <w:t xml:space="preserve"> has been funded from</w:t>
      </w:r>
      <w:r w:rsidR="00D97F07" w:rsidRPr="000D756E">
        <w:rPr>
          <w:rFonts w:ascii="Arial" w:hAnsi="Arial" w:cs="Arial"/>
          <w:sz w:val="24"/>
          <w:szCs w:val="24"/>
        </w:rPr>
        <w:t>:</w:t>
      </w:r>
    </w:p>
    <w:p w14:paraId="2B76F5CC" w14:textId="77777777" w:rsidR="007C0048" w:rsidRPr="000D756E" w:rsidRDefault="007C0048"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418"/>
      </w:tblGrid>
      <w:tr w:rsidR="000D756E" w:rsidRPr="000D756E" w14:paraId="7D4C613B" w14:textId="77777777" w:rsidTr="00597137">
        <w:tc>
          <w:tcPr>
            <w:tcW w:w="7479" w:type="dxa"/>
          </w:tcPr>
          <w:p w14:paraId="0DC04E4E" w14:textId="77777777" w:rsidR="00EA65D7" w:rsidRPr="000D756E" w:rsidRDefault="00EA65D7" w:rsidP="002A7C01">
            <w:pPr>
              <w:rPr>
                <w:rFonts w:ascii="Arial" w:hAnsi="Arial" w:cs="Arial"/>
                <w:b/>
                <w:sz w:val="24"/>
                <w:szCs w:val="24"/>
              </w:rPr>
            </w:pPr>
          </w:p>
          <w:p w14:paraId="2588CCD8" w14:textId="77777777" w:rsidR="00EA65D7" w:rsidRPr="000D756E" w:rsidRDefault="00EA65D7" w:rsidP="002A7C01">
            <w:pPr>
              <w:rPr>
                <w:rFonts w:ascii="Arial" w:hAnsi="Arial" w:cs="Arial"/>
                <w:b/>
                <w:sz w:val="24"/>
                <w:szCs w:val="24"/>
              </w:rPr>
            </w:pPr>
            <w:r w:rsidRPr="000D756E">
              <w:rPr>
                <w:rFonts w:ascii="Arial" w:hAnsi="Arial" w:cs="Arial"/>
                <w:b/>
                <w:sz w:val="24"/>
                <w:szCs w:val="24"/>
              </w:rPr>
              <w:t>Source of Funding</w:t>
            </w:r>
          </w:p>
        </w:tc>
        <w:tc>
          <w:tcPr>
            <w:tcW w:w="1418" w:type="dxa"/>
          </w:tcPr>
          <w:p w14:paraId="0C275164" w14:textId="77777777" w:rsidR="00EA65D7" w:rsidRPr="000D756E" w:rsidRDefault="00EA65D7" w:rsidP="00597137">
            <w:pPr>
              <w:jc w:val="right"/>
              <w:rPr>
                <w:rFonts w:ascii="Arial" w:hAnsi="Arial" w:cs="Arial"/>
                <w:b/>
                <w:sz w:val="24"/>
                <w:szCs w:val="24"/>
              </w:rPr>
            </w:pPr>
          </w:p>
          <w:p w14:paraId="5B6A116A" w14:textId="77777777" w:rsidR="00EA65D7" w:rsidRPr="000D756E" w:rsidRDefault="00EA65D7" w:rsidP="00597137">
            <w:pPr>
              <w:jc w:val="right"/>
              <w:rPr>
                <w:rFonts w:ascii="Arial" w:hAnsi="Arial" w:cs="Arial"/>
                <w:b/>
                <w:sz w:val="24"/>
                <w:szCs w:val="24"/>
              </w:rPr>
            </w:pPr>
            <w:r w:rsidRPr="000D756E">
              <w:rPr>
                <w:rFonts w:ascii="Arial" w:hAnsi="Arial" w:cs="Arial"/>
                <w:b/>
                <w:sz w:val="24"/>
                <w:szCs w:val="24"/>
              </w:rPr>
              <w:t>£’000</w:t>
            </w:r>
          </w:p>
          <w:p w14:paraId="0F2AF02B" w14:textId="77777777" w:rsidR="00EA65D7" w:rsidRPr="000D756E" w:rsidRDefault="00EA65D7" w:rsidP="00597137">
            <w:pPr>
              <w:jc w:val="right"/>
              <w:rPr>
                <w:rFonts w:ascii="Arial" w:hAnsi="Arial" w:cs="Arial"/>
                <w:b/>
                <w:sz w:val="24"/>
                <w:szCs w:val="24"/>
              </w:rPr>
            </w:pPr>
          </w:p>
        </w:tc>
      </w:tr>
      <w:tr w:rsidR="000D756E" w:rsidRPr="000D756E" w14:paraId="75D690E9" w14:textId="77777777" w:rsidTr="00597137">
        <w:tc>
          <w:tcPr>
            <w:tcW w:w="7479" w:type="dxa"/>
          </w:tcPr>
          <w:p w14:paraId="5B4E00C1" w14:textId="46D0533E" w:rsidR="00EA65D7" w:rsidRPr="000D756E" w:rsidRDefault="006A0F9A" w:rsidP="002A7C01">
            <w:pPr>
              <w:rPr>
                <w:rFonts w:ascii="Arial" w:hAnsi="Arial" w:cs="Arial"/>
                <w:sz w:val="24"/>
                <w:szCs w:val="24"/>
              </w:rPr>
            </w:pPr>
            <w:r w:rsidRPr="000D756E">
              <w:rPr>
                <w:rFonts w:ascii="Arial" w:hAnsi="Arial" w:cs="Arial"/>
                <w:sz w:val="24"/>
                <w:szCs w:val="24"/>
              </w:rPr>
              <w:t>Major Projects Reserve</w:t>
            </w:r>
          </w:p>
        </w:tc>
        <w:tc>
          <w:tcPr>
            <w:tcW w:w="1418" w:type="dxa"/>
          </w:tcPr>
          <w:p w14:paraId="5A7FD9E2" w14:textId="1FBE78AC" w:rsidR="00D97F07" w:rsidRPr="000D756E" w:rsidRDefault="00004B52" w:rsidP="00AC7A58">
            <w:pPr>
              <w:jc w:val="right"/>
              <w:rPr>
                <w:rFonts w:ascii="Arial" w:hAnsi="Arial" w:cs="Arial"/>
                <w:sz w:val="24"/>
                <w:szCs w:val="24"/>
              </w:rPr>
            </w:pPr>
            <w:r>
              <w:rPr>
                <w:rFonts w:ascii="Arial" w:hAnsi="Arial" w:cs="Arial"/>
                <w:sz w:val="24"/>
                <w:szCs w:val="24"/>
              </w:rPr>
              <w:t>3,891</w:t>
            </w:r>
          </w:p>
        </w:tc>
      </w:tr>
      <w:tr w:rsidR="000D756E" w:rsidRPr="000D756E" w14:paraId="4D4569C6" w14:textId="77777777" w:rsidTr="00597137">
        <w:tc>
          <w:tcPr>
            <w:tcW w:w="7479" w:type="dxa"/>
          </w:tcPr>
          <w:p w14:paraId="1D65B70C" w14:textId="1B2FEBB3" w:rsidR="00EA5812" w:rsidRPr="000D756E" w:rsidRDefault="00EA5812" w:rsidP="002A7C01">
            <w:pPr>
              <w:rPr>
                <w:rFonts w:ascii="Arial" w:hAnsi="Arial" w:cs="Arial"/>
                <w:bCs/>
                <w:sz w:val="24"/>
                <w:szCs w:val="24"/>
              </w:rPr>
            </w:pPr>
            <w:r w:rsidRPr="000D756E">
              <w:rPr>
                <w:rFonts w:ascii="Arial" w:hAnsi="Arial" w:cs="Arial"/>
                <w:bCs/>
                <w:sz w:val="24"/>
                <w:szCs w:val="24"/>
              </w:rPr>
              <w:t>ICT Reserve</w:t>
            </w:r>
          </w:p>
        </w:tc>
        <w:tc>
          <w:tcPr>
            <w:tcW w:w="1418" w:type="dxa"/>
          </w:tcPr>
          <w:p w14:paraId="622C0194" w14:textId="24FF1E76" w:rsidR="00EA5812" w:rsidRPr="000D756E" w:rsidRDefault="002514A7" w:rsidP="00AC7A58">
            <w:pPr>
              <w:jc w:val="right"/>
              <w:rPr>
                <w:rFonts w:ascii="Arial" w:hAnsi="Arial" w:cs="Arial"/>
                <w:bCs/>
                <w:sz w:val="24"/>
                <w:szCs w:val="24"/>
              </w:rPr>
            </w:pPr>
            <w:r>
              <w:rPr>
                <w:rFonts w:ascii="Arial" w:hAnsi="Arial" w:cs="Arial"/>
                <w:bCs/>
                <w:sz w:val="24"/>
                <w:szCs w:val="24"/>
              </w:rPr>
              <w:t>32</w:t>
            </w:r>
          </w:p>
        </w:tc>
      </w:tr>
      <w:tr w:rsidR="000D756E" w:rsidRPr="000D756E" w14:paraId="6510ACC8" w14:textId="77777777" w:rsidTr="00597137">
        <w:tc>
          <w:tcPr>
            <w:tcW w:w="7479" w:type="dxa"/>
          </w:tcPr>
          <w:p w14:paraId="0D00EC05" w14:textId="30085700" w:rsidR="00750A60" w:rsidRPr="000D756E" w:rsidRDefault="00EA5812" w:rsidP="002A7C01">
            <w:pPr>
              <w:rPr>
                <w:rFonts w:ascii="Arial" w:hAnsi="Arial" w:cs="Arial"/>
                <w:bCs/>
                <w:sz w:val="24"/>
                <w:szCs w:val="24"/>
              </w:rPr>
            </w:pPr>
            <w:r w:rsidRPr="000D756E">
              <w:rPr>
                <w:rFonts w:ascii="Arial" w:hAnsi="Arial" w:cs="Arial"/>
                <w:bCs/>
                <w:sz w:val="24"/>
                <w:szCs w:val="24"/>
              </w:rPr>
              <w:t>Capital receipts</w:t>
            </w:r>
          </w:p>
        </w:tc>
        <w:tc>
          <w:tcPr>
            <w:tcW w:w="1418" w:type="dxa"/>
          </w:tcPr>
          <w:p w14:paraId="776B28FF" w14:textId="575BB984" w:rsidR="00750A60" w:rsidRPr="000D756E" w:rsidRDefault="00470788" w:rsidP="00AC7A58">
            <w:pPr>
              <w:jc w:val="right"/>
              <w:rPr>
                <w:rFonts w:ascii="Arial" w:hAnsi="Arial" w:cs="Arial"/>
                <w:bCs/>
                <w:sz w:val="24"/>
                <w:szCs w:val="24"/>
              </w:rPr>
            </w:pPr>
            <w:r>
              <w:rPr>
                <w:rFonts w:ascii="Arial" w:hAnsi="Arial" w:cs="Arial"/>
                <w:bCs/>
                <w:sz w:val="24"/>
                <w:szCs w:val="24"/>
              </w:rPr>
              <w:t>0</w:t>
            </w:r>
          </w:p>
        </w:tc>
      </w:tr>
      <w:tr w:rsidR="000D756E" w:rsidRPr="000D756E" w14:paraId="3E684DEE" w14:textId="77777777" w:rsidTr="00597137">
        <w:tc>
          <w:tcPr>
            <w:tcW w:w="7479" w:type="dxa"/>
          </w:tcPr>
          <w:p w14:paraId="51AD0D24" w14:textId="5FAA16BF" w:rsidR="00AA58D3" w:rsidRPr="000D756E" w:rsidRDefault="00AA58D3" w:rsidP="002A7C01">
            <w:pPr>
              <w:rPr>
                <w:rFonts w:ascii="Arial" w:hAnsi="Arial" w:cs="Arial"/>
                <w:bCs/>
                <w:sz w:val="24"/>
                <w:szCs w:val="24"/>
              </w:rPr>
            </w:pPr>
            <w:r w:rsidRPr="000D756E">
              <w:rPr>
                <w:rFonts w:ascii="Arial" w:hAnsi="Arial" w:cs="Arial"/>
                <w:bCs/>
                <w:sz w:val="24"/>
                <w:szCs w:val="24"/>
              </w:rPr>
              <w:t>Revenue</w:t>
            </w:r>
          </w:p>
        </w:tc>
        <w:tc>
          <w:tcPr>
            <w:tcW w:w="1418" w:type="dxa"/>
          </w:tcPr>
          <w:p w14:paraId="76DE04BA" w14:textId="616AC02F" w:rsidR="00AA58D3" w:rsidRPr="000D756E" w:rsidRDefault="00470788" w:rsidP="00597137">
            <w:pPr>
              <w:jc w:val="right"/>
              <w:rPr>
                <w:rFonts w:ascii="Arial" w:hAnsi="Arial" w:cs="Arial"/>
                <w:bCs/>
                <w:sz w:val="24"/>
                <w:szCs w:val="24"/>
              </w:rPr>
            </w:pPr>
            <w:r>
              <w:rPr>
                <w:rFonts w:ascii="Arial" w:hAnsi="Arial" w:cs="Arial"/>
                <w:bCs/>
                <w:sz w:val="24"/>
                <w:szCs w:val="24"/>
              </w:rPr>
              <w:t>46</w:t>
            </w:r>
          </w:p>
        </w:tc>
      </w:tr>
      <w:tr w:rsidR="000D756E" w:rsidRPr="000D756E" w14:paraId="54EBB9FE" w14:textId="77777777" w:rsidTr="00597137">
        <w:tc>
          <w:tcPr>
            <w:tcW w:w="7479" w:type="dxa"/>
          </w:tcPr>
          <w:p w14:paraId="00A66E9F" w14:textId="34BEDE4A" w:rsidR="00AA58D3" w:rsidRPr="000D756E" w:rsidRDefault="00AA58D3" w:rsidP="002A7C01">
            <w:pPr>
              <w:rPr>
                <w:rFonts w:ascii="Arial" w:hAnsi="Arial" w:cs="Arial"/>
                <w:bCs/>
                <w:sz w:val="24"/>
                <w:szCs w:val="24"/>
              </w:rPr>
            </w:pPr>
            <w:r w:rsidRPr="000D756E">
              <w:rPr>
                <w:rFonts w:ascii="Arial" w:hAnsi="Arial" w:cs="Arial"/>
                <w:bCs/>
                <w:sz w:val="24"/>
                <w:szCs w:val="24"/>
              </w:rPr>
              <w:t>Borrowing</w:t>
            </w:r>
          </w:p>
        </w:tc>
        <w:tc>
          <w:tcPr>
            <w:tcW w:w="1418" w:type="dxa"/>
          </w:tcPr>
          <w:p w14:paraId="0BEE6D82" w14:textId="675CD24C" w:rsidR="00CE686F" w:rsidRPr="000D756E" w:rsidRDefault="008B2A8D" w:rsidP="00004B52">
            <w:pPr>
              <w:jc w:val="right"/>
              <w:rPr>
                <w:rFonts w:ascii="Arial" w:hAnsi="Arial" w:cs="Arial"/>
                <w:bCs/>
                <w:sz w:val="24"/>
                <w:szCs w:val="24"/>
              </w:rPr>
            </w:pPr>
            <w:r>
              <w:rPr>
                <w:rFonts w:ascii="Arial" w:hAnsi="Arial" w:cs="Arial"/>
                <w:bCs/>
                <w:sz w:val="24"/>
                <w:szCs w:val="24"/>
              </w:rPr>
              <w:t>2,193</w:t>
            </w:r>
          </w:p>
        </w:tc>
      </w:tr>
      <w:tr w:rsidR="008B3824" w:rsidRPr="000D756E" w14:paraId="66ECBEEC" w14:textId="77777777" w:rsidTr="00597137">
        <w:tc>
          <w:tcPr>
            <w:tcW w:w="7479" w:type="dxa"/>
          </w:tcPr>
          <w:p w14:paraId="4382245E" w14:textId="77777777" w:rsidR="00D97F07" w:rsidRPr="000D756E" w:rsidRDefault="00EA65D7" w:rsidP="002A7C01">
            <w:pPr>
              <w:rPr>
                <w:rFonts w:ascii="Arial" w:hAnsi="Arial" w:cs="Arial"/>
                <w:b/>
                <w:sz w:val="24"/>
                <w:szCs w:val="24"/>
              </w:rPr>
            </w:pPr>
            <w:r w:rsidRPr="000D756E">
              <w:rPr>
                <w:rFonts w:ascii="Arial" w:hAnsi="Arial" w:cs="Arial"/>
                <w:b/>
                <w:sz w:val="24"/>
                <w:szCs w:val="24"/>
              </w:rPr>
              <w:t>Total</w:t>
            </w:r>
          </w:p>
        </w:tc>
        <w:tc>
          <w:tcPr>
            <w:tcW w:w="1418" w:type="dxa"/>
          </w:tcPr>
          <w:p w14:paraId="72BA0F60" w14:textId="2636EC3D" w:rsidR="00D97F07" w:rsidRPr="000D756E" w:rsidRDefault="0062404F" w:rsidP="00597137">
            <w:pPr>
              <w:jc w:val="right"/>
              <w:rPr>
                <w:rFonts w:ascii="Arial" w:hAnsi="Arial" w:cs="Arial"/>
                <w:b/>
                <w:sz w:val="24"/>
                <w:szCs w:val="24"/>
              </w:rPr>
            </w:pPr>
            <w:r>
              <w:rPr>
                <w:rFonts w:ascii="Arial" w:hAnsi="Arial" w:cs="Arial"/>
                <w:b/>
                <w:sz w:val="24"/>
                <w:szCs w:val="24"/>
              </w:rPr>
              <w:t>6,162</w:t>
            </w:r>
          </w:p>
        </w:tc>
      </w:tr>
    </w:tbl>
    <w:p w14:paraId="2365570D" w14:textId="29A2EBCE" w:rsidR="0052690D" w:rsidRPr="000D756E" w:rsidRDefault="0052690D" w:rsidP="002A7C01">
      <w:pPr>
        <w:rPr>
          <w:rFonts w:ascii="Arial" w:hAnsi="Arial" w:cs="Arial"/>
          <w:sz w:val="24"/>
          <w:szCs w:val="24"/>
        </w:rPr>
      </w:pPr>
    </w:p>
    <w:p w14:paraId="6A3D0E02" w14:textId="77777777" w:rsidR="0052690D" w:rsidRPr="000D756E" w:rsidRDefault="0052690D">
      <w:pPr>
        <w:rPr>
          <w:rFonts w:ascii="Arial" w:hAnsi="Arial" w:cs="Arial"/>
          <w:sz w:val="24"/>
          <w:szCs w:val="24"/>
        </w:rPr>
      </w:pPr>
      <w:r w:rsidRPr="000D756E">
        <w:rPr>
          <w:rFonts w:ascii="Arial" w:hAnsi="Arial" w:cs="Arial"/>
          <w:sz w:val="24"/>
          <w:szCs w:val="24"/>
        </w:rPr>
        <w:br w:type="page"/>
      </w:r>
    </w:p>
    <w:p w14:paraId="23F90F1F" w14:textId="77777777" w:rsidR="003051E8" w:rsidRPr="000D756E" w:rsidRDefault="00727FE6" w:rsidP="00031C94">
      <w:pPr>
        <w:rPr>
          <w:rFonts w:ascii="Arial" w:hAnsi="Arial" w:cs="Arial"/>
          <w:b/>
          <w:bCs/>
          <w:sz w:val="24"/>
          <w:szCs w:val="24"/>
          <w:lang w:eastAsia="en-GB"/>
        </w:rPr>
      </w:pPr>
      <w:r w:rsidRPr="000D756E">
        <w:rPr>
          <w:rFonts w:ascii="Arial" w:hAnsi="Arial" w:cs="Arial"/>
          <w:b/>
          <w:sz w:val="24"/>
          <w:szCs w:val="24"/>
        </w:rPr>
        <w:lastRenderedPageBreak/>
        <w:t xml:space="preserve">Reserves </w:t>
      </w:r>
      <w:r w:rsidR="00710E31" w:rsidRPr="000D756E">
        <w:rPr>
          <w:rFonts w:ascii="Arial" w:hAnsi="Arial" w:cs="Arial"/>
          <w:b/>
          <w:sz w:val="24"/>
          <w:szCs w:val="24"/>
        </w:rPr>
        <w:t xml:space="preserve">- </w:t>
      </w:r>
      <w:r w:rsidR="00875622" w:rsidRPr="000D756E">
        <w:rPr>
          <w:rFonts w:ascii="Arial" w:hAnsi="Arial" w:cs="Arial"/>
          <w:b/>
          <w:sz w:val="24"/>
          <w:szCs w:val="24"/>
        </w:rPr>
        <w:t>O</w:t>
      </w:r>
      <w:r w:rsidR="003051E8" w:rsidRPr="000D756E">
        <w:rPr>
          <w:rFonts w:ascii="Arial" w:hAnsi="Arial" w:cs="Arial"/>
          <w:b/>
          <w:bCs/>
          <w:sz w:val="24"/>
          <w:szCs w:val="24"/>
          <w:lang w:eastAsia="en-GB"/>
        </w:rPr>
        <w:t>verview of the Reserves Strategy</w:t>
      </w:r>
      <w:r w:rsidR="007A16E1" w:rsidRPr="000D756E">
        <w:rPr>
          <w:rFonts w:ascii="Arial" w:hAnsi="Arial" w:cs="Arial"/>
          <w:b/>
          <w:bCs/>
          <w:sz w:val="24"/>
          <w:szCs w:val="24"/>
          <w:lang w:eastAsia="en-GB"/>
        </w:rPr>
        <w:t xml:space="preserve"> </w:t>
      </w:r>
    </w:p>
    <w:p w14:paraId="24C5CC6B" w14:textId="77777777" w:rsidR="00037679" w:rsidRPr="000D756E" w:rsidRDefault="00037679" w:rsidP="00031C94">
      <w:pPr>
        <w:rPr>
          <w:rFonts w:ascii="Arial" w:hAnsi="Arial" w:cs="Arial"/>
          <w:b/>
          <w:sz w:val="24"/>
          <w:szCs w:val="24"/>
        </w:rPr>
      </w:pPr>
    </w:p>
    <w:p w14:paraId="533FD92C" w14:textId="63515E3E" w:rsidR="003051E8" w:rsidRPr="000D756E" w:rsidRDefault="003051E8" w:rsidP="002A7C01">
      <w:pPr>
        <w:rPr>
          <w:rFonts w:ascii="Arial" w:hAnsi="Arial" w:cs="Arial"/>
          <w:sz w:val="24"/>
          <w:szCs w:val="24"/>
          <w:lang w:eastAsia="en-GB"/>
        </w:rPr>
      </w:pPr>
      <w:r w:rsidRPr="000D756E">
        <w:rPr>
          <w:rFonts w:ascii="Arial" w:hAnsi="Arial" w:cs="Arial"/>
          <w:sz w:val="24"/>
          <w:szCs w:val="24"/>
          <w:lang w:eastAsia="en-GB"/>
        </w:rPr>
        <w:t xml:space="preserve">The Fire Authority has set out its financial strategy to </w:t>
      </w:r>
      <w:r w:rsidR="006540A7" w:rsidRPr="000D756E">
        <w:rPr>
          <w:rFonts w:ascii="Arial" w:hAnsi="Arial" w:cs="Arial"/>
          <w:sz w:val="24"/>
          <w:szCs w:val="24"/>
          <w:lang w:eastAsia="en-GB"/>
        </w:rPr>
        <w:t>202</w:t>
      </w:r>
      <w:r w:rsidR="006F7405">
        <w:rPr>
          <w:rFonts w:ascii="Arial" w:hAnsi="Arial" w:cs="Arial"/>
          <w:sz w:val="24"/>
          <w:szCs w:val="24"/>
          <w:lang w:eastAsia="en-GB"/>
        </w:rPr>
        <w:t>4/25</w:t>
      </w:r>
      <w:r w:rsidRPr="000D756E">
        <w:rPr>
          <w:rFonts w:ascii="Arial" w:hAnsi="Arial" w:cs="Arial"/>
          <w:sz w:val="24"/>
          <w:szCs w:val="24"/>
          <w:lang w:eastAsia="en-GB"/>
        </w:rPr>
        <w:t xml:space="preserve"> in its </w:t>
      </w:r>
      <w:r w:rsidR="00CC7F70" w:rsidRPr="000D756E">
        <w:rPr>
          <w:rFonts w:ascii="Arial" w:hAnsi="Arial" w:cs="Arial"/>
          <w:sz w:val="24"/>
          <w:szCs w:val="24"/>
          <w:lang w:eastAsia="en-GB"/>
        </w:rPr>
        <w:t>Medium Term Financial Plan</w:t>
      </w:r>
      <w:r w:rsidRPr="000D756E">
        <w:rPr>
          <w:rFonts w:ascii="Arial" w:hAnsi="Arial" w:cs="Arial"/>
          <w:sz w:val="24"/>
          <w:szCs w:val="24"/>
          <w:lang w:eastAsia="en-GB"/>
        </w:rPr>
        <w:t>, and its reserves policy is an integral part of this Plan.  The level of reserves that the Authority holds has been driven by the following principles:</w:t>
      </w:r>
    </w:p>
    <w:p w14:paraId="537B3E95" w14:textId="77777777" w:rsidR="003051E8" w:rsidRPr="000D756E" w:rsidRDefault="003051E8" w:rsidP="002A7C01">
      <w:pPr>
        <w:ind w:left="709"/>
        <w:rPr>
          <w:rFonts w:ascii="Arial" w:hAnsi="Arial" w:cs="Arial"/>
          <w:b/>
          <w:sz w:val="24"/>
          <w:szCs w:val="24"/>
          <w:lang w:eastAsia="en-GB"/>
        </w:rPr>
      </w:pPr>
    </w:p>
    <w:p w14:paraId="3A1CAC8D" w14:textId="52C10C9A" w:rsidR="003051E8" w:rsidRPr="000D756E" w:rsidRDefault="003051E8" w:rsidP="002A7C01">
      <w:pPr>
        <w:rPr>
          <w:rFonts w:ascii="Arial" w:hAnsi="Arial" w:cs="Arial"/>
          <w:b/>
          <w:sz w:val="24"/>
          <w:szCs w:val="24"/>
          <w:lang w:eastAsia="en-GB"/>
        </w:rPr>
      </w:pPr>
      <w:r w:rsidRPr="000D756E">
        <w:rPr>
          <w:rFonts w:ascii="Arial" w:hAnsi="Arial" w:cs="Arial"/>
          <w:b/>
          <w:sz w:val="24"/>
          <w:szCs w:val="24"/>
          <w:lang w:eastAsia="en-GB"/>
        </w:rPr>
        <w:t>To fund major projects, thereby avoiding debt charges into the long term</w:t>
      </w:r>
      <w:r w:rsidR="00710E31" w:rsidRPr="000D756E">
        <w:rPr>
          <w:rFonts w:ascii="Arial" w:hAnsi="Arial" w:cs="Arial"/>
          <w:b/>
          <w:sz w:val="24"/>
          <w:szCs w:val="24"/>
          <w:lang w:eastAsia="en-GB"/>
        </w:rPr>
        <w:t xml:space="preserve"> - </w:t>
      </w:r>
      <w:r w:rsidR="00710E31" w:rsidRPr="000D756E">
        <w:rPr>
          <w:rFonts w:ascii="Arial" w:hAnsi="Arial" w:cs="Arial"/>
          <w:sz w:val="24"/>
          <w:szCs w:val="24"/>
          <w:lang w:eastAsia="en-GB"/>
        </w:rPr>
        <w:t>t</w:t>
      </w:r>
      <w:r w:rsidRPr="000D756E">
        <w:rPr>
          <w:rFonts w:ascii="Arial" w:hAnsi="Arial" w:cs="Arial"/>
          <w:sz w:val="24"/>
          <w:szCs w:val="24"/>
          <w:lang w:eastAsia="en-GB"/>
        </w:rPr>
        <w:t xml:space="preserve">he Authority has used reserves successfully in recent years to fund its capital programme, most notably the fire station, workshop and headquarters in Shrewsbury.  The Capital reserves and the ICT reserve will continue to be used to fund the capital programme into the medium term, </w:t>
      </w:r>
      <w:r w:rsidR="00740C55" w:rsidRPr="000D756E">
        <w:rPr>
          <w:rFonts w:ascii="Arial" w:hAnsi="Arial" w:cs="Arial"/>
          <w:sz w:val="24"/>
          <w:szCs w:val="24"/>
          <w:lang w:eastAsia="en-GB"/>
        </w:rPr>
        <w:t xml:space="preserve">most notably the major </w:t>
      </w:r>
      <w:r w:rsidR="00EF37E5" w:rsidRPr="000D756E">
        <w:rPr>
          <w:rFonts w:ascii="Arial" w:hAnsi="Arial" w:cs="Arial"/>
          <w:sz w:val="24"/>
          <w:szCs w:val="24"/>
          <w:lang w:eastAsia="en-GB"/>
        </w:rPr>
        <w:t>refurbishment</w:t>
      </w:r>
      <w:r w:rsidR="00740C55" w:rsidRPr="000D756E">
        <w:rPr>
          <w:rFonts w:ascii="Arial" w:hAnsi="Arial" w:cs="Arial"/>
          <w:sz w:val="24"/>
          <w:szCs w:val="24"/>
          <w:lang w:eastAsia="en-GB"/>
        </w:rPr>
        <w:t xml:space="preserve"> works at Telford’s fire station and training centre.</w:t>
      </w:r>
      <w:r w:rsidR="00EF37E5" w:rsidRPr="000D756E">
        <w:rPr>
          <w:rFonts w:ascii="Arial" w:hAnsi="Arial" w:cs="Arial"/>
          <w:sz w:val="24"/>
          <w:szCs w:val="24"/>
          <w:lang w:eastAsia="en-GB"/>
        </w:rPr>
        <w:t xml:space="preserve"> Any </w:t>
      </w:r>
      <w:r w:rsidRPr="000D756E">
        <w:rPr>
          <w:rFonts w:ascii="Arial" w:hAnsi="Arial" w:cs="Arial"/>
          <w:sz w:val="24"/>
          <w:szCs w:val="24"/>
          <w:lang w:eastAsia="en-GB"/>
        </w:rPr>
        <w:t xml:space="preserve">one-off savings identified </w:t>
      </w:r>
      <w:r w:rsidR="00EF37E5" w:rsidRPr="000D756E">
        <w:rPr>
          <w:rFonts w:ascii="Arial" w:hAnsi="Arial" w:cs="Arial"/>
          <w:sz w:val="24"/>
          <w:szCs w:val="24"/>
          <w:lang w:eastAsia="en-GB"/>
        </w:rPr>
        <w:t xml:space="preserve">in future can be used </w:t>
      </w:r>
      <w:r w:rsidRPr="000D756E">
        <w:rPr>
          <w:rFonts w:ascii="Arial" w:hAnsi="Arial" w:cs="Arial"/>
          <w:sz w:val="24"/>
          <w:szCs w:val="24"/>
          <w:lang w:eastAsia="en-GB"/>
        </w:rPr>
        <w:t>to replace funds</w:t>
      </w:r>
      <w:r w:rsidR="001F78D3" w:rsidRPr="000D756E">
        <w:rPr>
          <w:rFonts w:ascii="Arial" w:hAnsi="Arial" w:cs="Arial"/>
          <w:sz w:val="24"/>
          <w:szCs w:val="24"/>
          <w:lang w:eastAsia="en-GB"/>
        </w:rPr>
        <w:t>.</w:t>
      </w:r>
    </w:p>
    <w:p w14:paraId="79146F91" w14:textId="77777777" w:rsidR="003051E8" w:rsidRPr="000D756E" w:rsidRDefault="003051E8" w:rsidP="002A7C01">
      <w:pPr>
        <w:ind w:left="709"/>
        <w:rPr>
          <w:rFonts w:ascii="Arial" w:hAnsi="Arial" w:cs="Arial"/>
          <w:sz w:val="24"/>
          <w:szCs w:val="24"/>
          <w:lang w:eastAsia="en-GB"/>
        </w:rPr>
      </w:pPr>
    </w:p>
    <w:p w14:paraId="2008FF6B" w14:textId="77777777" w:rsidR="003051E8" w:rsidRPr="000D756E" w:rsidRDefault="003051E8" w:rsidP="002A7C01">
      <w:pPr>
        <w:rPr>
          <w:rFonts w:ascii="Arial" w:hAnsi="Arial" w:cs="Arial"/>
          <w:b/>
          <w:sz w:val="24"/>
          <w:szCs w:val="24"/>
          <w:lang w:eastAsia="en-GB"/>
        </w:rPr>
      </w:pPr>
      <w:r w:rsidRPr="000D756E">
        <w:rPr>
          <w:rFonts w:ascii="Arial" w:hAnsi="Arial" w:cs="Arial"/>
          <w:b/>
          <w:sz w:val="24"/>
          <w:szCs w:val="24"/>
          <w:lang w:eastAsia="en-GB"/>
        </w:rPr>
        <w:t>To fund unexpected and undetermined expenditure that cannot be met by a reducing revenue budget</w:t>
      </w:r>
      <w:r w:rsidR="00710E31" w:rsidRPr="000D756E">
        <w:rPr>
          <w:rFonts w:ascii="Arial" w:hAnsi="Arial" w:cs="Arial"/>
          <w:b/>
          <w:sz w:val="24"/>
          <w:szCs w:val="24"/>
          <w:lang w:eastAsia="en-GB"/>
        </w:rPr>
        <w:t xml:space="preserve"> - </w:t>
      </w:r>
      <w:r w:rsidR="00710E31" w:rsidRPr="000D756E">
        <w:rPr>
          <w:rFonts w:ascii="Arial" w:hAnsi="Arial" w:cs="Arial"/>
          <w:sz w:val="24"/>
          <w:szCs w:val="24"/>
          <w:lang w:eastAsia="en-GB"/>
        </w:rPr>
        <w:t>a</w:t>
      </w:r>
      <w:r w:rsidRPr="000D756E">
        <w:rPr>
          <w:rFonts w:ascii="Arial" w:hAnsi="Arial" w:cs="Arial"/>
          <w:sz w:val="24"/>
          <w:szCs w:val="24"/>
          <w:lang w:eastAsia="en-GB"/>
        </w:rPr>
        <w:t xml:space="preserve">n example of this is the contributions that have been made to the </w:t>
      </w:r>
      <w:r w:rsidR="0025593C" w:rsidRPr="000D756E">
        <w:rPr>
          <w:rFonts w:ascii="Arial" w:hAnsi="Arial" w:cs="Arial"/>
          <w:sz w:val="24"/>
          <w:szCs w:val="24"/>
          <w:lang w:eastAsia="en-GB"/>
        </w:rPr>
        <w:t>Service Transformation Programme Staff Reserve, to provide staffing capacity for projects.</w:t>
      </w:r>
      <w:r w:rsidRPr="000D756E">
        <w:rPr>
          <w:rFonts w:ascii="Arial" w:hAnsi="Arial" w:cs="Arial"/>
          <w:sz w:val="24"/>
          <w:szCs w:val="24"/>
          <w:lang w:eastAsia="en-GB"/>
        </w:rPr>
        <w:t xml:space="preserve">  </w:t>
      </w:r>
    </w:p>
    <w:p w14:paraId="143B7B86" w14:textId="77777777" w:rsidR="003051E8" w:rsidRPr="000D756E" w:rsidRDefault="003051E8" w:rsidP="002A7C01">
      <w:pPr>
        <w:ind w:left="709"/>
        <w:rPr>
          <w:rFonts w:ascii="Arial" w:hAnsi="Arial" w:cs="Arial"/>
          <w:sz w:val="24"/>
          <w:szCs w:val="24"/>
          <w:lang w:eastAsia="en-GB"/>
        </w:rPr>
      </w:pPr>
    </w:p>
    <w:p w14:paraId="5D9C20DD" w14:textId="53D569C4" w:rsidR="00422B49" w:rsidRPr="000D756E" w:rsidRDefault="003051E8" w:rsidP="002A7C01">
      <w:pPr>
        <w:rPr>
          <w:rFonts w:ascii="Arial" w:hAnsi="Arial" w:cs="Arial"/>
          <w:i/>
          <w:iCs/>
          <w:sz w:val="24"/>
          <w:szCs w:val="24"/>
          <w:lang w:eastAsia="en-GB"/>
        </w:rPr>
      </w:pPr>
      <w:r w:rsidRPr="000D756E">
        <w:rPr>
          <w:rFonts w:ascii="Arial" w:hAnsi="Arial" w:cs="Arial"/>
          <w:b/>
          <w:sz w:val="24"/>
          <w:szCs w:val="24"/>
          <w:lang w:eastAsia="en-GB"/>
        </w:rPr>
        <w:t>To support revenue expenditure and smooth out fluctuations in the revenue budget</w:t>
      </w:r>
      <w:r w:rsidR="00710E31" w:rsidRPr="000D756E">
        <w:rPr>
          <w:rFonts w:ascii="Arial" w:hAnsi="Arial" w:cs="Arial"/>
          <w:b/>
          <w:sz w:val="24"/>
          <w:szCs w:val="24"/>
          <w:lang w:eastAsia="en-GB"/>
        </w:rPr>
        <w:t xml:space="preserve"> - </w:t>
      </w:r>
      <w:r w:rsidR="00710E31" w:rsidRPr="000D756E">
        <w:rPr>
          <w:rFonts w:ascii="Arial" w:hAnsi="Arial" w:cs="Arial"/>
          <w:sz w:val="24"/>
          <w:szCs w:val="24"/>
          <w:lang w:eastAsia="en-GB"/>
        </w:rPr>
        <w:t>t</w:t>
      </w:r>
      <w:r w:rsidRPr="000D756E">
        <w:rPr>
          <w:rFonts w:ascii="Arial" w:hAnsi="Arial" w:cs="Arial"/>
          <w:sz w:val="24"/>
          <w:szCs w:val="24"/>
          <w:lang w:eastAsia="en-GB"/>
        </w:rPr>
        <w:t xml:space="preserve">he Fire Authority is focussed on the </w:t>
      </w:r>
      <w:r w:rsidR="00251A28" w:rsidRPr="000D756E">
        <w:rPr>
          <w:rFonts w:ascii="Arial" w:hAnsi="Arial" w:cs="Arial"/>
          <w:sz w:val="24"/>
          <w:szCs w:val="24"/>
          <w:lang w:eastAsia="en-GB"/>
        </w:rPr>
        <w:t>challenges</w:t>
      </w:r>
      <w:r w:rsidRPr="000D756E">
        <w:rPr>
          <w:rFonts w:ascii="Arial" w:hAnsi="Arial" w:cs="Arial"/>
          <w:sz w:val="24"/>
          <w:szCs w:val="24"/>
          <w:lang w:eastAsia="en-GB"/>
        </w:rPr>
        <w:t xml:space="preserve"> that it will face </w:t>
      </w:r>
      <w:r w:rsidR="004803FF" w:rsidRPr="000D756E">
        <w:rPr>
          <w:rFonts w:ascii="Arial" w:hAnsi="Arial" w:cs="Arial"/>
          <w:sz w:val="24"/>
          <w:szCs w:val="24"/>
          <w:lang w:eastAsia="en-GB"/>
        </w:rPr>
        <w:t>into the medium term</w:t>
      </w:r>
      <w:r w:rsidRPr="000D756E">
        <w:rPr>
          <w:rFonts w:ascii="Arial" w:hAnsi="Arial" w:cs="Arial"/>
          <w:sz w:val="24"/>
          <w:szCs w:val="24"/>
          <w:lang w:eastAsia="en-GB"/>
        </w:rPr>
        <w:t xml:space="preserve">, and officers </w:t>
      </w:r>
      <w:r w:rsidR="00777C8E" w:rsidRPr="000D756E">
        <w:rPr>
          <w:rFonts w:ascii="Arial" w:hAnsi="Arial" w:cs="Arial"/>
          <w:sz w:val="24"/>
          <w:szCs w:val="24"/>
          <w:lang w:eastAsia="en-GB"/>
        </w:rPr>
        <w:t xml:space="preserve">will </w:t>
      </w:r>
      <w:r w:rsidRPr="000D756E">
        <w:rPr>
          <w:rFonts w:ascii="Arial" w:hAnsi="Arial" w:cs="Arial"/>
          <w:sz w:val="24"/>
          <w:szCs w:val="24"/>
          <w:lang w:eastAsia="en-GB"/>
        </w:rPr>
        <w:t>review</w:t>
      </w:r>
      <w:r w:rsidR="00777C8E" w:rsidRPr="000D756E">
        <w:rPr>
          <w:rFonts w:ascii="Arial" w:hAnsi="Arial" w:cs="Arial"/>
          <w:sz w:val="24"/>
          <w:szCs w:val="24"/>
          <w:lang w:eastAsia="en-GB"/>
        </w:rPr>
        <w:t xml:space="preserve"> </w:t>
      </w:r>
      <w:r w:rsidRPr="000D756E">
        <w:rPr>
          <w:rFonts w:ascii="Arial" w:hAnsi="Arial" w:cs="Arial"/>
          <w:sz w:val="24"/>
          <w:szCs w:val="24"/>
          <w:lang w:eastAsia="en-GB"/>
        </w:rPr>
        <w:t xml:space="preserve">all aspects of the revenue budget </w:t>
      </w:r>
      <w:bookmarkStart w:id="0" w:name="_Int_9rodGmF8"/>
      <w:r w:rsidRPr="000D756E">
        <w:rPr>
          <w:rFonts w:ascii="Arial" w:hAnsi="Arial" w:cs="Arial"/>
          <w:sz w:val="24"/>
          <w:szCs w:val="24"/>
          <w:lang w:eastAsia="en-GB"/>
        </w:rPr>
        <w:t>in order to</w:t>
      </w:r>
      <w:bookmarkEnd w:id="0"/>
      <w:r w:rsidRPr="000D756E">
        <w:rPr>
          <w:rFonts w:ascii="Arial" w:hAnsi="Arial" w:cs="Arial"/>
          <w:sz w:val="24"/>
          <w:szCs w:val="24"/>
          <w:lang w:eastAsia="en-GB"/>
        </w:rPr>
        <w:t xml:space="preserve"> meet these deficits.  A number of reserves have been created to address and support some areas of the revenue budget, and reviews are currently being carried out to identify smarter use of the Authority’s resources</w:t>
      </w:r>
      <w:r w:rsidR="009C46C0" w:rsidRPr="000D756E">
        <w:rPr>
          <w:rFonts w:ascii="Arial" w:hAnsi="Arial" w:cs="Arial"/>
          <w:sz w:val="24"/>
          <w:szCs w:val="24"/>
          <w:lang w:eastAsia="en-GB"/>
        </w:rPr>
        <w:t>.</w:t>
      </w:r>
      <w:r w:rsidR="00A41221" w:rsidRPr="000D756E">
        <w:rPr>
          <w:rFonts w:ascii="Arial" w:hAnsi="Arial" w:cs="Arial"/>
          <w:sz w:val="24"/>
          <w:szCs w:val="24"/>
          <w:lang w:eastAsia="en-GB"/>
        </w:rPr>
        <w:t xml:space="preserve"> </w:t>
      </w:r>
      <w:r w:rsidRPr="000D756E">
        <w:rPr>
          <w:rFonts w:ascii="Arial" w:hAnsi="Arial" w:cs="Arial"/>
          <w:sz w:val="24"/>
          <w:szCs w:val="24"/>
          <w:lang w:eastAsia="en-GB"/>
        </w:rPr>
        <w:t>These reserves will act as enablers to reduce the revenue budget, and safeguard the service delivered to the people of Shropshire.</w:t>
      </w:r>
      <w:r w:rsidR="00105941" w:rsidRPr="000D756E">
        <w:rPr>
          <w:rFonts w:ascii="Arial" w:hAnsi="Arial" w:cs="Arial"/>
          <w:i/>
          <w:iCs/>
          <w:sz w:val="24"/>
          <w:szCs w:val="24"/>
          <w:lang w:eastAsia="en-GB"/>
        </w:rPr>
        <w:t xml:space="preserve">    </w:t>
      </w:r>
    </w:p>
    <w:p w14:paraId="38446C94" w14:textId="77777777" w:rsidR="003051E8" w:rsidRPr="000D756E" w:rsidRDefault="003051E8" w:rsidP="002A7C01">
      <w:pPr>
        <w:rPr>
          <w:rFonts w:ascii="Arial" w:hAnsi="Arial" w:cs="Arial"/>
          <w:b/>
          <w:sz w:val="24"/>
          <w:szCs w:val="24"/>
        </w:rPr>
      </w:pPr>
    </w:p>
    <w:p w14:paraId="3406481A" w14:textId="77777777" w:rsidR="00727FE6" w:rsidRPr="000D756E" w:rsidRDefault="00BB6003" w:rsidP="002A7C01">
      <w:pPr>
        <w:rPr>
          <w:rFonts w:ascii="Arial" w:hAnsi="Arial" w:cs="Arial"/>
          <w:sz w:val="24"/>
          <w:szCs w:val="24"/>
        </w:rPr>
      </w:pPr>
      <w:r w:rsidRPr="000D756E">
        <w:rPr>
          <w:rFonts w:ascii="Arial" w:hAnsi="Arial" w:cs="Arial"/>
          <w:sz w:val="24"/>
          <w:szCs w:val="24"/>
        </w:rPr>
        <w:t>A</w:t>
      </w:r>
      <w:r w:rsidR="00727FE6" w:rsidRPr="000D756E">
        <w:rPr>
          <w:rFonts w:ascii="Arial" w:hAnsi="Arial" w:cs="Arial"/>
          <w:sz w:val="24"/>
          <w:szCs w:val="24"/>
        </w:rPr>
        <w:t xml:space="preserve"> summary of the position on each reserve is shown below.</w:t>
      </w:r>
      <w:r w:rsidR="004F4183" w:rsidRPr="000D756E">
        <w:rPr>
          <w:rFonts w:ascii="Arial" w:hAnsi="Arial" w:cs="Arial"/>
          <w:sz w:val="24"/>
          <w:szCs w:val="24"/>
        </w:rPr>
        <w:t xml:space="preserve">   </w:t>
      </w:r>
    </w:p>
    <w:p w14:paraId="7008DB38" w14:textId="77777777" w:rsidR="006D5935" w:rsidRPr="000D756E" w:rsidRDefault="006D5935" w:rsidP="002A7C01">
      <w:pPr>
        <w:rPr>
          <w:rFonts w:ascii="Arial" w:hAnsi="Arial" w:cs="Arial"/>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440"/>
        <w:gridCol w:w="1440"/>
      </w:tblGrid>
      <w:tr w:rsidR="00E0400A" w:rsidRPr="000D756E" w14:paraId="43573A4A" w14:textId="77777777" w:rsidTr="7F9CD056">
        <w:trPr>
          <w:trHeight w:val="1020"/>
        </w:trPr>
        <w:tc>
          <w:tcPr>
            <w:tcW w:w="6048" w:type="dxa"/>
          </w:tcPr>
          <w:p w14:paraId="1ECEE204" w14:textId="77777777" w:rsidR="00E0400A" w:rsidRPr="000D756E" w:rsidRDefault="00E0400A" w:rsidP="00E0400A">
            <w:pPr>
              <w:rPr>
                <w:rFonts w:ascii="Arial" w:hAnsi="Arial" w:cs="Arial"/>
                <w:sz w:val="24"/>
                <w:szCs w:val="24"/>
              </w:rPr>
            </w:pPr>
          </w:p>
        </w:tc>
        <w:tc>
          <w:tcPr>
            <w:tcW w:w="1440" w:type="dxa"/>
          </w:tcPr>
          <w:p w14:paraId="16E775BE" w14:textId="77777777" w:rsidR="00E0400A" w:rsidRPr="000D756E" w:rsidRDefault="00E0400A" w:rsidP="00E0400A">
            <w:pPr>
              <w:jc w:val="right"/>
              <w:rPr>
                <w:rFonts w:ascii="Arial" w:hAnsi="Arial" w:cs="Arial"/>
                <w:b/>
                <w:sz w:val="24"/>
                <w:szCs w:val="24"/>
              </w:rPr>
            </w:pPr>
            <w:r w:rsidRPr="000D756E">
              <w:rPr>
                <w:rFonts w:ascii="Arial" w:hAnsi="Arial" w:cs="Arial"/>
                <w:b/>
                <w:sz w:val="24"/>
                <w:szCs w:val="24"/>
              </w:rPr>
              <w:t>31 March 2024</w:t>
            </w:r>
          </w:p>
          <w:p w14:paraId="556677C7" w14:textId="489CBC56" w:rsidR="00E0400A" w:rsidRPr="000D756E" w:rsidRDefault="00E0400A" w:rsidP="00E0400A">
            <w:pPr>
              <w:jc w:val="right"/>
              <w:rPr>
                <w:rFonts w:ascii="Arial" w:hAnsi="Arial" w:cs="Arial"/>
                <w:b/>
                <w:sz w:val="24"/>
                <w:szCs w:val="24"/>
              </w:rPr>
            </w:pPr>
            <w:r w:rsidRPr="000D756E">
              <w:rPr>
                <w:rFonts w:ascii="Arial" w:hAnsi="Arial" w:cs="Arial"/>
                <w:b/>
                <w:sz w:val="24"/>
                <w:szCs w:val="24"/>
              </w:rPr>
              <w:t>£’000</w:t>
            </w:r>
          </w:p>
        </w:tc>
        <w:tc>
          <w:tcPr>
            <w:tcW w:w="1440" w:type="dxa"/>
          </w:tcPr>
          <w:p w14:paraId="570E02DB" w14:textId="12997AF1" w:rsidR="00E0400A" w:rsidRPr="000D756E" w:rsidRDefault="00E0400A" w:rsidP="00E0400A">
            <w:pPr>
              <w:jc w:val="right"/>
              <w:rPr>
                <w:rFonts w:ascii="Arial" w:hAnsi="Arial" w:cs="Arial"/>
                <w:b/>
                <w:sz w:val="24"/>
                <w:szCs w:val="24"/>
              </w:rPr>
            </w:pPr>
            <w:r w:rsidRPr="000D756E">
              <w:rPr>
                <w:rFonts w:ascii="Arial" w:hAnsi="Arial" w:cs="Arial"/>
                <w:b/>
                <w:sz w:val="24"/>
                <w:szCs w:val="24"/>
              </w:rPr>
              <w:t>31 March 202</w:t>
            </w:r>
            <w:r>
              <w:rPr>
                <w:rFonts w:ascii="Arial" w:hAnsi="Arial" w:cs="Arial"/>
                <w:b/>
                <w:sz w:val="24"/>
                <w:szCs w:val="24"/>
              </w:rPr>
              <w:t>5</w:t>
            </w:r>
          </w:p>
          <w:p w14:paraId="71862C1D" w14:textId="448B832A" w:rsidR="00E0400A" w:rsidRPr="000D756E" w:rsidRDefault="00E0400A" w:rsidP="00E0400A">
            <w:pPr>
              <w:jc w:val="right"/>
              <w:rPr>
                <w:rFonts w:ascii="Arial" w:hAnsi="Arial" w:cs="Arial"/>
                <w:b/>
                <w:sz w:val="24"/>
                <w:szCs w:val="24"/>
              </w:rPr>
            </w:pPr>
            <w:r w:rsidRPr="000D756E">
              <w:rPr>
                <w:rFonts w:ascii="Arial" w:hAnsi="Arial" w:cs="Arial"/>
                <w:b/>
                <w:sz w:val="24"/>
                <w:szCs w:val="24"/>
              </w:rPr>
              <w:t>£’000</w:t>
            </w:r>
          </w:p>
        </w:tc>
      </w:tr>
      <w:tr w:rsidR="00E0400A" w:rsidRPr="000D756E" w14:paraId="4EA82F26" w14:textId="77777777" w:rsidTr="002C20C7">
        <w:tc>
          <w:tcPr>
            <w:tcW w:w="6048" w:type="dxa"/>
          </w:tcPr>
          <w:p w14:paraId="0463F623" w14:textId="77777777" w:rsidR="00E0400A" w:rsidRPr="000D756E" w:rsidRDefault="00E0400A" w:rsidP="00E0400A">
            <w:pPr>
              <w:rPr>
                <w:rFonts w:ascii="Arial" w:hAnsi="Arial" w:cs="Arial"/>
                <w:sz w:val="24"/>
                <w:szCs w:val="24"/>
              </w:rPr>
            </w:pPr>
            <w:r w:rsidRPr="000D756E">
              <w:rPr>
                <w:rFonts w:ascii="Arial" w:hAnsi="Arial" w:cs="Arial"/>
                <w:sz w:val="24"/>
                <w:szCs w:val="24"/>
              </w:rPr>
              <w:t>General Reserve</w:t>
            </w:r>
          </w:p>
        </w:tc>
        <w:tc>
          <w:tcPr>
            <w:tcW w:w="1440" w:type="dxa"/>
          </w:tcPr>
          <w:p w14:paraId="09E65A9C" w14:textId="7E48C1B9" w:rsidR="00E0400A" w:rsidRPr="000D756E" w:rsidRDefault="00E0400A" w:rsidP="00E0400A">
            <w:pPr>
              <w:jc w:val="right"/>
              <w:rPr>
                <w:rFonts w:ascii="Arial" w:hAnsi="Arial" w:cs="Arial"/>
                <w:sz w:val="24"/>
                <w:szCs w:val="24"/>
              </w:rPr>
            </w:pPr>
            <w:r w:rsidRPr="000D756E">
              <w:rPr>
                <w:rFonts w:ascii="Arial" w:hAnsi="Arial" w:cs="Arial"/>
                <w:sz w:val="24"/>
                <w:szCs w:val="24"/>
              </w:rPr>
              <w:t>456</w:t>
            </w:r>
          </w:p>
        </w:tc>
        <w:tc>
          <w:tcPr>
            <w:tcW w:w="1440" w:type="dxa"/>
          </w:tcPr>
          <w:p w14:paraId="652EC77F" w14:textId="0120D21F" w:rsidR="00E0400A" w:rsidRPr="000D756E" w:rsidRDefault="00051967" w:rsidP="00E0400A">
            <w:pPr>
              <w:jc w:val="right"/>
              <w:rPr>
                <w:rFonts w:ascii="Arial" w:hAnsi="Arial" w:cs="Arial"/>
                <w:sz w:val="24"/>
                <w:szCs w:val="24"/>
              </w:rPr>
            </w:pPr>
            <w:r>
              <w:rPr>
                <w:rFonts w:ascii="Arial" w:hAnsi="Arial" w:cs="Arial"/>
                <w:sz w:val="24"/>
                <w:szCs w:val="24"/>
              </w:rPr>
              <w:t>577</w:t>
            </w:r>
          </w:p>
        </w:tc>
      </w:tr>
      <w:tr w:rsidR="00E0400A" w:rsidRPr="000D756E" w14:paraId="4E320280" w14:textId="77777777" w:rsidTr="002C20C7">
        <w:tc>
          <w:tcPr>
            <w:tcW w:w="6048" w:type="dxa"/>
          </w:tcPr>
          <w:p w14:paraId="2525A0BE" w14:textId="77777777" w:rsidR="00E0400A" w:rsidRPr="000D756E" w:rsidRDefault="00E0400A" w:rsidP="00E0400A">
            <w:pPr>
              <w:rPr>
                <w:rFonts w:ascii="Arial" w:hAnsi="Arial" w:cs="Arial"/>
                <w:sz w:val="24"/>
                <w:szCs w:val="24"/>
              </w:rPr>
            </w:pPr>
            <w:r w:rsidRPr="000D756E">
              <w:rPr>
                <w:rFonts w:ascii="Arial" w:hAnsi="Arial" w:cs="Arial"/>
                <w:sz w:val="24"/>
                <w:szCs w:val="24"/>
              </w:rPr>
              <w:t>Pensions and Other Staff Issues Reserve</w:t>
            </w:r>
          </w:p>
        </w:tc>
        <w:tc>
          <w:tcPr>
            <w:tcW w:w="1440" w:type="dxa"/>
          </w:tcPr>
          <w:p w14:paraId="2F946DFE" w14:textId="62E8B5A5" w:rsidR="00E0400A" w:rsidRPr="000D756E" w:rsidRDefault="00E0400A" w:rsidP="00E0400A">
            <w:pPr>
              <w:jc w:val="right"/>
              <w:rPr>
                <w:rFonts w:ascii="Arial" w:hAnsi="Arial" w:cs="Arial"/>
                <w:sz w:val="24"/>
                <w:szCs w:val="24"/>
              </w:rPr>
            </w:pPr>
            <w:r w:rsidRPr="000D756E">
              <w:rPr>
                <w:rFonts w:ascii="Arial" w:hAnsi="Arial" w:cs="Arial"/>
                <w:sz w:val="24"/>
                <w:szCs w:val="24"/>
              </w:rPr>
              <w:t>677</w:t>
            </w:r>
          </w:p>
        </w:tc>
        <w:tc>
          <w:tcPr>
            <w:tcW w:w="1440" w:type="dxa"/>
          </w:tcPr>
          <w:p w14:paraId="6C4C825C" w14:textId="709089A5" w:rsidR="00E0400A" w:rsidRPr="000D756E" w:rsidRDefault="0042484F" w:rsidP="00E0400A">
            <w:pPr>
              <w:jc w:val="right"/>
              <w:rPr>
                <w:rFonts w:ascii="Arial" w:hAnsi="Arial" w:cs="Arial"/>
                <w:sz w:val="24"/>
                <w:szCs w:val="24"/>
              </w:rPr>
            </w:pPr>
            <w:r>
              <w:rPr>
                <w:rFonts w:ascii="Arial" w:hAnsi="Arial" w:cs="Arial"/>
                <w:sz w:val="24"/>
                <w:szCs w:val="24"/>
              </w:rPr>
              <w:t>1,921</w:t>
            </w:r>
          </w:p>
        </w:tc>
      </w:tr>
      <w:tr w:rsidR="00E0400A" w:rsidRPr="000D756E" w14:paraId="7737C587" w14:textId="77777777" w:rsidTr="002C20C7">
        <w:tc>
          <w:tcPr>
            <w:tcW w:w="6048" w:type="dxa"/>
          </w:tcPr>
          <w:p w14:paraId="6F96C4BC" w14:textId="77777777" w:rsidR="00E0400A" w:rsidRPr="000D756E" w:rsidRDefault="00E0400A" w:rsidP="00E0400A">
            <w:pPr>
              <w:rPr>
                <w:rFonts w:ascii="Arial" w:hAnsi="Arial" w:cs="Arial"/>
                <w:sz w:val="24"/>
                <w:szCs w:val="24"/>
              </w:rPr>
            </w:pPr>
            <w:r w:rsidRPr="000D756E">
              <w:rPr>
                <w:rFonts w:ascii="Arial" w:hAnsi="Arial" w:cs="Arial"/>
                <w:sz w:val="24"/>
                <w:szCs w:val="24"/>
              </w:rPr>
              <w:t>Extreme Weather Reserve</w:t>
            </w:r>
          </w:p>
        </w:tc>
        <w:tc>
          <w:tcPr>
            <w:tcW w:w="1440" w:type="dxa"/>
          </w:tcPr>
          <w:p w14:paraId="06065125" w14:textId="10F6C06C" w:rsidR="00E0400A" w:rsidRPr="000D756E" w:rsidRDefault="00E0400A" w:rsidP="00E0400A">
            <w:pPr>
              <w:jc w:val="right"/>
              <w:rPr>
                <w:rFonts w:ascii="Arial" w:hAnsi="Arial" w:cs="Arial"/>
                <w:sz w:val="24"/>
                <w:szCs w:val="24"/>
              </w:rPr>
            </w:pPr>
            <w:r w:rsidRPr="000D756E">
              <w:rPr>
                <w:rFonts w:ascii="Arial" w:hAnsi="Arial" w:cs="Arial"/>
                <w:sz w:val="24"/>
                <w:szCs w:val="24"/>
              </w:rPr>
              <w:t>219</w:t>
            </w:r>
          </w:p>
        </w:tc>
        <w:tc>
          <w:tcPr>
            <w:tcW w:w="1440" w:type="dxa"/>
          </w:tcPr>
          <w:p w14:paraId="3B639AD6" w14:textId="57547342" w:rsidR="00E0400A" w:rsidRPr="000D756E" w:rsidRDefault="003F62F3" w:rsidP="00E0400A">
            <w:pPr>
              <w:jc w:val="right"/>
              <w:rPr>
                <w:rFonts w:ascii="Arial" w:hAnsi="Arial" w:cs="Arial"/>
                <w:sz w:val="24"/>
                <w:szCs w:val="24"/>
              </w:rPr>
            </w:pPr>
            <w:r>
              <w:rPr>
                <w:rFonts w:ascii="Arial" w:hAnsi="Arial" w:cs="Arial"/>
                <w:sz w:val="24"/>
                <w:szCs w:val="24"/>
              </w:rPr>
              <w:t>219</w:t>
            </w:r>
          </w:p>
        </w:tc>
      </w:tr>
      <w:tr w:rsidR="00E0400A" w:rsidRPr="000D756E" w14:paraId="10FAEA7C" w14:textId="77777777" w:rsidTr="002C20C7">
        <w:tc>
          <w:tcPr>
            <w:tcW w:w="6048" w:type="dxa"/>
          </w:tcPr>
          <w:p w14:paraId="6E25EF2E" w14:textId="77777777" w:rsidR="00E0400A" w:rsidRPr="000D756E" w:rsidRDefault="00E0400A" w:rsidP="00E0400A">
            <w:pPr>
              <w:rPr>
                <w:rFonts w:ascii="Arial" w:hAnsi="Arial" w:cs="Arial"/>
                <w:sz w:val="24"/>
                <w:szCs w:val="24"/>
              </w:rPr>
            </w:pPr>
            <w:r w:rsidRPr="000D756E">
              <w:rPr>
                <w:rFonts w:ascii="Arial" w:hAnsi="Arial" w:cs="Arial"/>
                <w:sz w:val="24"/>
                <w:szCs w:val="24"/>
              </w:rPr>
              <w:t>Major Projects Capital Reserve</w:t>
            </w:r>
          </w:p>
        </w:tc>
        <w:tc>
          <w:tcPr>
            <w:tcW w:w="1440" w:type="dxa"/>
          </w:tcPr>
          <w:p w14:paraId="4055A196" w14:textId="7C351A18" w:rsidR="00E0400A" w:rsidRPr="000D756E" w:rsidRDefault="00E0400A" w:rsidP="00E0400A">
            <w:pPr>
              <w:jc w:val="right"/>
              <w:rPr>
                <w:rFonts w:ascii="Arial" w:hAnsi="Arial" w:cs="Arial"/>
                <w:sz w:val="24"/>
                <w:szCs w:val="24"/>
              </w:rPr>
            </w:pPr>
            <w:r w:rsidRPr="000D756E">
              <w:rPr>
                <w:rFonts w:ascii="Arial" w:hAnsi="Arial" w:cs="Arial"/>
                <w:sz w:val="24"/>
                <w:szCs w:val="24"/>
              </w:rPr>
              <w:t>6,813</w:t>
            </w:r>
          </w:p>
        </w:tc>
        <w:tc>
          <w:tcPr>
            <w:tcW w:w="1440" w:type="dxa"/>
          </w:tcPr>
          <w:p w14:paraId="3024DB39" w14:textId="64FFFCC0" w:rsidR="00E0400A" w:rsidRPr="000D756E" w:rsidRDefault="00355E87" w:rsidP="00E0400A">
            <w:pPr>
              <w:jc w:val="right"/>
              <w:rPr>
                <w:rFonts w:ascii="Arial" w:hAnsi="Arial" w:cs="Arial"/>
                <w:sz w:val="24"/>
                <w:szCs w:val="24"/>
              </w:rPr>
            </w:pPr>
            <w:r>
              <w:rPr>
                <w:rFonts w:ascii="Arial" w:hAnsi="Arial" w:cs="Arial"/>
                <w:sz w:val="24"/>
                <w:szCs w:val="24"/>
              </w:rPr>
              <w:t>4,89</w:t>
            </w:r>
            <w:r w:rsidR="00C037A6">
              <w:rPr>
                <w:rFonts w:ascii="Arial" w:hAnsi="Arial" w:cs="Arial"/>
                <w:sz w:val="24"/>
                <w:szCs w:val="24"/>
              </w:rPr>
              <w:t>1</w:t>
            </w:r>
          </w:p>
        </w:tc>
      </w:tr>
      <w:tr w:rsidR="00E0400A" w:rsidRPr="000D756E" w14:paraId="2AACAC59" w14:textId="77777777" w:rsidTr="002C20C7">
        <w:tc>
          <w:tcPr>
            <w:tcW w:w="6048" w:type="dxa"/>
          </w:tcPr>
          <w:p w14:paraId="0502432F" w14:textId="77777777" w:rsidR="00E0400A" w:rsidRPr="000D756E" w:rsidRDefault="00E0400A" w:rsidP="00E0400A">
            <w:pPr>
              <w:rPr>
                <w:rFonts w:ascii="Arial" w:hAnsi="Arial" w:cs="Arial"/>
                <w:sz w:val="24"/>
                <w:szCs w:val="24"/>
              </w:rPr>
            </w:pPr>
            <w:r w:rsidRPr="000D756E">
              <w:rPr>
                <w:rFonts w:ascii="Arial" w:hAnsi="Arial" w:cs="Arial"/>
                <w:sz w:val="24"/>
                <w:szCs w:val="24"/>
              </w:rPr>
              <w:t>ICT Reserve</w:t>
            </w:r>
          </w:p>
        </w:tc>
        <w:tc>
          <w:tcPr>
            <w:tcW w:w="1440" w:type="dxa"/>
          </w:tcPr>
          <w:p w14:paraId="42D81507" w14:textId="05FB7973" w:rsidR="00E0400A" w:rsidRPr="000D756E" w:rsidRDefault="00E0400A" w:rsidP="00E0400A">
            <w:pPr>
              <w:jc w:val="right"/>
              <w:rPr>
                <w:rFonts w:ascii="Arial" w:hAnsi="Arial" w:cs="Arial"/>
                <w:sz w:val="24"/>
                <w:szCs w:val="24"/>
              </w:rPr>
            </w:pPr>
            <w:r w:rsidRPr="000D756E">
              <w:rPr>
                <w:rFonts w:ascii="Arial" w:hAnsi="Arial" w:cs="Arial"/>
                <w:sz w:val="24"/>
                <w:szCs w:val="24"/>
              </w:rPr>
              <w:t>547</w:t>
            </w:r>
          </w:p>
        </w:tc>
        <w:tc>
          <w:tcPr>
            <w:tcW w:w="1440" w:type="dxa"/>
          </w:tcPr>
          <w:p w14:paraId="76AB74CC" w14:textId="67BB923D" w:rsidR="00E0400A" w:rsidRPr="000D756E" w:rsidRDefault="00F32C0B" w:rsidP="00E0400A">
            <w:pPr>
              <w:jc w:val="right"/>
              <w:rPr>
                <w:rFonts w:ascii="Arial" w:hAnsi="Arial" w:cs="Arial"/>
                <w:sz w:val="24"/>
                <w:szCs w:val="24"/>
              </w:rPr>
            </w:pPr>
            <w:r>
              <w:rPr>
                <w:rFonts w:ascii="Arial" w:hAnsi="Arial" w:cs="Arial"/>
                <w:sz w:val="24"/>
                <w:szCs w:val="24"/>
              </w:rPr>
              <w:t>506</w:t>
            </w:r>
          </w:p>
        </w:tc>
      </w:tr>
      <w:tr w:rsidR="00E0400A" w:rsidRPr="000D756E" w14:paraId="7BB81256" w14:textId="77777777" w:rsidTr="002C20C7">
        <w:tc>
          <w:tcPr>
            <w:tcW w:w="6048" w:type="dxa"/>
          </w:tcPr>
          <w:p w14:paraId="3D5C9E16" w14:textId="06971EE7" w:rsidR="00E0400A" w:rsidRPr="000D756E" w:rsidRDefault="00E0400A" w:rsidP="00E0400A">
            <w:pPr>
              <w:rPr>
                <w:rFonts w:ascii="Arial" w:hAnsi="Arial" w:cs="Arial"/>
                <w:sz w:val="24"/>
                <w:szCs w:val="24"/>
              </w:rPr>
            </w:pPr>
            <w:r w:rsidRPr="000D756E">
              <w:rPr>
                <w:rFonts w:ascii="Arial" w:hAnsi="Arial" w:cs="Arial"/>
                <w:sz w:val="24"/>
                <w:szCs w:val="24"/>
              </w:rPr>
              <w:t>Usable Capital Receipts Reserve</w:t>
            </w:r>
          </w:p>
        </w:tc>
        <w:tc>
          <w:tcPr>
            <w:tcW w:w="1440" w:type="dxa"/>
          </w:tcPr>
          <w:p w14:paraId="25297DF9" w14:textId="07AA89A0" w:rsidR="00E0400A" w:rsidRPr="000D756E" w:rsidRDefault="00E0400A" w:rsidP="00E0400A">
            <w:pPr>
              <w:jc w:val="right"/>
              <w:rPr>
                <w:rFonts w:ascii="Arial" w:hAnsi="Arial" w:cs="Arial"/>
                <w:sz w:val="24"/>
                <w:szCs w:val="24"/>
              </w:rPr>
            </w:pPr>
            <w:r w:rsidRPr="000D756E">
              <w:rPr>
                <w:rFonts w:ascii="Arial" w:hAnsi="Arial" w:cs="Arial"/>
                <w:sz w:val="24"/>
                <w:szCs w:val="24"/>
              </w:rPr>
              <w:t>58</w:t>
            </w:r>
          </w:p>
        </w:tc>
        <w:tc>
          <w:tcPr>
            <w:tcW w:w="1440" w:type="dxa"/>
          </w:tcPr>
          <w:p w14:paraId="43D273FA" w14:textId="54BD8B27" w:rsidR="00E0400A" w:rsidRPr="000D756E" w:rsidRDefault="00F32C0B" w:rsidP="00E0400A">
            <w:pPr>
              <w:jc w:val="right"/>
              <w:rPr>
                <w:rFonts w:ascii="Arial" w:hAnsi="Arial" w:cs="Arial"/>
                <w:sz w:val="24"/>
                <w:szCs w:val="24"/>
              </w:rPr>
            </w:pPr>
            <w:r>
              <w:rPr>
                <w:rFonts w:ascii="Arial" w:hAnsi="Arial" w:cs="Arial"/>
                <w:sz w:val="24"/>
                <w:szCs w:val="24"/>
              </w:rPr>
              <w:t>210</w:t>
            </w:r>
          </w:p>
        </w:tc>
      </w:tr>
      <w:tr w:rsidR="00E0400A" w:rsidRPr="000D756E" w14:paraId="6C6F4D5C" w14:textId="77777777" w:rsidTr="002C20C7">
        <w:tc>
          <w:tcPr>
            <w:tcW w:w="6048" w:type="dxa"/>
          </w:tcPr>
          <w:p w14:paraId="5FA4693F" w14:textId="77777777" w:rsidR="00E0400A" w:rsidRPr="000D756E" w:rsidRDefault="00E0400A" w:rsidP="00E0400A">
            <w:pPr>
              <w:rPr>
                <w:rFonts w:ascii="Arial" w:hAnsi="Arial" w:cs="Arial"/>
                <w:sz w:val="24"/>
                <w:szCs w:val="24"/>
              </w:rPr>
            </w:pPr>
            <w:r w:rsidRPr="000D756E">
              <w:rPr>
                <w:rFonts w:ascii="Arial" w:hAnsi="Arial" w:cs="Arial"/>
                <w:sz w:val="24"/>
                <w:szCs w:val="24"/>
              </w:rPr>
              <w:t>Income Volatility Reserve</w:t>
            </w:r>
          </w:p>
        </w:tc>
        <w:tc>
          <w:tcPr>
            <w:tcW w:w="1440" w:type="dxa"/>
          </w:tcPr>
          <w:p w14:paraId="41668767" w14:textId="0DA21EF0" w:rsidR="00E0400A" w:rsidRPr="000D756E" w:rsidRDefault="00E0400A" w:rsidP="00E0400A">
            <w:pPr>
              <w:jc w:val="right"/>
              <w:rPr>
                <w:rFonts w:ascii="Arial" w:hAnsi="Arial" w:cs="Arial"/>
                <w:sz w:val="24"/>
                <w:szCs w:val="24"/>
              </w:rPr>
            </w:pPr>
            <w:r w:rsidRPr="000D756E">
              <w:rPr>
                <w:rFonts w:ascii="Arial" w:hAnsi="Arial" w:cs="Arial"/>
                <w:sz w:val="24"/>
                <w:szCs w:val="24"/>
              </w:rPr>
              <w:t>687</w:t>
            </w:r>
          </w:p>
        </w:tc>
        <w:tc>
          <w:tcPr>
            <w:tcW w:w="1440" w:type="dxa"/>
          </w:tcPr>
          <w:p w14:paraId="15655B61" w14:textId="703D3CCD" w:rsidR="00E0400A" w:rsidRPr="000D756E" w:rsidRDefault="00F32C0B" w:rsidP="00E0400A">
            <w:pPr>
              <w:jc w:val="right"/>
              <w:rPr>
                <w:rFonts w:ascii="Arial" w:hAnsi="Arial" w:cs="Arial"/>
                <w:sz w:val="24"/>
                <w:szCs w:val="24"/>
              </w:rPr>
            </w:pPr>
            <w:r>
              <w:rPr>
                <w:rFonts w:ascii="Arial" w:hAnsi="Arial" w:cs="Arial"/>
                <w:sz w:val="24"/>
                <w:szCs w:val="24"/>
              </w:rPr>
              <w:t>687</w:t>
            </w:r>
          </w:p>
        </w:tc>
      </w:tr>
      <w:tr w:rsidR="00E0400A" w:rsidRPr="000D756E" w14:paraId="7ADA4237" w14:textId="77777777" w:rsidTr="002C20C7">
        <w:tc>
          <w:tcPr>
            <w:tcW w:w="6048" w:type="dxa"/>
          </w:tcPr>
          <w:p w14:paraId="04F7BA50" w14:textId="77777777" w:rsidR="00E0400A" w:rsidRPr="000D756E" w:rsidRDefault="00E0400A" w:rsidP="00E0400A">
            <w:pPr>
              <w:rPr>
                <w:rFonts w:ascii="Arial" w:hAnsi="Arial" w:cs="Arial"/>
                <w:sz w:val="24"/>
                <w:szCs w:val="24"/>
              </w:rPr>
            </w:pPr>
            <w:r w:rsidRPr="000D756E">
              <w:rPr>
                <w:rFonts w:ascii="Arial" w:hAnsi="Arial" w:cs="Arial"/>
                <w:sz w:val="24"/>
                <w:szCs w:val="24"/>
              </w:rPr>
              <w:t>Service Transformation Programme Staff Reserve</w:t>
            </w:r>
          </w:p>
        </w:tc>
        <w:tc>
          <w:tcPr>
            <w:tcW w:w="1440" w:type="dxa"/>
          </w:tcPr>
          <w:p w14:paraId="2EB33427" w14:textId="7C4032C3" w:rsidR="00E0400A" w:rsidRPr="000D756E" w:rsidRDefault="00E0400A" w:rsidP="00E0400A">
            <w:pPr>
              <w:jc w:val="right"/>
              <w:rPr>
                <w:rFonts w:ascii="Arial" w:hAnsi="Arial" w:cs="Arial"/>
                <w:sz w:val="24"/>
                <w:szCs w:val="24"/>
              </w:rPr>
            </w:pPr>
            <w:r w:rsidRPr="000D756E">
              <w:rPr>
                <w:rFonts w:ascii="Arial" w:hAnsi="Arial" w:cs="Arial"/>
                <w:sz w:val="24"/>
                <w:szCs w:val="24"/>
              </w:rPr>
              <w:t>809</w:t>
            </w:r>
          </w:p>
        </w:tc>
        <w:tc>
          <w:tcPr>
            <w:tcW w:w="1440" w:type="dxa"/>
          </w:tcPr>
          <w:p w14:paraId="2BE492A3" w14:textId="68978E4D" w:rsidR="00E0400A" w:rsidRPr="000D756E" w:rsidRDefault="00BC4581" w:rsidP="00E0400A">
            <w:pPr>
              <w:jc w:val="right"/>
              <w:rPr>
                <w:rFonts w:ascii="Arial" w:hAnsi="Arial" w:cs="Arial"/>
                <w:sz w:val="24"/>
                <w:szCs w:val="24"/>
              </w:rPr>
            </w:pPr>
            <w:r>
              <w:rPr>
                <w:rFonts w:ascii="Arial" w:hAnsi="Arial" w:cs="Arial"/>
                <w:sz w:val="24"/>
                <w:szCs w:val="24"/>
              </w:rPr>
              <w:t>313</w:t>
            </w:r>
          </w:p>
        </w:tc>
      </w:tr>
      <w:tr w:rsidR="00E0400A" w:rsidRPr="000D756E" w14:paraId="1B868A38" w14:textId="77777777" w:rsidTr="002C20C7">
        <w:tc>
          <w:tcPr>
            <w:tcW w:w="6048" w:type="dxa"/>
          </w:tcPr>
          <w:p w14:paraId="222B315E" w14:textId="77777777" w:rsidR="00E0400A" w:rsidRPr="000D756E" w:rsidRDefault="00E0400A" w:rsidP="00E0400A">
            <w:pPr>
              <w:rPr>
                <w:rFonts w:ascii="Arial" w:hAnsi="Arial" w:cs="Arial"/>
                <w:sz w:val="24"/>
                <w:szCs w:val="24"/>
              </w:rPr>
            </w:pPr>
            <w:r w:rsidRPr="000D756E">
              <w:rPr>
                <w:rFonts w:ascii="Arial" w:hAnsi="Arial" w:cs="Arial"/>
                <w:sz w:val="24"/>
                <w:szCs w:val="24"/>
              </w:rPr>
              <w:t>Service Delivery Reserve</w:t>
            </w:r>
          </w:p>
        </w:tc>
        <w:tc>
          <w:tcPr>
            <w:tcW w:w="1440" w:type="dxa"/>
          </w:tcPr>
          <w:p w14:paraId="6E11A083" w14:textId="7DF8DC81" w:rsidR="00E0400A" w:rsidRPr="000D756E" w:rsidRDefault="00E0400A" w:rsidP="00E0400A">
            <w:pPr>
              <w:jc w:val="right"/>
              <w:rPr>
                <w:rFonts w:ascii="Arial" w:hAnsi="Arial" w:cs="Arial"/>
                <w:sz w:val="24"/>
                <w:szCs w:val="24"/>
              </w:rPr>
            </w:pPr>
            <w:r w:rsidRPr="000D756E">
              <w:rPr>
                <w:rFonts w:ascii="Arial" w:hAnsi="Arial" w:cs="Arial"/>
                <w:sz w:val="24"/>
                <w:szCs w:val="24"/>
              </w:rPr>
              <w:t>9</w:t>
            </w:r>
          </w:p>
        </w:tc>
        <w:tc>
          <w:tcPr>
            <w:tcW w:w="1440" w:type="dxa"/>
          </w:tcPr>
          <w:p w14:paraId="3547B8BA" w14:textId="405EFD68" w:rsidR="00E0400A" w:rsidRPr="000D756E" w:rsidRDefault="003F62F3" w:rsidP="00E0400A">
            <w:pPr>
              <w:jc w:val="right"/>
              <w:rPr>
                <w:rFonts w:ascii="Arial" w:hAnsi="Arial" w:cs="Arial"/>
                <w:sz w:val="24"/>
                <w:szCs w:val="24"/>
              </w:rPr>
            </w:pPr>
            <w:r>
              <w:rPr>
                <w:rFonts w:ascii="Arial" w:hAnsi="Arial" w:cs="Arial"/>
                <w:sz w:val="24"/>
                <w:szCs w:val="24"/>
              </w:rPr>
              <w:t>3</w:t>
            </w:r>
          </w:p>
        </w:tc>
      </w:tr>
      <w:tr w:rsidR="00E0400A" w:rsidRPr="000D756E" w14:paraId="7B0180FE" w14:textId="77777777" w:rsidTr="002C20C7">
        <w:tc>
          <w:tcPr>
            <w:tcW w:w="6048" w:type="dxa"/>
          </w:tcPr>
          <w:p w14:paraId="1371473C" w14:textId="77777777" w:rsidR="00E0400A" w:rsidRPr="000D756E" w:rsidRDefault="00E0400A" w:rsidP="00E0400A">
            <w:pPr>
              <w:rPr>
                <w:rFonts w:ascii="Arial" w:hAnsi="Arial" w:cs="Arial"/>
                <w:sz w:val="24"/>
                <w:szCs w:val="24"/>
              </w:rPr>
            </w:pPr>
            <w:r w:rsidRPr="000D756E">
              <w:rPr>
                <w:rFonts w:ascii="Arial" w:hAnsi="Arial" w:cs="Arial"/>
                <w:sz w:val="24"/>
                <w:szCs w:val="24"/>
              </w:rPr>
              <w:t>Training Reserve</w:t>
            </w:r>
          </w:p>
        </w:tc>
        <w:tc>
          <w:tcPr>
            <w:tcW w:w="1440" w:type="dxa"/>
          </w:tcPr>
          <w:p w14:paraId="7BC687CF" w14:textId="06433D46" w:rsidR="00E0400A" w:rsidRPr="000D756E" w:rsidRDefault="00E0400A" w:rsidP="00E0400A">
            <w:pPr>
              <w:jc w:val="right"/>
              <w:rPr>
                <w:rFonts w:ascii="Arial" w:hAnsi="Arial" w:cs="Arial"/>
                <w:sz w:val="24"/>
                <w:szCs w:val="24"/>
              </w:rPr>
            </w:pPr>
            <w:r w:rsidRPr="000D756E">
              <w:rPr>
                <w:rFonts w:ascii="Arial" w:hAnsi="Arial" w:cs="Arial"/>
                <w:sz w:val="24"/>
                <w:szCs w:val="24"/>
              </w:rPr>
              <w:t>127</w:t>
            </w:r>
          </w:p>
        </w:tc>
        <w:tc>
          <w:tcPr>
            <w:tcW w:w="1440" w:type="dxa"/>
          </w:tcPr>
          <w:p w14:paraId="0A550730" w14:textId="6D170BCB" w:rsidR="00E0400A" w:rsidRPr="000D756E" w:rsidRDefault="008B0DD0" w:rsidP="00E0400A">
            <w:pPr>
              <w:jc w:val="right"/>
              <w:rPr>
                <w:rFonts w:ascii="Arial" w:hAnsi="Arial" w:cs="Arial"/>
                <w:sz w:val="24"/>
                <w:szCs w:val="24"/>
              </w:rPr>
            </w:pPr>
            <w:r>
              <w:rPr>
                <w:rFonts w:ascii="Arial" w:hAnsi="Arial" w:cs="Arial"/>
                <w:sz w:val="24"/>
                <w:szCs w:val="24"/>
              </w:rPr>
              <w:t>231</w:t>
            </w:r>
          </w:p>
        </w:tc>
      </w:tr>
      <w:tr w:rsidR="00E0400A" w:rsidRPr="000D756E" w14:paraId="469476A6" w14:textId="77777777" w:rsidTr="002C20C7">
        <w:tc>
          <w:tcPr>
            <w:tcW w:w="6048" w:type="dxa"/>
          </w:tcPr>
          <w:p w14:paraId="03BE9833" w14:textId="77777777" w:rsidR="00E0400A" w:rsidRPr="000D756E" w:rsidRDefault="00E0400A" w:rsidP="00E0400A">
            <w:pPr>
              <w:rPr>
                <w:rFonts w:ascii="Arial" w:hAnsi="Arial" w:cs="Arial"/>
                <w:sz w:val="24"/>
                <w:szCs w:val="24"/>
              </w:rPr>
            </w:pPr>
            <w:r w:rsidRPr="000D756E">
              <w:rPr>
                <w:rFonts w:ascii="Arial" w:hAnsi="Arial" w:cs="Arial"/>
                <w:sz w:val="24"/>
                <w:szCs w:val="24"/>
              </w:rPr>
              <w:t>Operational Equipment Reserve</w:t>
            </w:r>
          </w:p>
        </w:tc>
        <w:tc>
          <w:tcPr>
            <w:tcW w:w="1440" w:type="dxa"/>
          </w:tcPr>
          <w:p w14:paraId="41E17CD2" w14:textId="748496FA" w:rsidR="00E0400A" w:rsidRPr="000D756E" w:rsidRDefault="00E0400A" w:rsidP="00E0400A">
            <w:pPr>
              <w:jc w:val="right"/>
              <w:rPr>
                <w:rFonts w:ascii="Arial" w:hAnsi="Arial" w:cs="Arial"/>
                <w:sz w:val="24"/>
                <w:szCs w:val="24"/>
              </w:rPr>
            </w:pPr>
            <w:r w:rsidRPr="000D756E">
              <w:rPr>
                <w:rFonts w:ascii="Arial" w:hAnsi="Arial" w:cs="Arial"/>
                <w:sz w:val="24"/>
                <w:szCs w:val="24"/>
              </w:rPr>
              <w:t>275</w:t>
            </w:r>
          </w:p>
        </w:tc>
        <w:tc>
          <w:tcPr>
            <w:tcW w:w="1440" w:type="dxa"/>
          </w:tcPr>
          <w:p w14:paraId="027E6926" w14:textId="7CD48A54" w:rsidR="00E0400A" w:rsidRPr="000D756E" w:rsidRDefault="003475F7" w:rsidP="00E0400A">
            <w:pPr>
              <w:jc w:val="right"/>
              <w:rPr>
                <w:rFonts w:ascii="Arial" w:hAnsi="Arial" w:cs="Arial"/>
                <w:sz w:val="24"/>
                <w:szCs w:val="24"/>
              </w:rPr>
            </w:pPr>
            <w:r>
              <w:rPr>
                <w:rFonts w:ascii="Arial" w:hAnsi="Arial" w:cs="Arial"/>
                <w:sz w:val="24"/>
                <w:szCs w:val="24"/>
              </w:rPr>
              <w:t>271</w:t>
            </w:r>
          </w:p>
        </w:tc>
      </w:tr>
      <w:tr w:rsidR="00E0400A" w:rsidRPr="000D756E" w14:paraId="2610BD3D" w14:textId="77777777" w:rsidTr="002C20C7">
        <w:tc>
          <w:tcPr>
            <w:tcW w:w="6048" w:type="dxa"/>
          </w:tcPr>
          <w:p w14:paraId="48989FB7" w14:textId="77777777" w:rsidR="00E0400A" w:rsidRPr="000D756E" w:rsidRDefault="00E0400A" w:rsidP="00E0400A">
            <w:pPr>
              <w:rPr>
                <w:rFonts w:ascii="Arial" w:hAnsi="Arial" w:cs="Arial"/>
                <w:sz w:val="24"/>
                <w:szCs w:val="24"/>
              </w:rPr>
            </w:pPr>
            <w:r w:rsidRPr="000D756E">
              <w:rPr>
                <w:rFonts w:ascii="Arial" w:hAnsi="Arial" w:cs="Arial"/>
                <w:sz w:val="24"/>
                <w:szCs w:val="24"/>
              </w:rPr>
              <w:t>Buildings Maintenance Reserve</w:t>
            </w:r>
          </w:p>
        </w:tc>
        <w:tc>
          <w:tcPr>
            <w:tcW w:w="1440" w:type="dxa"/>
          </w:tcPr>
          <w:p w14:paraId="2233FF0E" w14:textId="42C51A46" w:rsidR="00E0400A" w:rsidRPr="000D756E" w:rsidRDefault="00E0400A" w:rsidP="00E0400A">
            <w:pPr>
              <w:jc w:val="right"/>
              <w:rPr>
                <w:rFonts w:ascii="Arial" w:hAnsi="Arial" w:cs="Arial"/>
                <w:sz w:val="24"/>
                <w:szCs w:val="24"/>
              </w:rPr>
            </w:pPr>
            <w:r w:rsidRPr="000D756E">
              <w:rPr>
                <w:rFonts w:ascii="Arial" w:hAnsi="Arial" w:cs="Arial"/>
                <w:sz w:val="24"/>
                <w:szCs w:val="24"/>
              </w:rPr>
              <w:t>450</w:t>
            </w:r>
          </w:p>
        </w:tc>
        <w:tc>
          <w:tcPr>
            <w:tcW w:w="1440" w:type="dxa"/>
          </w:tcPr>
          <w:p w14:paraId="3FCC922E" w14:textId="50A74CBF" w:rsidR="00E0400A" w:rsidRPr="000D756E" w:rsidRDefault="001F2F6B" w:rsidP="00E0400A">
            <w:pPr>
              <w:jc w:val="right"/>
              <w:rPr>
                <w:rFonts w:ascii="Arial" w:hAnsi="Arial" w:cs="Arial"/>
                <w:sz w:val="24"/>
                <w:szCs w:val="24"/>
              </w:rPr>
            </w:pPr>
            <w:r>
              <w:rPr>
                <w:rFonts w:ascii="Arial" w:hAnsi="Arial" w:cs="Arial"/>
                <w:sz w:val="24"/>
                <w:szCs w:val="24"/>
              </w:rPr>
              <w:t>448</w:t>
            </w:r>
          </w:p>
        </w:tc>
      </w:tr>
      <w:tr w:rsidR="00E0400A" w:rsidRPr="000D756E" w14:paraId="1BFF7BE9" w14:textId="77777777" w:rsidTr="002C20C7">
        <w:tc>
          <w:tcPr>
            <w:tcW w:w="6048" w:type="dxa"/>
          </w:tcPr>
          <w:p w14:paraId="6B388E6C" w14:textId="77777777" w:rsidR="00E0400A" w:rsidRPr="000D756E" w:rsidRDefault="00E0400A" w:rsidP="00E0400A">
            <w:pPr>
              <w:rPr>
                <w:rFonts w:ascii="Arial" w:hAnsi="Arial" w:cs="Arial"/>
                <w:sz w:val="24"/>
                <w:szCs w:val="24"/>
              </w:rPr>
            </w:pPr>
            <w:r w:rsidRPr="000D756E">
              <w:rPr>
                <w:rFonts w:ascii="Arial" w:hAnsi="Arial" w:cs="Arial"/>
                <w:sz w:val="24"/>
                <w:szCs w:val="24"/>
              </w:rPr>
              <w:t>General Fund Balance</w:t>
            </w:r>
          </w:p>
        </w:tc>
        <w:tc>
          <w:tcPr>
            <w:tcW w:w="1440" w:type="dxa"/>
          </w:tcPr>
          <w:p w14:paraId="73BCA717" w14:textId="4169427D" w:rsidR="00E0400A" w:rsidRPr="000D756E" w:rsidRDefault="00E0400A" w:rsidP="00E0400A">
            <w:pPr>
              <w:jc w:val="right"/>
              <w:rPr>
                <w:rFonts w:ascii="Arial" w:hAnsi="Arial" w:cs="Arial"/>
                <w:sz w:val="24"/>
                <w:szCs w:val="24"/>
              </w:rPr>
            </w:pPr>
            <w:r w:rsidRPr="000D756E">
              <w:rPr>
                <w:rFonts w:ascii="Arial" w:hAnsi="Arial" w:cs="Arial"/>
                <w:sz w:val="24"/>
                <w:szCs w:val="24"/>
              </w:rPr>
              <w:t>2,433</w:t>
            </w:r>
          </w:p>
        </w:tc>
        <w:tc>
          <w:tcPr>
            <w:tcW w:w="1440" w:type="dxa"/>
          </w:tcPr>
          <w:p w14:paraId="2762FFE3" w14:textId="01EEB227" w:rsidR="00E0400A" w:rsidRPr="000D756E" w:rsidRDefault="001F2F6B" w:rsidP="00E0400A">
            <w:pPr>
              <w:jc w:val="right"/>
              <w:rPr>
                <w:rFonts w:ascii="Arial" w:hAnsi="Arial" w:cs="Arial"/>
                <w:sz w:val="24"/>
                <w:szCs w:val="24"/>
              </w:rPr>
            </w:pPr>
            <w:r>
              <w:rPr>
                <w:rFonts w:ascii="Arial" w:hAnsi="Arial" w:cs="Arial"/>
                <w:sz w:val="24"/>
                <w:szCs w:val="24"/>
              </w:rPr>
              <w:t>700</w:t>
            </w:r>
          </w:p>
        </w:tc>
      </w:tr>
      <w:tr w:rsidR="00E0400A" w:rsidRPr="000D756E" w14:paraId="0C76AED0" w14:textId="77777777" w:rsidTr="002C20C7">
        <w:tc>
          <w:tcPr>
            <w:tcW w:w="6048" w:type="dxa"/>
          </w:tcPr>
          <w:p w14:paraId="33416852" w14:textId="77777777" w:rsidR="00E0400A" w:rsidRPr="000D756E" w:rsidRDefault="00E0400A" w:rsidP="00E0400A">
            <w:pPr>
              <w:rPr>
                <w:rFonts w:ascii="Arial" w:hAnsi="Arial" w:cs="Arial"/>
                <w:b/>
                <w:sz w:val="24"/>
                <w:szCs w:val="24"/>
              </w:rPr>
            </w:pPr>
            <w:r w:rsidRPr="000D756E">
              <w:rPr>
                <w:rFonts w:ascii="Arial" w:hAnsi="Arial" w:cs="Arial"/>
                <w:b/>
                <w:sz w:val="24"/>
                <w:szCs w:val="24"/>
              </w:rPr>
              <w:t>Total</w:t>
            </w:r>
          </w:p>
        </w:tc>
        <w:tc>
          <w:tcPr>
            <w:tcW w:w="1440" w:type="dxa"/>
          </w:tcPr>
          <w:p w14:paraId="6F4BE0FC" w14:textId="72FE5396" w:rsidR="00E0400A" w:rsidRPr="000D756E" w:rsidRDefault="00E0400A" w:rsidP="00E0400A">
            <w:pPr>
              <w:jc w:val="right"/>
              <w:rPr>
                <w:rFonts w:ascii="Arial" w:hAnsi="Arial" w:cs="Arial"/>
                <w:b/>
                <w:sz w:val="24"/>
                <w:szCs w:val="24"/>
              </w:rPr>
            </w:pPr>
            <w:r w:rsidRPr="000D756E">
              <w:rPr>
                <w:rFonts w:ascii="Arial" w:hAnsi="Arial" w:cs="Arial"/>
                <w:b/>
                <w:sz w:val="24"/>
                <w:szCs w:val="24"/>
              </w:rPr>
              <w:t>13,560</w:t>
            </w:r>
          </w:p>
        </w:tc>
        <w:tc>
          <w:tcPr>
            <w:tcW w:w="1440" w:type="dxa"/>
          </w:tcPr>
          <w:p w14:paraId="4D032386" w14:textId="598EBCF1" w:rsidR="00E0400A" w:rsidRPr="000D756E" w:rsidRDefault="00B32C97" w:rsidP="00E0400A">
            <w:pPr>
              <w:jc w:val="right"/>
              <w:rPr>
                <w:rFonts w:ascii="Arial" w:hAnsi="Arial" w:cs="Arial"/>
                <w:b/>
                <w:sz w:val="24"/>
                <w:szCs w:val="24"/>
              </w:rPr>
            </w:pPr>
            <w:r>
              <w:rPr>
                <w:rFonts w:ascii="Arial" w:hAnsi="Arial" w:cs="Arial"/>
                <w:b/>
                <w:sz w:val="24"/>
                <w:szCs w:val="24"/>
              </w:rPr>
              <w:t>10,977</w:t>
            </w:r>
          </w:p>
        </w:tc>
      </w:tr>
    </w:tbl>
    <w:p w14:paraId="401D20F4" w14:textId="77777777" w:rsidR="00727FE6" w:rsidRPr="000D756E" w:rsidRDefault="00727FE6" w:rsidP="002A7C01">
      <w:pPr>
        <w:rPr>
          <w:rFonts w:ascii="Arial" w:hAnsi="Arial" w:cs="Arial"/>
          <w:sz w:val="24"/>
          <w:szCs w:val="24"/>
        </w:rPr>
      </w:pPr>
    </w:p>
    <w:p w14:paraId="188CE2B4" w14:textId="1CFAA2A9" w:rsidR="00C74639" w:rsidRPr="000D756E" w:rsidRDefault="00727FE6">
      <w:pPr>
        <w:rPr>
          <w:rFonts w:ascii="Arial" w:hAnsi="Arial" w:cs="Arial"/>
          <w:sz w:val="24"/>
          <w:szCs w:val="24"/>
        </w:rPr>
      </w:pPr>
      <w:r w:rsidRPr="000D756E">
        <w:rPr>
          <w:rFonts w:ascii="Arial" w:hAnsi="Arial" w:cs="Arial"/>
          <w:sz w:val="24"/>
          <w:szCs w:val="24"/>
        </w:rPr>
        <w:t>Each of the Fire Authority’s reserves are explained in the Statement of Accounting Policies.</w:t>
      </w:r>
    </w:p>
    <w:p w14:paraId="381EB36A" w14:textId="77777777" w:rsidR="00EC717F" w:rsidRPr="000D756E" w:rsidRDefault="00EC717F" w:rsidP="00031C94">
      <w:pPr>
        <w:pStyle w:val="BodyText"/>
        <w:rPr>
          <w:rFonts w:ascii="Arial" w:hAnsi="Arial" w:cs="Arial"/>
          <w:szCs w:val="24"/>
        </w:rPr>
      </w:pPr>
    </w:p>
    <w:p w14:paraId="6FE1D939" w14:textId="77777777" w:rsidR="00F040CD" w:rsidRPr="000D756E" w:rsidRDefault="00727FE6" w:rsidP="002A7C01">
      <w:pPr>
        <w:rPr>
          <w:rFonts w:ascii="Arial" w:hAnsi="Arial" w:cs="Arial"/>
          <w:b/>
          <w:sz w:val="26"/>
          <w:szCs w:val="26"/>
        </w:rPr>
      </w:pPr>
      <w:r w:rsidRPr="000D756E">
        <w:rPr>
          <w:rFonts w:ascii="Arial" w:hAnsi="Arial" w:cs="Arial"/>
          <w:b/>
          <w:sz w:val="26"/>
          <w:szCs w:val="26"/>
        </w:rPr>
        <w:t>The Year Ahead</w:t>
      </w:r>
      <w:r w:rsidR="00904EF9" w:rsidRPr="000D756E">
        <w:rPr>
          <w:rFonts w:ascii="Arial" w:hAnsi="Arial" w:cs="Arial"/>
          <w:b/>
          <w:sz w:val="26"/>
          <w:szCs w:val="26"/>
        </w:rPr>
        <w:t xml:space="preserve">  </w:t>
      </w:r>
    </w:p>
    <w:p w14:paraId="465744A3" w14:textId="77777777" w:rsidR="00F040CD" w:rsidRPr="000D756E" w:rsidRDefault="00F040CD" w:rsidP="002A7C01">
      <w:pPr>
        <w:rPr>
          <w:rFonts w:ascii="Arial" w:hAnsi="Arial" w:cs="Arial"/>
          <w:b/>
          <w:i/>
          <w:iCs/>
          <w:sz w:val="24"/>
          <w:szCs w:val="24"/>
        </w:rPr>
      </w:pPr>
    </w:p>
    <w:p w14:paraId="765570DE" w14:textId="113397A4" w:rsidR="00480239" w:rsidRPr="00C06BE6" w:rsidRDefault="00C06BE6" w:rsidP="00B46F98">
      <w:pPr>
        <w:pStyle w:val="xmsonormal"/>
        <w:shd w:val="clear" w:color="auto" w:fill="FFFFFF"/>
        <w:tabs>
          <w:tab w:val="left" w:pos="7971"/>
        </w:tabs>
        <w:rPr>
          <w:b/>
          <w:bCs/>
        </w:rPr>
      </w:pPr>
      <w:r w:rsidRPr="00C06BE6">
        <w:rPr>
          <w:rFonts w:ascii="Arial" w:eastAsia="Times New Roman" w:hAnsi="Arial" w:cs="Arial"/>
          <w:b/>
          <w:bCs/>
          <w:sz w:val="24"/>
          <w:szCs w:val="24"/>
        </w:rPr>
        <w:t>Integrated Fire Control Collaboration (IFCC) Project</w:t>
      </w:r>
    </w:p>
    <w:p w14:paraId="46D7D947" w14:textId="77777777" w:rsidR="00480239" w:rsidRPr="00C06BE6" w:rsidRDefault="00480239" w:rsidP="00480239">
      <w:pPr>
        <w:pStyle w:val="xmsonormal"/>
        <w:shd w:val="clear" w:color="auto" w:fill="FFFFFF"/>
      </w:pPr>
      <w:r w:rsidRPr="00C06BE6">
        <w:rPr>
          <w:rStyle w:val="contentpasted0"/>
          <w:rFonts w:ascii="Arial" w:hAnsi="Arial" w:cs="Arial"/>
          <w:b/>
          <w:bCs/>
          <w:i/>
          <w:iCs/>
          <w:sz w:val="24"/>
          <w:szCs w:val="24"/>
        </w:rPr>
        <w:t> </w:t>
      </w:r>
    </w:p>
    <w:p w14:paraId="7E50665A" w14:textId="2AA4FE08" w:rsidR="00C06BE6" w:rsidRDefault="00C06BE6" w:rsidP="00C06BE6">
      <w:pPr>
        <w:rPr>
          <w:rFonts w:ascii="Arial" w:hAnsi="Arial" w:cs="Arial"/>
          <w:sz w:val="24"/>
          <w:szCs w:val="24"/>
        </w:rPr>
      </w:pPr>
      <w:r w:rsidRPr="00C06BE6">
        <w:rPr>
          <w:rFonts w:ascii="Arial" w:hAnsi="Arial" w:cs="Arial"/>
          <w:sz w:val="24"/>
          <w:szCs w:val="24"/>
        </w:rPr>
        <w:t xml:space="preserve">The (IFCC) project, which brings together the fire controls of Shropshire, Hereford &amp; Worcester, Cleveland, and Durham and Darlington, is progressing well. Contracts were signed in December 2023, with a go live target of </w:t>
      </w:r>
      <w:r w:rsidR="000D3272">
        <w:rPr>
          <w:rFonts w:ascii="Arial" w:hAnsi="Arial" w:cs="Arial"/>
          <w:sz w:val="24"/>
          <w:szCs w:val="24"/>
        </w:rPr>
        <w:t>March 2026</w:t>
      </w:r>
      <w:r w:rsidRPr="00C06BE6">
        <w:rPr>
          <w:rFonts w:ascii="Arial" w:hAnsi="Arial" w:cs="Arial"/>
          <w:sz w:val="24"/>
          <w:szCs w:val="24"/>
        </w:rPr>
        <w:t>.</w:t>
      </w:r>
    </w:p>
    <w:p w14:paraId="0E2D256A" w14:textId="77777777" w:rsidR="00C06BE6" w:rsidRPr="00C06BE6" w:rsidRDefault="00C06BE6" w:rsidP="00C06BE6">
      <w:pPr>
        <w:rPr>
          <w:rFonts w:ascii="Arial" w:hAnsi="Arial" w:cs="Arial"/>
          <w:sz w:val="24"/>
          <w:szCs w:val="24"/>
          <w:lang w:eastAsia="en-GB"/>
        </w:rPr>
      </w:pPr>
    </w:p>
    <w:p w14:paraId="6D738F2B" w14:textId="57B73E31" w:rsidR="00C06BE6" w:rsidRDefault="00C06BE6" w:rsidP="00C06BE6">
      <w:pPr>
        <w:rPr>
          <w:rFonts w:ascii="Arial" w:hAnsi="Arial" w:cs="Arial"/>
          <w:sz w:val="24"/>
          <w:szCs w:val="24"/>
        </w:rPr>
      </w:pPr>
      <w:r w:rsidRPr="00C06BE6">
        <w:rPr>
          <w:rFonts w:ascii="Arial" w:hAnsi="Arial" w:cs="Arial"/>
          <w:sz w:val="24"/>
          <w:szCs w:val="24"/>
        </w:rPr>
        <w:t>The unified system aims to enhance resilience and mutual support across all control rooms when required in conditions such as a major incident or spate, while providing each service with an independent fire control to maintain business as usual. Configuration of the system beg</w:t>
      </w:r>
      <w:r w:rsidR="00BC368C">
        <w:rPr>
          <w:rFonts w:ascii="Arial" w:hAnsi="Arial" w:cs="Arial"/>
          <w:sz w:val="24"/>
          <w:szCs w:val="24"/>
        </w:rPr>
        <w:t>an</w:t>
      </w:r>
      <w:r w:rsidRPr="00C06BE6">
        <w:rPr>
          <w:rFonts w:ascii="Arial" w:hAnsi="Arial" w:cs="Arial"/>
          <w:sz w:val="24"/>
          <w:szCs w:val="24"/>
        </w:rPr>
        <w:t xml:space="preserve"> in July 2024</w:t>
      </w:r>
      <w:r w:rsidR="00E22344">
        <w:rPr>
          <w:rFonts w:ascii="Arial" w:hAnsi="Arial" w:cs="Arial"/>
          <w:sz w:val="24"/>
          <w:szCs w:val="24"/>
        </w:rPr>
        <w:t xml:space="preserve"> </w:t>
      </w:r>
      <w:r w:rsidRPr="00C06BE6">
        <w:rPr>
          <w:rFonts w:ascii="Arial" w:hAnsi="Arial" w:cs="Arial"/>
          <w:sz w:val="24"/>
          <w:szCs w:val="24"/>
        </w:rPr>
        <w:t>and current efforts are focused on establishing the necessary infrastructure.</w:t>
      </w:r>
    </w:p>
    <w:p w14:paraId="47163972" w14:textId="77777777" w:rsidR="00C06BE6" w:rsidRPr="00C06BE6" w:rsidRDefault="00C06BE6" w:rsidP="00C06BE6">
      <w:pPr>
        <w:rPr>
          <w:rFonts w:ascii="Arial" w:hAnsi="Arial" w:cs="Arial"/>
          <w:sz w:val="24"/>
          <w:szCs w:val="24"/>
        </w:rPr>
      </w:pPr>
    </w:p>
    <w:p w14:paraId="054843DC" w14:textId="77777777" w:rsidR="00C06BE6" w:rsidRDefault="00C06BE6" w:rsidP="00C06BE6">
      <w:pPr>
        <w:rPr>
          <w:rFonts w:ascii="Arial" w:hAnsi="Arial" w:cs="Arial"/>
          <w:sz w:val="24"/>
          <w:szCs w:val="24"/>
        </w:rPr>
      </w:pPr>
      <w:r w:rsidRPr="00C06BE6">
        <w:rPr>
          <w:rFonts w:ascii="Arial" w:hAnsi="Arial" w:cs="Arial"/>
          <w:sz w:val="24"/>
          <w:szCs w:val="24"/>
        </w:rPr>
        <w:t>A focussed project team is facilitating strong and continuous collaboration among the four services, ensuring the project's steady advancement.</w:t>
      </w:r>
    </w:p>
    <w:p w14:paraId="508ACD2A" w14:textId="77777777" w:rsidR="000D3272" w:rsidRDefault="000D3272" w:rsidP="00C06BE6">
      <w:pPr>
        <w:rPr>
          <w:rFonts w:ascii="Arial" w:hAnsi="Arial" w:cs="Arial"/>
          <w:sz w:val="24"/>
          <w:szCs w:val="24"/>
        </w:rPr>
      </w:pPr>
    </w:p>
    <w:p w14:paraId="2EB17A9B" w14:textId="77777777" w:rsidR="005933EB" w:rsidRPr="000D756E" w:rsidRDefault="005933EB" w:rsidP="005933EB">
      <w:pPr>
        <w:rPr>
          <w:rFonts w:ascii="Arial" w:hAnsi="Arial" w:cs="Arial"/>
          <w:sz w:val="24"/>
          <w:szCs w:val="24"/>
        </w:rPr>
      </w:pPr>
    </w:p>
    <w:p w14:paraId="53F455C4" w14:textId="4B4CCABA" w:rsidR="00AF79A9" w:rsidRPr="000D756E" w:rsidRDefault="00BC368C" w:rsidP="00AF79A9">
      <w:pPr>
        <w:rPr>
          <w:rFonts w:ascii="Arial" w:hAnsi="Arial" w:cs="Arial"/>
          <w:b/>
          <w:bCs/>
          <w:sz w:val="24"/>
          <w:szCs w:val="24"/>
        </w:rPr>
      </w:pPr>
      <w:r>
        <w:rPr>
          <w:rFonts w:ascii="Arial" w:hAnsi="Arial" w:cs="Arial"/>
          <w:b/>
          <w:bCs/>
          <w:sz w:val="24"/>
          <w:szCs w:val="24"/>
        </w:rPr>
        <w:t>M</w:t>
      </w:r>
      <w:r w:rsidR="00AF79A9" w:rsidRPr="000D756E">
        <w:rPr>
          <w:rFonts w:ascii="Arial" w:hAnsi="Arial" w:cs="Arial"/>
          <w:b/>
          <w:bCs/>
          <w:sz w:val="24"/>
          <w:szCs w:val="24"/>
        </w:rPr>
        <w:t>ajor improvements at Telford</w:t>
      </w:r>
    </w:p>
    <w:p w14:paraId="7AF054A7" w14:textId="77777777" w:rsidR="005433C1" w:rsidRPr="000D756E" w:rsidRDefault="005433C1" w:rsidP="005433C1">
      <w:pPr>
        <w:rPr>
          <w:b/>
          <w:bCs/>
        </w:rPr>
      </w:pPr>
    </w:p>
    <w:p w14:paraId="70EC7C55" w14:textId="77777777" w:rsidR="005433C1" w:rsidRPr="000D756E" w:rsidRDefault="005433C1" w:rsidP="005433C1">
      <w:pPr>
        <w:rPr>
          <w:rFonts w:ascii="Arial" w:hAnsi="Arial" w:cs="Arial"/>
          <w:sz w:val="24"/>
          <w:szCs w:val="24"/>
        </w:rPr>
      </w:pPr>
      <w:r w:rsidRPr="000D756E">
        <w:rPr>
          <w:rFonts w:ascii="Arial" w:hAnsi="Arial" w:cs="Arial"/>
          <w:sz w:val="24"/>
          <w:szCs w:val="24"/>
        </w:rPr>
        <w:t>Following a feasibility study, the Fire Authority agreed a £12m project for the refurbishment of Telford Central Fire Station to provide accommodation for continued operational response and training activities, together with improved incident command and management, and accommodation with our partners to provide an enhanced command facility to support the operations of the Local Resilience Forum. This will result in significant improvement in the ability of all partners to deal with major incidents in Shropshire.</w:t>
      </w:r>
    </w:p>
    <w:p w14:paraId="3B6AB7D9" w14:textId="77777777" w:rsidR="005433C1" w:rsidRPr="000D756E" w:rsidRDefault="005433C1" w:rsidP="005433C1">
      <w:pPr>
        <w:rPr>
          <w:rFonts w:ascii="Arial" w:hAnsi="Arial" w:cs="Arial"/>
          <w:sz w:val="24"/>
          <w:szCs w:val="24"/>
        </w:rPr>
      </w:pPr>
    </w:p>
    <w:p w14:paraId="2FFA109E" w14:textId="77777777" w:rsidR="00D55642" w:rsidRDefault="00291C79" w:rsidP="00291C79">
      <w:pPr>
        <w:rPr>
          <w:rFonts w:ascii="Arial" w:hAnsi="Arial" w:cs="Arial"/>
          <w:sz w:val="24"/>
          <w:szCs w:val="24"/>
        </w:rPr>
      </w:pPr>
      <w:r w:rsidRPr="000D756E">
        <w:rPr>
          <w:rFonts w:ascii="Arial" w:hAnsi="Arial" w:cs="Arial"/>
          <w:sz w:val="24"/>
          <w:szCs w:val="24"/>
        </w:rPr>
        <w:t xml:space="preserve">A technical project manager and an architect were appointed to design and manage the works. Planning permission was received, and a contractor appointed. Works started on site in June 2021, for completion by March 2023. Significant technical issues </w:t>
      </w:r>
      <w:r w:rsidR="006071DF">
        <w:rPr>
          <w:rFonts w:ascii="Arial" w:hAnsi="Arial" w:cs="Arial"/>
          <w:sz w:val="24"/>
          <w:szCs w:val="24"/>
        </w:rPr>
        <w:t>were</w:t>
      </w:r>
      <w:r w:rsidRPr="000D756E">
        <w:rPr>
          <w:rFonts w:ascii="Arial" w:hAnsi="Arial" w:cs="Arial"/>
          <w:sz w:val="24"/>
          <w:szCs w:val="24"/>
        </w:rPr>
        <w:t xml:space="preserve"> identified with the existing structure</w:t>
      </w:r>
      <w:r w:rsidR="006071DF">
        <w:rPr>
          <w:rFonts w:ascii="Arial" w:hAnsi="Arial" w:cs="Arial"/>
          <w:sz w:val="24"/>
          <w:szCs w:val="24"/>
        </w:rPr>
        <w:t>,</w:t>
      </w:r>
      <w:r w:rsidRPr="000D756E">
        <w:rPr>
          <w:rFonts w:ascii="Arial" w:hAnsi="Arial" w:cs="Arial"/>
          <w:sz w:val="24"/>
          <w:szCs w:val="24"/>
        </w:rPr>
        <w:t xml:space="preserve"> which result</w:t>
      </w:r>
      <w:r w:rsidR="006071DF">
        <w:rPr>
          <w:rFonts w:ascii="Arial" w:hAnsi="Arial" w:cs="Arial"/>
          <w:sz w:val="24"/>
          <w:szCs w:val="24"/>
        </w:rPr>
        <w:t>ed</w:t>
      </w:r>
      <w:r w:rsidRPr="000D756E">
        <w:rPr>
          <w:rFonts w:ascii="Arial" w:hAnsi="Arial" w:cs="Arial"/>
          <w:sz w:val="24"/>
          <w:szCs w:val="24"/>
        </w:rPr>
        <w:t xml:space="preserve"> in additional time being taken and cost incurred</w:t>
      </w:r>
      <w:r w:rsidR="006071DF">
        <w:rPr>
          <w:rFonts w:ascii="Arial" w:hAnsi="Arial" w:cs="Arial"/>
          <w:sz w:val="24"/>
          <w:szCs w:val="24"/>
        </w:rPr>
        <w:t>.</w:t>
      </w:r>
    </w:p>
    <w:p w14:paraId="17C5E7CC" w14:textId="77777777" w:rsidR="00D55642" w:rsidRDefault="00D55642" w:rsidP="00291C79">
      <w:pPr>
        <w:rPr>
          <w:rFonts w:ascii="Arial" w:hAnsi="Arial" w:cs="Arial"/>
          <w:sz w:val="24"/>
          <w:szCs w:val="24"/>
        </w:rPr>
      </w:pPr>
    </w:p>
    <w:p w14:paraId="063C1732" w14:textId="214B0815" w:rsidR="00CC5C93" w:rsidRDefault="00AC5DAC" w:rsidP="00291C79">
      <w:pPr>
        <w:rPr>
          <w:rFonts w:ascii="Arial" w:hAnsi="Arial" w:cs="Arial"/>
          <w:sz w:val="24"/>
          <w:szCs w:val="24"/>
        </w:rPr>
      </w:pPr>
      <w:r>
        <w:rPr>
          <w:rFonts w:ascii="Arial" w:hAnsi="Arial" w:cs="Arial"/>
          <w:sz w:val="24"/>
          <w:szCs w:val="24"/>
        </w:rPr>
        <w:t>The redevelopment is now complete and the building</w:t>
      </w:r>
      <w:r w:rsidR="00D2175B">
        <w:rPr>
          <w:rFonts w:ascii="Arial" w:hAnsi="Arial" w:cs="Arial"/>
          <w:sz w:val="24"/>
          <w:szCs w:val="24"/>
        </w:rPr>
        <w:t>s</w:t>
      </w:r>
      <w:r>
        <w:rPr>
          <w:rFonts w:ascii="Arial" w:hAnsi="Arial" w:cs="Arial"/>
          <w:sz w:val="24"/>
          <w:szCs w:val="24"/>
        </w:rPr>
        <w:t xml:space="preserve"> </w:t>
      </w:r>
      <w:r w:rsidR="00CC5C93">
        <w:rPr>
          <w:rFonts w:ascii="Arial" w:hAnsi="Arial" w:cs="Arial"/>
          <w:sz w:val="24"/>
          <w:szCs w:val="24"/>
        </w:rPr>
        <w:t>are now</w:t>
      </w:r>
      <w:r>
        <w:rPr>
          <w:rFonts w:ascii="Arial" w:hAnsi="Arial" w:cs="Arial"/>
          <w:sz w:val="24"/>
          <w:szCs w:val="24"/>
        </w:rPr>
        <w:t xml:space="preserve"> in use</w:t>
      </w:r>
      <w:r w:rsidR="00CC5C93">
        <w:rPr>
          <w:rFonts w:ascii="Arial" w:hAnsi="Arial" w:cs="Arial"/>
          <w:sz w:val="24"/>
          <w:szCs w:val="24"/>
        </w:rPr>
        <w:t>.</w:t>
      </w:r>
      <w:r w:rsidR="00BB0783">
        <w:rPr>
          <w:rFonts w:ascii="Arial" w:hAnsi="Arial" w:cs="Arial"/>
          <w:sz w:val="24"/>
          <w:szCs w:val="24"/>
        </w:rPr>
        <w:t xml:space="preserve"> The relocation of the Fire Control suite and establishment of a significant incident room are yet to be completed, and </w:t>
      </w:r>
      <w:r w:rsidR="00D26587">
        <w:rPr>
          <w:rFonts w:ascii="Arial" w:hAnsi="Arial" w:cs="Arial"/>
          <w:sz w:val="24"/>
          <w:szCs w:val="24"/>
        </w:rPr>
        <w:t>furniture and ICT aspects are to be finalised.</w:t>
      </w:r>
    </w:p>
    <w:p w14:paraId="5B77466C" w14:textId="77777777" w:rsidR="00CC5C93" w:rsidRDefault="00CC5C93" w:rsidP="00291C79">
      <w:pPr>
        <w:rPr>
          <w:rFonts w:ascii="Arial" w:hAnsi="Arial" w:cs="Arial"/>
          <w:sz w:val="24"/>
          <w:szCs w:val="24"/>
        </w:rPr>
      </w:pPr>
    </w:p>
    <w:p w14:paraId="0AE34ED2" w14:textId="3BD370D6" w:rsidR="00291C79" w:rsidRPr="000D756E" w:rsidRDefault="00291C79" w:rsidP="00291C79">
      <w:pPr>
        <w:rPr>
          <w:rFonts w:ascii="Arial" w:hAnsi="Arial" w:cs="Arial"/>
          <w:sz w:val="24"/>
          <w:szCs w:val="24"/>
        </w:rPr>
      </w:pPr>
      <w:r w:rsidRPr="000D756E">
        <w:rPr>
          <w:rFonts w:ascii="Arial" w:hAnsi="Arial" w:cs="Arial"/>
          <w:sz w:val="24"/>
          <w:szCs w:val="24"/>
        </w:rPr>
        <w:t>No decision has yet been made about the possible recovery of additional costs to the Authority.</w:t>
      </w:r>
    </w:p>
    <w:p w14:paraId="78B49CDB" w14:textId="77777777" w:rsidR="00D866E5" w:rsidRPr="000D756E" w:rsidRDefault="00D866E5" w:rsidP="002A7C01">
      <w:pPr>
        <w:autoSpaceDE w:val="0"/>
        <w:autoSpaceDN w:val="0"/>
        <w:adjustRightInd w:val="0"/>
        <w:rPr>
          <w:rFonts w:ascii="Arial" w:hAnsi="Arial" w:cs="Arial"/>
          <w:sz w:val="24"/>
          <w:szCs w:val="24"/>
        </w:rPr>
      </w:pPr>
    </w:p>
    <w:p w14:paraId="640CDA97" w14:textId="2B56B732" w:rsidR="3DAD0F58" w:rsidRPr="000D756E" w:rsidRDefault="3DAD0F58" w:rsidP="3DAD0F58">
      <w:pPr>
        <w:rPr>
          <w:rFonts w:ascii="Arial" w:hAnsi="Arial" w:cs="Arial"/>
          <w:sz w:val="24"/>
          <w:szCs w:val="24"/>
        </w:rPr>
      </w:pPr>
    </w:p>
    <w:p w14:paraId="24DAA8AF" w14:textId="7C4D0E31" w:rsidR="002A118C" w:rsidRPr="000D756E" w:rsidRDefault="002A118C" w:rsidP="002A7C01">
      <w:pPr>
        <w:autoSpaceDE w:val="0"/>
        <w:autoSpaceDN w:val="0"/>
        <w:adjustRightInd w:val="0"/>
        <w:rPr>
          <w:rFonts w:ascii="Arial" w:hAnsi="Arial" w:cs="Arial"/>
          <w:b/>
          <w:bCs/>
          <w:sz w:val="24"/>
          <w:szCs w:val="24"/>
        </w:rPr>
      </w:pPr>
      <w:r w:rsidRPr="000D756E">
        <w:rPr>
          <w:rFonts w:ascii="Arial" w:hAnsi="Arial" w:cs="Arial"/>
          <w:b/>
          <w:bCs/>
          <w:sz w:val="24"/>
          <w:szCs w:val="24"/>
        </w:rPr>
        <w:t>McCloud Sargeant – Age Discrimination case</w:t>
      </w:r>
    </w:p>
    <w:p w14:paraId="64E7324B" w14:textId="77777777" w:rsidR="00AF3550" w:rsidRPr="000D756E" w:rsidRDefault="00AF3550" w:rsidP="002A7C01">
      <w:pPr>
        <w:autoSpaceDE w:val="0"/>
        <w:autoSpaceDN w:val="0"/>
        <w:adjustRightInd w:val="0"/>
        <w:rPr>
          <w:rFonts w:ascii="Arial" w:hAnsi="Arial" w:cs="Arial"/>
          <w:sz w:val="24"/>
          <w:szCs w:val="24"/>
        </w:rPr>
      </w:pPr>
    </w:p>
    <w:p w14:paraId="45329830" w14:textId="4B608409" w:rsidR="007336CA" w:rsidRPr="000D756E" w:rsidRDefault="00971EA6" w:rsidP="007336CA">
      <w:pPr>
        <w:rPr>
          <w:rFonts w:ascii="Arial" w:hAnsi="Arial" w:cs="Arial"/>
          <w:bCs/>
          <w:iCs/>
          <w:sz w:val="24"/>
          <w:szCs w:val="24"/>
        </w:rPr>
      </w:pPr>
      <w:r w:rsidRPr="00CF3FD4">
        <w:rPr>
          <w:rFonts w:ascii="Arial" w:hAnsi="Arial" w:cs="Arial"/>
          <w:bCs/>
          <w:iCs/>
          <w:sz w:val="24"/>
          <w:szCs w:val="24"/>
        </w:rPr>
        <w:t>E</w:t>
      </w:r>
      <w:r w:rsidR="007336CA" w:rsidRPr="00CF3FD4">
        <w:rPr>
          <w:rFonts w:ascii="Arial" w:hAnsi="Arial" w:cs="Arial"/>
          <w:bCs/>
          <w:iCs/>
          <w:sz w:val="24"/>
          <w:szCs w:val="24"/>
        </w:rPr>
        <w:t xml:space="preserve">mployment tribunal cases were brought against the Government in relation to possible discrimination in the implementation of transitional protection following the introduction of the reformed 2015 public service pension schemes from 1 April 2015. </w:t>
      </w:r>
      <w:r w:rsidR="00C4272A" w:rsidRPr="00CF3FD4">
        <w:rPr>
          <w:rFonts w:ascii="Arial" w:hAnsi="Arial" w:cs="Arial"/>
          <w:bCs/>
          <w:iCs/>
          <w:sz w:val="24"/>
          <w:szCs w:val="24"/>
        </w:rPr>
        <w:t>The Court of Appeal ruled that the transitional protection offered to some members as part of the reforms amounted to unlawful discrimination</w:t>
      </w:r>
      <w:r w:rsidR="002971E2" w:rsidRPr="00CF3FD4">
        <w:rPr>
          <w:rFonts w:ascii="Arial" w:hAnsi="Arial" w:cs="Arial"/>
          <w:bCs/>
          <w:iCs/>
          <w:sz w:val="24"/>
          <w:szCs w:val="24"/>
        </w:rPr>
        <w:t xml:space="preserve"> and </w:t>
      </w:r>
      <w:r w:rsidR="00134D61" w:rsidRPr="00CF3FD4">
        <w:rPr>
          <w:rFonts w:ascii="Arial" w:hAnsi="Arial" w:cs="Arial"/>
          <w:bCs/>
          <w:iCs/>
          <w:sz w:val="24"/>
          <w:szCs w:val="24"/>
        </w:rPr>
        <w:t>schem</w:t>
      </w:r>
      <w:r w:rsidR="00134D61">
        <w:rPr>
          <w:rFonts w:ascii="Arial" w:hAnsi="Arial" w:cs="Arial"/>
          <w:bCs/>
          <w:iCs/>
          <w:sz w:val="24"/>
          <w:szCs w:val="24"/>
        </w:rPr>
        <w:t>e</w:t>
      </w:r>
      <w:r w:rsidR="00134D61" w:rsidRPr="00CF3FD4">
        <w:rPr>
          <w:rFonts w:ascii="Arial" w:hAnsi="Arial" w:cs="Arial"/>
          <w:bCs/>
          <w:iCs/>
          <w:sz w:val="24"/>
          <w:szCs w:val="24"/>
        </w:rPr>
        <w:t>s</w:t>
      </w:r>
      <w:r w:rsidR="002971E2" w:rsidRPr="00CF3FD4">
        <w:rPr>
          <w:rFonts w:ascii="Arial" w:hAnsi="Arial" w:cs="Arial"/>
          <w:bCs/>
          <w:iCs/>
          <w:sz w:val="24"/>
          <w:szCs w:val="24"/>
        </w:rPr>
        <w:t xml:space="preserve"> are now in the process of</w:t>
      </w:r>
      <w:r w:rsidR="002971E2">
        <w:rPr>
          <w:rFonts w:ascii="Arial" w:hAnsi="Arial" w:cs="Arial"/>
          <w:bCs/>
          <w:iCs/>
          <w:sz w:val="24"/>
          <w:szCs w:val="24"/>
        </w:rPr>
        <w:t xml:space="preserve"> </w:t>
      </w:r>
      <w:r w:rsidR="00AA1256">
        <w:rPr>
          <w:rFonts w:ascii="Arial" w:hAnsi="Arial" w:cs="Arial"/>
          <w:bCs/>
          <w:iCs/>
          <w:sz w:val="24"/>
          <w:szCs w:val="24"/>
        </w:rPr>
        <w:t xml:space="preserve">implementing the Age Discrimination remedy. </w:t>
      </w:r>
    </w:p>
    <w:p w14:paraId="463BFA69" w14:textId="77777777" w:rsidR="008A49B8" w:rsidRDefault="008A49B8" w:rsidP="002A7C01">
      <w:pPr>
        <w:autoSpaceDE w:val="0"/>
        <w:autoSpaceDN w:val="0"/>
        <w:adjustRightInd w:val="0"/>
        <w:rPr>
          <w:rFonts w:ascii="Arial" w:hAnsi="Arial" w:cs="Arial"/>
          <w:bCs/>
          <w:iCs/>
          <w:sz w:val="24"/>
          <w:szCs w:val="24"/>
        </w:rPr>
      </w:pPr>
    </w:p>
    <w:p w14:paraId="0C168129" w14:textId="407B52AA" w:rsidR="00D71364" w:rsidRDefault="0016634B" w:rsidP="002A7C01">
      <w:pPr>
        <w:autoSpaceDE w:val="0"/>
        <w:autoSpaceDN w:val="0"/>
        <w:adjustRightInd w:val="0"/>
        <w:rPr>
          <w:rFonts w:ascii="Arial" w:hAnsi="Arial" w:cs="Arial"/>
          <w:sz w:val="24"/>
          <w:szCs w:val="24"/>
        </w:rPr>
      </w:pPr>
      <w:r>
        <w:rPr>
          <w:rFonts w:ascii="Arial" w:hAnsi="Arial" w:cs="Arial"/>
          <w:sz w:val="24"/>
          <w:szCs w:val="24"/>
        </w:rPr>
        <w:t>Now that</w:t>
      </w:r>
      <w:r w:rsidR="00D134C4">
        <w:rPr>
          <w:rFonts w:ascii="Arial" w:hAnsi="Arial" w:cs="Arial"/>
          <w:sz w:val="24"/>
          <w:szCs w:val="24"/>
        </w:rPr>
        <w:t xml:space="preserve"> the relevant</w:t>
      </w:r>
      <w:r>
        <w:rPr>
          <w:rFonts w:ascii="Arial" w:hAnsi="Arial" w:cs="Arial"/>
          <w:sz w:val="24"/>
          <w:szCs w:val="24"/>
        </w:rPr>
        <w:t xml:space="preserve"> financial data has been submitted to West Yorkshire Pension Fund and </w:t>
      </w:r>
      <w:r w:rsidR="00AD3404">
        <w:rPr>
          <w:rFonts w:ascii="Arial" w:hAnsi="Arial" w:cs="Arial"/>
          <w:sz w:val="24"/>
          <w:szCs w:val="24"/>
        </w:rPr>
        <w:t xml:space="preserve">all the required legislation is now in place, </w:t>
      </w:r>
      <w:r w:rsidR="00ED4DC1">
        <w:rPr>
          <w:rFonts w:ascii="Arial" w:hAnsi="Arial" w:cs="Arial"/>
          <w:sz w:val="24"/>
          <w:szCs w:val="24"/>
        </w:rPr>
        <w:t xml:space="preserve">Remedial Service Statements (which set out the benefits and contribution adjustments </w:t>
      </w:r>
      <w:r w:rsidR="00AF5996">
        <w:rPr>
          <w:rFonts w:ascii="Arial" w:hAnsi="Arial" w:cs="Arial"/>
          <w:sz w:val="24"/>
          <w:szCs w:val="24"/>
        </w:rPr>
        <w:t xml:space="preserve">under new legislation) can be </w:t>
      </w:r>
      <w:r w:rsidR="00AE6D30">
        <w:rPr>
          <w:rFonts w:ascii="Arial" w:hAnsi="Arial" w:cs="Arial"/>
          <w:sz w:val="24"/>
          <w:szCs w:val="24"/>
        </w:rPr>
        <w:t>prepared and sent out to members.</w:t>
      </w:r>
      <w:r w:rsidR="001B3BEB">
        <w:rPr>
          <w:rFonts w:ascii="Arial" w:hAnsi="Arial" w:cs="Arial"/>
          <w:sz w:val="24"/>
          <w:szCs w:val="24"/>
        </w:rPr>
        <w:t xml:space="preserve"> For pensioners there will also be an immediate choice of benefit, </w:t>
      </w:r>
      <w:r w:rsidR="00781464">
        <w:rPr>
          <w:rFonts w:ascii="Arial" w:hAnsi="Arial" w:cs="Arial"/>
          <w:sz w:val="24"/>
          <w:szCs w:val="24"/>
        </w:rPr>
        <w:t>resulting in payments</w:t>
      </w:r>
      <w:r w:rsidR="00AD0B2E">
        <w:rPr>
          <w:rFonts w:ascii="Arial" w:hAnsi="Arial" w:cs="Arial"/>
          <w:sz w:val="24"/>
          <w:szCs w:val="24"/>
        </w:rPr>
        <w:t xml:space="preserve"> of additional lump sum and arrears pension</w:t>
      </w:r>
      <w:r w:rsidR="00F52C3E">
        <w:rPr>
          <w:rFonts w:ascii="Arial" w:hAnsi="Arial" w:cs="Arial"/>
          <w:sz w:val="24"/>
          <w:szCs w:val="24"/>
        </w:rPr>
        <w:t xml:space="preserve">. </w:t>
      </w:r>
    </w:p>
    <w:p w14:paraId="5B0922EE" w14:textId="77777777" w:rsidR="001B5535" w:rsidRPr="000D756E" w:rsidRDefault="001B5535" w:rsidP="002A7C01">
      <w:pPr>
        <w:autoSpaceDE w:val="0"/>
        <w:autoSpaceDN w:val="0"/>
        <w:adjustRightInd w:val="0"/>
        <w:rPr>
          <w:rFonts w:ascii="Arial" w:hAnsi="Arial" w:cs="Arial"/>
          <w:sz w:val="24"/>
          <w:szCs w:val="24"/>
        </w:rPr>
      </w:pPr>
    </w:p>
    <w:p w14:paraId="660F37FE" w14:textId="7E6C17BC" w:rsidR="001B5535" w:rsidRDefault="001B5535" w:rsidP="002A7C01">
      <w:pPr>
        <w:autoSpaceDE w:val="0"/>
        <w:autoSpaceDN w:val="0"/>
        <w:adjustRightInd w:val="0"/>
        <w:rPr>
          <w:rFonts w:ascii="Arial" w:hAnsi="Arial" w:cs="Arial"/>
          <w:b/>
          <w:bCs/>
          <w:sz w:val="24"/>
          <w:szCs w:val="24"/>
        </w:rPr>
      </w:pPr>
      <w:r w:rsidRPr="000D756E">
        <w:rPr>
          <w:rFonts w:ascii="Arial" w:hAnsi="Arial" w:cs="Arial"/>
          <w:b/>
          <w:bCs/>
          <w:sz w:val="24"/>
          <w:szCs w:val="24"/>
        </w:rPr>
        <w:t xml:space="preserve">Matthews – </w:t>
      </w:r>
      <w:r w:rsidR="00914A4C" w:rsidRPr="000D756E">
        <w:rPr>
          <w:rFonts w:ascii="Arial" w:hAnsi="Arial" w:cs="Arial"/>
          <w:b/>
          <w:bCs/>
          <w:sz w:val="24"/>
          <w:szCs w:val="24"/>
        </w:rPr>
        <w:t>Modified 2006 Pension Scheme</w:t>
      </w:r>
    </w:p>
    <w:p w14:paraId="3B89D317" w14:textId="77777777" w:rsidR="00350AC7" w:rsidRDefault="00350AC7" w:rsidP="002A7C01">
      <w:pPr>
        <w:autoSpaceDE w:val="0"/>
        <w:autoSpaceDN w:val="0"/>
        <w:adjustRightInd w:val="0"/>
        <w:rPr>
          <w:rFonts w:ascii="Arial" w:hAnsi="Arial" w:cs="Arial"/>
          <w:b/>
          <w:bCs/>
          <w:sz w:val="24"/>
          <w:szCs w:val="24"/>
        </w:rPr>
      </w:pPr>
    </w:p>
    <w:p w14:paraId="44971D85" w14:textId="7E9A92C7" w:rsidR="00350AC7" w:rsidRPr="000D756E" w:rsidRDefault="00350AC7" w:rsidP="00350AC7">
      <w:pPr>
        <w:rPr>
          <w:rFonts w:ascii="Arial" w:hAnsi="Arial" w:cs="Arial"/>
          <w:bCs/>
          <w:iCs/>
          <w:sz w:val="24"/>
          <w:szCs w:val="24"/>
        </w:rPr>
      </w:pPr>
      <w:r w:rsidRPr="000D756E">
        <w:rPr>
          <w:rFonts w:ascii="Arial" w:hAnsi="Arial" w:cs="Arial"/>
          <w:sz w:val="24"/>
          <w:szCs w:val="24"/>
        </w:rPr>
        <w:t>In 2014/2015</w:t>
      </w:r>
      <w:r w:rsidRPr="000D756E">
        <w:rPr>
          <w:rFonts w:ascii="Arial" w:hAnsi="Arial" w:cs="Arial"/>
          <w:b/>
          <w:bCs/>
          <w:sz w:val="24"/>
          <w:szCs w:val="24"/>
        </w:rPr>
        <w:t xml:space="preserve">, </w:t>
      </w:r>
      <w:r w:rsidRPr="000D756E">
        <w:rPr>
          <w:rFonts w:ascii="Arial" w:hAnsi="Arial" w:cs="Arial"/>
          <w:sz w:val="24"/>
          <w:szCs w:val="24"/>
        </w:rPr>
        <w:t>it was ruled that</w:t>
      </w:r>
      <w:r w:rsidRPr="000D756E">
        <w:rPr>
          <w:rFonts w:ascii="Arial" w:hAnsi="Arial" w:cs="Arial"/>
          <w:b/>
          <w:bCs/>
          <w:sz w:val="24"/>
          <w:szCs w:val="24"/>
        </w:rPr>
        <w:t xml:space="preserve"> </w:t>
      </w:r>
      <w:r w:rsidRPr="000D756E">
        <w:rPr>
          <w:rFonts w:ascii="Arial" w:hAnsi="Arial" w:cs="Arial"/>
          <w:bCs/>
          <w:iCs/>
          <w:sz w:val="24"/>
          <w:szCs w:val="24"/>
        </w:rPr>
        <w:t xml:space="preserve">retained firefighters employed between 1 July 2000 and 5 April 2006 were allowed to join the Firefighters’ Pension Scheme 2006 (FPS2006) as ‘special’ members. </w:t>
      </w:r>
    </w:p>
    <w:p w14:paraId="74544850" w14:textId="77777777" w:rsidR="00350AC7" w:rsidRPr="000D756E" w:rsidRDefault="00350AC7" w:rsidP="00350AC7">
      <w:pPr>
        <w:rPr>
          <w:rFonts w:ascii="Arial" w:hAnsi="Arial" w:cs="Arial"/>
          <w:bCs/>
          <w:iCs/>
          <w:sz w:val="24"/>
          <w:szCs w:val="24"/>
        </w:rPr>
      </w:pPr>
    </w:p>
    <w:p w14:paraId="60670C76" w14:textId="77777777" w:rsidR="00350AC7" w:rsidRPr="000D756E" w:rsidRDefault="00350AC7" w:rsidP="00350AC7">
      <w:pPr>
        <w:rPr>
          <w:rFonts w:ascii="Arial" w:hAnsi="Arial" w:cs="Arial"/>
          <w:bCs/>
          <w:iCs/>
          <w:sz w:val="24"/>
          <w:szCs w:val="24"/>
        </w:rPr>
      </w:pPr>
      <w:r w:rsidRPr="000D756E">
        <w:rPr>
          <w:rFonts w:ascii="Arial" w:hAnsi="Arial" w:cs="Arial"/>
          <w:bCs/>
          <w:iCs/>
          <w:sz w:val="24"/>
          <w:szCs w:val="24"/>
        </w:rPr>
        <w:t>A time limited options exercise took place between 2014 and 2015 to allow eligible individuals to join the FPS. While the benefits awarded to special members largely mirrored the FPS1992, the FPS2006 was amended as the FPS1992 was closed.</w:t>
      </w:r>
    </w:p>
    <w:p w14:paraId="6C55FE2E" w14:textId="77777777" w:rsidR="00350AC7" w:rsidRPr="000D756E" w:rsidRDefault="00350AC7" w:rsidP="00350AC7">
      <w:pPr>
        <w:rPr>
          <w:rFonts w:ascii="Arial" w:hAnsi="Arial" w:cs="Arial"/>
          <w:bCs/>
          <w:iCs/>
          <w:sz w:val="24"/>
          <w:szCs w:val="24"/>
        </w:rPr>
      </w:pPr>
    </w:p>
    <w:p w14:paraId="3A051975" w14:textId="233D8EB0" w:rsidR="00350AC7" w:rsidRPr="000D756E" w:rsidRDefault="008B65C0" w:rsidP="00350AC7">
      <w:pPr>
        <w:rPr>
          <w:rFonts w:ascii="Arial" w:hAnsi="Arial" w:cs="Arial"/>
          <w:bCs/>
          <w:iCs/>
          <w:sz w:val="24"/>
          <w:szCs w:val="24"/>
        </w:rPr>
      </w:pPr>
      <w:r>
        <w:rPr>
          <w:rFonts w:ascii="Arial" w:hAnsi="Arial" w:cs="Arial"/>
          <w:bCs/>
          <w:iCs/>
          <w:sz w:val="24"/>
          <w:szCs w:val="24"/>
        </w:rPr>
        <w:t>A further</w:t>
      </w:r>
      <w:r w:rsidR="000D4780">
        <w:rPr>
          <w:rFonts w:ascii="Arial" w:hAnsi="Arial" w:cs="Arial"/>
          <w:bCs/>
          <w:iCs/>
          <w:sz w:val="24"/>
          <w:szCs w:val="24"/>
        </w:rPr>
        <w:t xml:space="preserve"> legal </w:t>
      </w:r>
      <w:r w:rsidR="00437C1C">
        <w:rPr>
          <w:rFonts w:ascii="Arial" w:hAnsi="Arial" w:cs="Arial"/>
          <w:bCs/>
          <w:iCs/>
          <w:sz w:val="24"/>
          <w:szCs w:val="24"/>
        </w:rPr>
        <w:t>case has resulted in a second</w:t>
      </w:r>
      <w:r>
        <w:rPr>
          <w:rFonts w:ascii="Arial" w:hAnsi="Arial" w:cs="Arial"/>
          <w:bCs/>
          <w:iCs/>
          <w:sz w:val="24"/>
          <w:szCs w:val="24"/>
        </w:rPr>
        <w:t xml:space="preserve"> exercise, </w:t>
      </w:r>
      <w:r w:rsidR="00D525EF">
        <w:rPr>
          <w:rFonts w:ascii="Arial" w:hAnsi="Arial" w:cs="Arial"/>
          <w:bCs/>
          <w:iCs/>
          <w:sz w:val="24"/>
          <w:szCs w:val="24"/>
        </w:rPr>
        <w:t xml:space="preserve">referred to as the Matthews Second Options exercise, </w:t>
      </w:r>
      <w:r w:rsidR="00AA39A9">
        <w:rPr>
          <w:rFonts w:ascii="Arial" w:hAnsi="Arial" w:cs="Arial"/>
          <w:bCs/>
          <w:iCs/>
          <w:sz w:val="24"/>
          <w:szCs w:val="24"/>
        </w:rPr>
        <w:t>which has</w:t>
      </w:r>
      <w:r w:rsidR="00D525EF">
        <w:rPr>
          <w:rFonts w:ascii="Arial" w:hAnsi="Arial" w:cs="Arial"/>
          <w:bCs/>
          <w:iCs/>
          <w:sz w:val="24"/>
          <w:szCs w:val="24"/>
        </w:rPr>
        <w:t xml:space="preserve"> extended the </w:t>
      </w:r>
      <w:r w:rsidR="006A784A">
        <w:rPr>
          <w:rFonts w:ascii="Arial" w:hAnsi="Arial" w:cs="Arial"/>
          <w:bCs/>
          <w:iCs/>
          <w:sz w:val="24"/>
          <w:szCs w:val="24"/>
        </w:rPr>
        <w:t xml:space="preserve">buy back for </w:t>
      </w:r>
      <w:r w:rsidR="003A6551">
        <w:rPr>
          <w:rFonts w:ascii="Arial" w:hAnsi="Arial" w:cs="Arial"/>
          <w:bCs/>
          <w:iCs/>
          <w:sz w:val="24"/>
          <w:szCs w:val="24"/>
        </w:rPr>
        <w:t xml:space="preserve">in scope </w:t>
      </w:r>
      <w:r w:rsidR="00350AC7" w:rsidRPr="000D756E">
        <w:rPr>
          <w:rFonts w:ascii="Arial" w:hAnsi="Arial" w:cs="Arial"/>
          <w:bCs/>
          <w:iCs/>
          <w:sz w:val="24"/>
          <w:szCs w:val="24"/>
        </w:rPr>
        <w:t>Retained firefighters</w:t>
      </w:r>
      <w:r w:rsidR="008E5D49">
        <w:rPr>
          <w:rFonts w:ascii="Arial" w:hAnsi="Arial" w:cs="Arial"/>
          <w:bCs/>
          <w:iCs/>
          <w:sz w:val="24"/>
          <w:szCs w:val="24"/>
        </w:rPr>
        <w:t xml:space="preserve"> employed by the service between </w:t>
      </w:r>
      <w:r w:rsidR="008E5D49" w:rsidRPr="000D756E">
        <w:rPr>
          <w:rFonts w:ascii="Arial" w:hAnsi="Arial" w:cs="Arial"/>
          <w:bCs/>
          <w:iCs/>
          <w:sz w:val="24"/>
          <w:szCs w:val="24"/>
        </w:rPr>
        <w:t>7 April 2000 and 5 April 2006</w:t>
      </w:r>
      <w:r w:rsidR="003A6551">
        <w:rPr>
          <w:rFonts w:ascii="Arial" w:hAnsi="Arial" w:cs="Arial"/>
          <w:bCs/>
          <w:iCs/>
          <w:sz w:val="24"/>
          <w:szCs w:val="24"/>
        </w:rPr>
        <w:t xml:space="preserve">, </w:t>
      </w:r>
      <w:r w:rsidR="00347DE5">
        <w:rPr>
          <w:rFonts w:ascii="Arial" w:hAnsi="Arial" w:cs="Arial"/>
          <w:bCs/>
          <w:iCs/>
          <w:sz w:val="24"/>
          <w:szCs w:val="24"/>
        </w:rPr>
        <w:t xml:space="preserve">to be able to purchase </w:t>
      </w:r>
      <w:r w:rsidR="00881D7A">
        <w:rPr>
          <w:rFonts w:ascii="Arial" w:hAnsi="Arial" w:cs="Arial"/>
          <w:bCs/>
          <w:iCs/>
          <w:sz w:val="24"/>
          <w:szCs w:val="24"/>
        </w:rPr>
        <w:t xml:space="preserve">pensionable membership </w:t>
      </w:r>
      <w:r w:rsidR="00F251E0">
        <w:rPr>
          <w:rFonts w:ascii="Arial" w:hAnsi="Arial" w:cs="Arial"/>
          <w:bCs/>
          <w:iCs/>
          <w:sz w:val="24"/>
          <w:szCs w:val="24"/>
        </w:rPr>
        <w:t xml:space="preserve">back </w:t>
      </w:r>
      <w:r w:rsidR="00881D7A">
        <w:rPr>
          <w:rFonts w:ascii="Arial" w:hAnsi="Arial" w:cs="Arial"/>
          <w:bCs/>
          <w:iCs/>
          <w:sz w:val="24"/>
          <w:szCs w:val="24"/>
        </w:rPr>
        <w:t>to when they joined the Fire service.</w:t>
      </w:r>
      <w:r w:rsidR="00350AC7" w:rsidRPr="000D756E">
        <w:rPr>
          <w:rFonts w:ascii="Arial" w:hAnsi="Arial" w:cs="Arial"/>
          <w:bCs/>
          <w:iCs/>
          <w:sz w:val="24"/>
          <w:szCs w:val="24"/>
        </w:rPr>
        <w:t xml:space="preserve"> </w:t>
      </w:r>
    </w:p>
    <w:p w14:paraId="2D897272" w14:textId="77777777" w:rsidR="00D24FA2" w:rsidRDefault="00D24FA2" w:rsidP="00D24FA2">
      <w:pPr>
        <w:rPr>
          <w:rFonts w:ascii="Arial" w:hAnsi="Arial" w:cs="Arial"/>
          <w:bCs/>
          <w:iCs/>
          <w:sz w:val="24"/>
          <w:szCs w:val="24"/>
        </w:rPr>
      </w:pPr>
    </w:p>
    <w:p w14:paraId="0784354D" w14:textId="369E988E" w:rsidR="002B4B84" w:rsidRDefault="009C7FBE" w:rsidP="00D24FA2">
      <w:pPr>
        <w:rPr>
          <w:rFonts w:ascii="Arial" w:hAnsi="Arial" w:cs="Arial"/>
          <w:bCs/>
          <w:iCs/>
          <w:sz w:val="24"/>
          <w:szCs w:val="24"/>
        </w:rPr>
      </w:pPr>
      <w:r>
        <w:rPr>
          <w:rFonts w:ascii="Arial" w:hAnsi="Arial" w:cs="Arial"/>
          <w:bCs/>
          <w:iCs/>
          <w:sz w:val="24"/>
          <w:szCs w:val="24"/>
        </w:rPr>
        <w:t xml:space="preserve">Following </w:t>
      </w:r>
      <w:r w:rsidR="00721E23">
        <w:rPr>
          <w:rFonts w:ascii="Arial" w:hAnsi="Arial" w:cs="Arial"/>
          <w:bCs/>
          <w:iCs/>
          <w:sz w:val="24"/>
          <w:szCs w:val="24"/>
        </w:rPr>
        <w:t xml:space="preserve">236 expressions of interest </w:t>
      </w:r>
      <w:r w:rsidR="00DA3DD1">
        <w:rPr>
          <w:rFonts w:ascii="Arial" w:hAnsi="Arial" w:cs="Arial"/>
          <w:bCs/>
          <w:iCs/>
          <w:sz w:val="24"/>
          <w:szCs w:val="24"/>
        </w:rPr>
        <w:t>received</w:t>
      </w:r>
      <w:r w:rsidR="00253DBA">
        <w:rPr>
          <w:rFonts w:ascii="Arial" w:hAnsi="Arial" w:cs="Arial"/>
          <w:bCs/>
          <w:iCs/>
          <w:sz w:val="24"/>
          <w:szCs w:val="24"/>
        </w:rPr>
        <w:t xml:space="preserve">, </w:t>
      </w:r>
      <w:r w:rsidR="00FA207D">
        <w:rPr>
          <w:rFonts w:ascii="Arial" w:hAnsi="Arial" w:cs="Arial"/>
          <w:bCs/>
          <w:iCs/>
          <w:sz w:val="24"/>
          <w:szCs w:val="24"/>
        </w:rPr>
        <w:t>1</w:t>
      </w:r>
      <w:r w:rsidR="005569B5">
        <w:rPr>
          <w:rFonts w:ascii="Arial" w:hAnsi="Arial" w:cs="Arial"/>
          <w:bCs/>
          <w:iCs/>
          <w:sz w:val="24"/>
          <w:szCs w:val="24"/>
        </w:rPr>
        <w:t xml:space="preserve">62 members have chosen to join </w:t>
      </w:r>
      <w:r w:rsidR="004E0C72">
        <w:rPr>
          <w:rFonts w:ascii="Arial" w:hAnsi="Arial" w:cs="Arial"/>
          <w:bCs/>
          <w:iCs/>
          <w:sz w:val="24"/>
          <w:szCs w:val="24"/>
        </w:rPr>
        <w:t xml:space="preserve">or extend their membership through the second options exercise and of these 84 are pensioner members, meaning immediate payment will be due to them. </w:t>
      </w:r>
    </w:p>
    <w:p w14:paraId="209A9B59" w14:textId="77777777" w:rsidR="00535377" w:rsidRDefault="00535377" w:rsidP="00D24FA2">
      <w:pPr>
        <w:rPr>
          <w:rFonts w:ascii="Arial" w:hAnsi="Arial" w:cs="Arial"/>
          <w:bCs/>
          <w:iCs/>
          <w:sz w:val="24"/>
          <w:szCs w:val="24"/>
        </w:rPr>
      </w:pPr>
    </w:p>
    <w:p w14:paraId="636E7023" w14:textId="77777777" w:rsidR="0096428A" w:rsidRDefault="004E0C72" w:rsidP="00D24FA2">
      <w:pPr>
        <w:rPr>
          <w:rFonts w:ascii="Arial" w:hAnsi="Arial" w:cs="Arial"/>
          <w:bCs/>
          <w:iCs/>
          <w:sz w:val="24"/>
          <w:szCs w:val="24"/>
        </w:rPr>
      </w:pPr>
      <w:r>
        <w:rPr>
          <w:rFonts w:ascii="Arial" w:hAnsi="Arial" w:cs="Arial"/>
          <w:bCs/>
          <w:iCs/>
          <w:sz w:val="24"/>
          <w:szCs w:val="24"/>
        </w:rPr>
        <w:t xml:space="preserve">WYPF have begun providing </w:t>
      </w:r>
      <w:r w:rsidR="00D727FE">
        <w:rPr>
          <w:rFonts w:ascii="Arial" w:hAnsi="Arial" w:cs="Arial"/>
          <w:bCs/>
          <w:iCs/>
          <w:sz w:val="24"/>
          <w:szCs w:val="24"/>
        </w:rPr>
        <w:t>retirement packs for the pensioners and t</w:t>
      </w:r>
      <w:r w:rsidR="006309D7">
        <w:rPr>
          <w:rFonts w:ascii="Arial" w:hAnsi="Arial" w:cs="Arial"/>
          <w:bCs/>
          <w:iCs/>
          <w:sz w:val="24"/>
          <w:szCs w:val="24"/>
        </w:rPr>
        <w:t xml:space="preserve">he year ahead is likely </w:t>
      </w:r>
      <w:r w:rsidR="00931CBB">
        <w:rPr>
          <w:rFonts w:ascii="Arial" w:hAnsi="Arial" w:cs="Arial"/>
          <w:bCs/>
          <w:iCs/>
          <w:sz w:val="24"/>
          <w:szCs w:val="24"/>
        </w:rPr>
        <w:t xml:space="preserve">to see many </w:t>
      </w:r>
      <w:r w:rsidR="00D058A0">
        <w:rPr>
          <w:rFonts w:ascii="Arial" w:hAnsi="Arial" w:cs="Arial"/>
          <w:bCs/>
          <w:iCs/>
          <w:sz w:val="24"/>
          <w:szCs w:val="24"/>
        </w:rPr>
        <w:t>payments</w:t>
      </w:r>
      <w:r w:rsidR="00931CBB">
        <w:rPr>
          <w:rFonts w:ascii="Arial" w:hAnsi="Arial" w:cs="Arial"/>
          <w:bCs/>
          <w:iCs/>
          <w:sz w:val="24"/>
          <w:szCs w:val="24"/>
        </w:rPr>
        <w:t xml:space="preserve"> being made </w:t>
      </w:r>
      <w:r w:rsidR="00D92367">
        <w:rPr>
          <w:rFonts w:ascii="Arial" w:hAnsi="Arial" w:cs="Arial"/>
          <w:bCs/>
          <w:iCs/>
          <w:sz w:val="24"/>
          <w:szCs w:val="24"/>
        </w:rPr>
        <w:t xml:space="preserve">and </w:t>
      </w:r>
      <w:r w:rsidR="009F52D5">
        <w:rPr>
          <w:rFonts w:ascii="Arial" w:hAnsi="Arial" w:cs="Arial"/>
          <w:bCs/>
          <w:iCs/>
          <w:sz w:val="24"/>
          <w:szCs w:val="24"/>
        </w:rPr>
        <w:t xml:space="preserve">a process will need to be developed to monitor this expenditure. </w:t>
      </w:r>
    </w:p>
    <w:p w14:paraId="09299C6B" w14:textId="77777777" w:rsidR="0096428A" w:rsidRDefault="0096428A" w:rsidP="00D24FA2">
      <w:pPr>
        <w:rPr>
          <w:rFonts w:ascii="Arial" w:hAnsi="Arial" w:cs="Arial"/>
          <w:bCs/>
          <w:iCs/>
          <w:sz w:val="24"/>
          <w:szCs w:val="24"/>
        </w:rPr>
      </w:pPr>
    </w:p>
    <w:p w14:paraId="348A6635" w14:textId="4F0E7A0C" w:rsidR="00535377" w:rsidRDefault="00256CF9" w:rsidP="00D24FA2">
      <w:pPr>
        <w:rPr>
          <w:rFonts w:ascii="Arial" w:hAnsi="Arial" w:cs="Arial"/>
          <w:bCs/>
          <w:iCs/>
          <w:sz w:val="24"/>
          <w:szCs w:val="24"/>
        </w:rPr>
      </w:pPr>
      <w:r>
        <w:rPr>
          <w:rFonts w:ascii="Arial" w:hAnsi="Arial" w:cs="Arial"/>
          <w:bCs/>
          <w:iCs/>
          <w:sz w:val="24"/>
          <w:szCs w:val="24"/>
        </w:rPr>
        <w:t xml:space="preserve">New legislation has been consulted on and </w:t>
      </w:r>
      <w:r w:rsidR="00B8076B">
        <w:rPr>
          <w:rFonts w:ascii="Arial" w:hAnsi="Arial" w:cs="Arial"/>
          <w:bCs/>
          <w:iCs/>
          <w:sz w:val="24"/>
          <w:szCs w:val="24"/>
        </w:rPr>
        <w:t xml:space="preserve">will be laid in the coming year. </w:t>
      </w:r>
      <w:r w:rsidR="00AA6644">
        <w:rPr>
          <w:rFonts w:ascii="Arial" w:hAnsi="Arial" w:cs="Arial"/>
          <w:bCs/>
          <w:iCs/>
          <w:sz w:val="24"/>
          <w:szCs w:val="24"/>
        </w:rPr>
        <w:t xml:space="preserve">This legislation will provide further options to deferred members and </w:t>
      </w:r>
      <w:r w:rsidR="00017B25">
        <w:rPr>
          <w:rFonts w:ascii="Arial" w:hAnsi="Arial" w:cs="Arial"/>
          <w:bCs/>
          <w:iCs/>
          <w:sz w:val="24"/>
          <w:szCs w:val="24"/>
        </w:rPr>
        <w:t>extend the provisions for survivor benefits</w:t>
      </w:r>
      <w:r w:rsidR="00A17B32">
        <w:rPr>
          <w:rFonts w:ascii="Arial" w:hAnsi="Arial" w:cs="Arial"/>
          <w:bCs/>
          <w:iCs/>
          <w:sz w:val="24"/>
          <w:szCs w:val="24"/>
        </w:rPr>
        <w:t xml:space="preserve">, and this will create additional </w:t>
      </w:r>
      <w:r w:rsidR="00376FB0">
        <w:rPr>
          <w:rFonts w:ascii="Arial" w:hAnsi="Arial" w:cs="Arial"/>
          <w:bCs/>
          <w:iCs/>
          <w:sz w:val="24"/>
          <w:szCs w:val="24"/>
        </w:rPr>
        <w:t xml:space="preserve">pensions work for the </w:t>
      </w:r>
      <w:r w:rsidR="00D2175B">
        <w:rPr>
          <w:rFonts w:ascii="Arial" w:hAnsi="Arial" w:cs="Arial"/>
          <w:bCs/>
          <w:iCs/>
          <w:sz w:val="24"/>
          <w:szCs w:val="24"/>
        </w:rPr>
        <w:t>S</w:t>
      </w:r>
      <w:r w:rsidR="00376FB0">
        <w:rPr>
          <w:rFonts w:ascii="Arial" w:hAnsi="Arial" w:cs="Arial"/>
          <w:bCs/>
          <w:iCs/>
          <w:sz w:val="24"/>
          <w:szCs w:val="24"/>
        </w:rPr>
        <w:t xml:space="preserve">ervice. </w:t>
      </w:r>
      <w:r w:rsidR="00B8076B">
        <w:rPr>
          <w:rFonts w:ascii="Arial" w:hAnsi="Arial" w:cs="Arial"/>
          <w:bCs/>
          <w:iCs/>
          <w:sz w:val="24"/>
          <w:szCs w:val="24"/>
        </w:rPr>
        <w:t xml:space="preserve"> </w:t>
      </w:r>
      <w:r w:rsidR="00931CBB">
        <w:rPr>
          <w:rFonts w:ascii="Arial" w:hAnsi="Arial" w:cs="Arial"/>
          <w:bCs/>
          <w:iCs/>
          <w:sz w:val="24"/>
          <w:szCs w:val="24"/>
        </w:rPr>
        <w:t xml:space="preserve"> </w:t>
      </w:r>
    </w:p>
    <w:p w14:paraId="778EE7BB" w14:textId="77777777" w:rsidR="00A24354" w:rsidRDefault="00A24354" w:rsidP="00D24FA2">
      <w:pPr>
        <w:rPr>
          <w:rFonts w:ascii="Arial" w:hAnsi="Arial" w:cs="Arial"/>
          <w:bCs/>
          <w:iCs/>
          <w:sz w:val="24"/>
          <w:szCs w:val="24"/>
        </w:rPr>
      </w:pPr>
    </w:p>
    <w:p w14:paraId="71FF34F1" w14:textId="77777777" w:rsidR="000D3272" w:rsidRPr="000D756E" w:rsidRDefault="000D3272" w:rsidP="00D24FA2">
      <w:pPr>
        <w:rPr>
          <w:rFonts w:ascii="Arial" w:hAnsi="Arial" w:cs="Arial"/>
          <w:bCs/>
          <w:iCs/>
          <w:sz w:val="24"/>
          <w:szCs w:val="24"/>
        </w:rPr>
      </w:pPr>
    </w:p>
    <w:p w14:paraId="3E1DB57E" w14:textId="6A156B76" w:rsidR="00AF3550" w:rsidRPr="00D20AB2" w:rsidRDefault="000D3272" w:rsidP="002A7C01">
      <w:pPr>
        <w:autoSpaceDE w:val="0"/>
        <w:autoSpaceDN w:val="0"/>
        <w:adjustRightInd w:val="0"/>
        <w:rPr>
          <w:rFonts w:ascii="Arial" w:hAnsi="Arial" w:cs="Arial"/>
          <w:b/>
          <w:bCs/>
          <w:sz w:val="24"/>
          <w:szCs w:val="24"/>
        </w:rPr>
      </w:pPr>
      <w:r w:rsidRPr="00D20AB2">
        <w:rPr>
          <w:rFonts w:ascii="Arial" w:hAnsi="Arial" w:cs="Arial"/>
          <w:b/>
          <w:bCs/>
          <w:sz w:val="24"/>
          <w:szCs w:val="24"/>
        </w:rPr>
        <w:t>Community Risk Management Plan 2025-202</w:t>
      </w:r>
      <w:r w:rsidR="007D3715" w:rsidRPr="00D20AB2">
        <w:rPr>
          <w:rFonts w:ascii="Arial" w:hAnsi="Arial" w:cs="Arial"/>
          <w:b/>
          <w:bCs/>
          <w:sz w:val="24"/>
          <w:szCs w:val="24"/>
        </w:rPr>
        <w:t>8</w:t>
      </w:r>
    </w:p>
    <w:p w14:paraId="27B51217" w14:textId="77777777" w:rsidR="00344DDF" w:rsidRPr="00D20AB2" w:rsidRDefault="00344DDF" w:rsidP="002A7C01">
      <w:pPr>
        <w:autoSpaceDE w:val="0"/>
        <w:autoSpaceDN w:val="0"/>
        <w:adjustRightInd w:val="0"/>
        <w:rPr>
          <w:rFonts w:ascii="Arial" w:hAnsi="Arial" w:cs="Arial"/>
          <w:b/>
          <w:bCs/>
          <w:sz w:val="24"/>
          <w:szCs w:val="24"/>
        </w:rPr>
      </w:pPr>
    </w:p>
    <w:p w14:paraId="5EC60829" w14:textId="66EDAB66" w:rsidR="009935DF" w:rsidRPr="00D20AB2" w:rsidRDefault="006D17B4" w:rsidP="002A7C01">
      <w:pPr>
        <w:autoSpaceDE w:val="0"/>
        <w:autoSpaceDN w:val="0"/>
        <w:adjustRightInd w:val="0"/>
        <w:rPr>
          <w:rFonts w:ascii="Arial" w:hAnsi="Arial" w:cs="Arial"/>
          <w:sz w:val="24"/>
          <w:szCs w:val="24"/>
        </w:rPr>
      </w:pPr>
      <w:r w:rsidRPr="00D20AB2">
        <w:rPr>
          <w:rFonts w:ascii="Arial" w:hAnsi="Arial" w:cs="Arial"/>
          <w:sz w:val="24"/>
          <w:szCs w:val="24"/>
        </w:rPr>
        <w:t xml:space="preserve">In </w:t>
      </w:r>
      <w:r w:rsidR="00B579C3" w:rsidRPr="00D20AB2">
        <w:rPr>
          <w:rFonts w:ascii="Arial" w:hAnsi="Arial" w:cs="Arial"/>
          <w:sz w:val="24"/>
          <w:szCs w:val="24"/>
        </w:rPr>
        <w:t>March</w:t>
      </w:r>
      <w:r w:rsidRPr="00D20AB2">
        <w:rPr>
          <w:rFonts w:ascii="Arial" w:hAnsi="Arial" w:cs="Arial"/>
          <w:sz w:val="24"/>
          <w:szCs w:val="24"/>
        </w:rPr>
        <w:t xml:space="preserve"> 2025, the Fire Authority </w:t>
      </w:r>
      <w:r w:rsidR="004204FD" w:rsidRPr="00D20AB2">
        <w:rPr>
          <w:rFonts w:ascii="Arial" w:hAnsi="Arial" w:cs="Arial"/>
          <w:sz w:val="24"/>
          <w:szCs w:val="24"/>
        </w:rPr>
        <w:t xml:space="preserve">approved the Service’s Community Risk Action Plan (CRMP) for 2025 to 2028. </w:t>
      </w:r>
      <w:r w:rsidR="001F660E" w:rsidRPr="00D20AB2">
        <w:rPr>
          <w:rFonts w:ascii="Arial" w:hAnsi="Arial" w:cs="Arial"/>
          <w:sz w:val="24"/>
          <w:szCs w:val="24"/>
        </w:rPr>
        <w:t xml:space="preserve">The </w:t>
      </w:r>
      <w:r w:rsidR="00F07CCF" w:rsidRPr="00D20AB2">
        <w:rPr>
          <w:rFonts w:ascii="Arial" w:hAnsi="Arial" w:cs="Arial"/>
          <w:sz w:val="24"/>
          <w:szCs w:val="24"/>
        </w:rPr>
        <w:t xml:space="preserve">CRMP will serve as the primary driver for the Service’s strategic priorities </w:t>
      </w:r>
      <w:r w:rsidR="009935DF" w:rsidRPr="00D20AB2">
        <w:rPr>
          <w:rFonts w:ascii="Arial" w:hAnsi="Arial" w:cs="Arial"/>
          <w:sz w:val="24"/>
          <w:szCs w:val="24"/>
        </w:rPr>
        <w:t>over the next three years.</w:t>
      </w:r>
    </w:p>
    <w:p w14:paraId="5B71C613" w14:textId="77777777" w:rsidR="009935DF" w:rsidRPr="00D20AB2" w:rsidRDefault="009935DF" w:rsidP="002A7C01">
      <w:pPr>
        <w:autoSpaceDE w:val="0"/>
        <w:autoSpaceDN w:val="0"/>
        <w:adjustRightInd w:val="0"/>
        <w:rPr>
          <w:rFonts w:ascii="Arial" w:hAnsi="Arial" w:cs="Arial"/>
          <w:sz w:val="24"/>
          <w:szCs w:val="24"/>
        </w:rPr>
      </w:pPr>
    </w:p>
    <w:p w14:paraId="7FD1CE67" w14:textId="4FD54A13" w:rsidR="00B579C3" w:rsidRPr="00D20AB2" w:rsidRDefault="00B579C3" w:rsidP="002A7C01">
      <w:pPr>
        <w:autoSpaceDE w:val="0"/>
        <w:autoSpaceDN w:val="0"/>
        <w:adjustRightInd w:val="0"/>
        <w:rPr>
          <w:rFonts w:ascii="Arial" w:hAnsi="Arial" w:cs="Arial"/>
          <w:sz w:val="24"/>
          <w:szCs w:val="24"/>
        </w:rPr>
      </w:pPr>
      <w:r w:rsidRPr="00D20AB2">
        <w:rPr>
          <w:rFonts w:ascii="Arial" w:hAnsi="Arial" w:cs="Arial"/>
          <w:sz w:val="24"/>
          <w:szCs w:val="24"/>
        </w:rPr>
        <w:t xml:space="preserve">The emerging priorities </w:t>
      </w:r>
      <w:r w:rsidR="00F00ACA" w:rsidRPr="00D20AB2">
        <w:rPr>
          <w:rFonts w:ascii="Arial" w:hAnsi="Arial" w:cs="Arial"/>
          <w:sz w:val="24"/>
          <w:szCs w:val="24"/>
        </w:rPr>
        <w:t>for the CRMP were agreed by the Authority in October 2024.  These are:</w:t>
      </w:r>
    </w:p>
    <w:p w14:paraId="23618C2B" w14:textId="77777777" w:rsidR="00F00ACA" w:rsidRPr="00D20AB2" w:rsidRDefault="00F00ACA" w:rsidP="002A7C01">
      <w:pPr>
        <w:autoSpaceDE w:val="0"/>
        <w:autoSpaceDN w:val="0"/>
        <w:adjustRightInd w:val="0"/>
        <w:rPr>
          <w:rFonts w:ascii="Arial" w:hAnsi="Arial" w:cs="Arial"/>
          <w:sz w:val="24"/>
          <w:szCs w:val="24"/>
        </w:rPr>
      </w:pPr>
    </w:p>
    <w:p w14:paraId="0A393974" w14:textId="2E507B58" w:rsidR="00F00ACA" w:rsidRPr="00D20AB2" w:rsidRDefault="00F00ACA" w:rsidP="00F00ACA">
      <w:pPr>
        <w:pStyle w:val="ListParagraph"/>
        <w:numPr>
          <w:ilvl w:val="0"/>
          <w:numId w:val="70"/>
        </w:numPr>
        <w:autoSpaceDE w:val="0"/>
        <w:autoSpaceDN w:val="0"/>
        <w:adjustRightInd w:val="0"/>
        <w:rPr>
          <w:rFonts w:ascii="Arial" w:hAnsi="Arial" w:cs="Arial"/>
          <w:szCs w:val="24"/>
        </w:rPr>
      </w:pPr>
      <w:r w:rsidRPr="00D20AB2">
        <w:rPr>
          <w:rFonts w:ascii="Arial" w:hAnsi="Arial" w:cs="Arial"/>
          <w:szCs w:val="24"/>
        </w:rPr>
        <w:t xml:space="preserve">Use of </w:t>
      </w:r>
      <w:r w:rsidR="000376D2" w:rsidRPr="00D20AB2">
        <w:rPr>
          <w:rFonts w:ascii="Arial" w:hAnsi="Arial" w:cs="Arial"/>
          <w:szCs w:val="24"/>
        </w:rPr>
        <w:t>I</w:t>
      </w:r>
      <w:r w:rsidRPr="00D20AB2">
        <w:rPr>
          <w:rFonts w:ascii="Arial" w:hAnsi="Arial" w:cs="Arial"/>
          <w:szCs w:val="24"/>
        </w:rPr>
        <w:t>nnovati</w:t>
      </w:r>
      <w:r w:rsidR="000376D2" w:rsidRPr="00D20AB2">
        <w:rPr>
          <w:rFonts w:ascii="Arial" w:hAnsi="Arial" w:cs="Arial"/>
          <w:szCs w:val="24"/>
        </w:rPr>
        <w:t>ve</w:t>
      </w:r>
      <w:r w:rsidRPr="00D20AB2">
        <w:rPr>
          <w:rFonts w:ascii="Arial" w:hAnsi="Arial" w:cs="Arial"/>
          <w:szCs w:val="24"/>
        </w:rPr>
        <w:t xml:space="preserve"> </w:t>
      </w:r>
      <w:r w:rsidR="000376D2" w:rsidRPr="00D20AB2">
        <w:rPr>
          <w:rFonts w:ascii="Arial" w:hAnsi="Arial" w:cs="Arial"/>
          <w:szCs w:val="24"/>
        </w:rPr>
        <w:t>T</w:t>
      </w:r>
      <w:r w:rsidRPr="00D20AB2">
        <w:rPr>
          <w:rFonts w:ascii="Arial" w:hAnsi="Arial" w:cs="Arial"/>
          <w:szCs w:val="24"/>
        </w:rPr>
        <w:t>echnology</w:t>
      </w:r>
    </w:p>
    <w:p w14:paraId="6E1DEAE9" w14:textId="1BA36165" w:rsidR="00F00ACA" w:rsidRPr="00D20AB2" w:rsidRDefault="000376D2" w:rsidP="00F00ACA">
      <w:pPr>
        <w:pStyle w:val="ListParagraph"/>
        <w:numPr>
          <w:ilvl w:val="0"/>
          <w:numId w:val="70"/>
        </w:numPr>
        <w:autoSpaceDE w:val="0"/>
        <w:autoSpaceDN w:val="0"/>
        <w:adjustRightInd w:val="0"/>
        <w:rPr>
          <w:rFonts w:ascii="Arial" w:hAnsi="Arial" w:cs="Arial"/>
          <w:szCs w:val="24"/>
        </w:rPr>
      </w:pPr>
      <w:r w:rsidRPr="00D20AB2">
        <w:rPr>
          <w:rFonts w:ascii="Arial" w:hAnsi="Arial" w:cs="Arial"/>
          <w:szCs w:val="24"/>
        </w:rPr>
        <w:t>Climate / Environmental Impact</w:t>
      </w:r>
    </w:p>
    <w:p w14:paraId="5EC20642" w14:textId="5BF0B1DE" w:rsidR="000376D2" w:rsidRPr="00D20AB2" w:rsidRDefault="000376D2" w:rsidP="00F00ACA">
      <w:pPr>
        <w:pStyle w:val="ListParagraph"/>
        <w:numPr>
          <w:ilvl w:val="0"/>
          <w:numId w:val="70"/>
        </w:numPr>
        <w:autoSpaceDE w:val="0"/>
        <w:autoSpaceDN w:val="0"/>
        <w:adjustRightInd w:val="0"/>
        <w:rPr>
          <w:rFonts w:ascii="Arial" w:hAnsi="Arial" w:cs="Arial"/>
          <w:szCs w:val="24"/>
        </w:rPr>
      </w:pPr>
      <w:r w:rsidRPr="00D20AB2">
        <w:rPr>
          <w:rFonts w:ascii="Arial" w:hAnsi="Arial" w:cs="Arial"/>
          <w:szCs w:val="24"/>
        </w:rPr>
        <w:t>Operational Excellence</w:t>
      </w:r>
    </w:p>
    <w:p w14:paraId="1A109960" w14:textId="7FBB38BA" w:rsidR="003D64CB" w:rsidRPr="00D20AB2" w:rsidRDefault="003D64CB" w:rsidP="003D64CB">
      <w:pPr>
        <w:autoSpaceDE w:val="0"/>
        <w:autoSpaceDN w:val="0"/>
        <w:adjustRightInd w:val="0"/>
        <w:rPr>
          <w:rFonts w:ascii="Arial" w:hAnsi="Arial" w:cs="Arial"/>
          <w:sz w:val="24"/>
          <w:szCs w:val="24"/>
        </w:rPr>
      </w:pPr>
      <w:r w:rsidRPr="00D20AB2">
        <w:rPr>
          <w:rFonts w:ascii="Arial" w:hAnsi="Arial" w:cs="Arial"/>
          <w:sz w:val="24"/>
          <w:szCs w:val="24"/>
        </w:rPr>
        <w:t>A formal eight</w:t>
      </w:r>
      <w:r w:rsidR="00B41EBA" w:rsidRPr="00D20AB2">
        <w:rPr>
          <w:rFonts w:ascii="Arial" w:hAnsi="Arial" w:cs="Arial"/>
          <w:sz w:val="24"/>
          <w:szCs w:val="24"/>
        </w:rPr>
        <w:t>-</w:t>
      </w:r>
      <w:r w:rsidRPr="00D20AB2">
        <w:rPr>
          <w:rFonts w:ascii="Arial" w:hAnsi="Arial" w:cs="Arial"/>
          <w:sz w:val="24"/>
          <w:szCs w:val="24"/>
        </w:rPr>
        <w:t xml:space="preserve">week consultation period </w:t>
      </w:r>
      <w:r w:rsidR="001062FE" w:rsidRPr="00D20AB2">
        <w:rPr>
          <w:rFonts w:ascii="Arial" w:hAnsi="Arial" w:cs="Arial"/>
          <w:sz w:val="24"/>
          <w:szCs w:val="24"/>
        </w:rPr>
        <w:t>concluded at the end of 2024, having successfully gathered valuable input across the Service and its communities.</w:t>
      </w:r>
      <w:r w:rsidR="007A1527" w:rsidRPr="00D20AB2">
        <w:rPr>
          <w:rFonts w:ascii="Arial" w:hAnsi="Arial" w:cs="Arial"/>
          <w:sz w:val="24"/>
          <w:szCs w:val="24"/>
        </w:rPr>
        <w:t xml:space="preserve"> This </w:t>
      </w:r>
      <w:r w:rsidR="007A1527" w:rsidRPr="00D20AB2">
        <w:rPr>
          <w:rFonts w:ascii="Arial" w:hAnsi="Arial" w:cs="Arial"/>
          <w:sz w:val="24"/>
          <w:szCs w:val="24"/>
        </w:rPr>
        <w:lastRenderedPageBreak/>
        <w:t>feedback has refined the final Plan</w:t>
      </w:r>
      <w:r w:rsidR="00933472" w:rsidRPr="00D20AB2">
        <w:rPr>
          <w:rFonts w:ascii="Arial" w:hAnsi="Arial" w:cs="Arial"/>
          <w:sz w:val="24"/>
          <w:szCs w:val="24"/>
        </w:rPr>
        <w:t xml:space="preserve">, ensuring that it accurately reflects the </w:t>
      </w:r>
      <w:r w:rsidR="00B41EBA" w:rsidRPr="00D20AB2">
        <w:rPr>
          <w:rFonts w:ascii="Arial" w:hAnsi="Arial" w:cs="Arial"/>
          <w:sz w:val="24"/>
          <w:szCs w:val="24"/>
        </w:rPr>
        <w:t>priorities</w:t>
      </w:r>
      <w:r w:rsidR="00933472" w:rsidRPr="00D20AB2">
        <w:rPr>
          <w:rFonts w:ascii="Arial" w:hAnsi="Arial" w:cs="Arial"/>
          <w:sz w:val="24"/>
          <w:szCs w:val="24"/>
        </w:rPr>
        <w:t xml:space="preserve"> and needs </w:t>
      </w:r>
      <w:r w:rsidR="00B41EBA" w:rsidRPr="00D20AB2">
        <w:rPr>
          <w:rFonts w:ascii="Arial" w:hAnsi="Arial" w:cs="Arial"/>
          <w:sz w:val="24"/>
          <w:szCs w:val="24"/>
        </w:rPr>
        <w:t>of Shropshire’s diverse communities.</w:t>
      </w:r>
    </w:p>
    <w:p w14:paraId="558E2C00" w14:textId="77777777" w:rsidR="00B41EBA" w:rsidRPr="00D20AB2" w:rsidRDefault="00B41EBA" w:rsidP="003D64CB">
      <w:pPr>
        <w:autoSpaceDE w:val="0"/>
        <w:autoSpaceDN w:val="0"/>
        <w:adjustRightInd w:val="0"/>
        <w:rPr>
          <w:rFonts w:ascii="Arial" w:hAnsi="Arial" w:cs="Arial"/>
          <w:sz w:val="24"/>
          <w:szCs w:val="24"/>
        </w:rPr>
      </w:pPr>
    </w:p>
    <w:p w14:paraId="51DC203A" w14:textId="32C5AEA7" w:rsidR="00B41EBA" w:rsidRPr="00D20AB2" w:rsidRDefault="00593A70" w:rsidP="003D64CB">
      <w:pPr>
        <w:autoSpaceDE w:val="0"/>
        <w:autoSpaceDN w:val="0"/>
        <w:adjustRightInd w:val="0"/>
        <w:rPr>
          <w:rFonts w:ascii="Arial" w:hAnsi="Arial" w:cs="Arial"/>
          <w:sz w:val="24"/>
          <w:szCs w:val="24"/>
        </w:rPr>
      </w:pPr>
      <w:r w:rsidRPr="00D20AB2">
        <w:rPr>
          <w:rFonts w:ascii="Arial" w:hAnsi="Arial" w:cs="Arial"/>
          <w:sz w:val="24"/>
          <w:szCs w:val="24"/>
        </w:rPr>
        <w:t xml:space="preserve">The CRMP has </w:t>
      </w:r>
      <w:r w:rsidR="00BC17B5" w:rsidRPr="00D20AB2">
        <w:rPr>
          <w:rFonts w:ascii="Arial" w:hAnsi="Arial" w:cs="Arial"/>
          <w:sz w:val="24"/>
          <w:szCs w:val="24"/>
        </w:rPr>
        <w:t>identified seven priorities:</w:t>
      </w:r>
    </w:p>
    <w:p w14:paraId="35308908" w14:textId="77777777" w:rsidR="00BC17B5" w:rsidRPr="00D20AB2" w:rsidRDefault="00BC17B5" w:rsidP="003D64CB">
      <w:pPr>
        <w:autoSpaceDE w:val="0"/>
        <w:autoSpaceDN w:val="0"/>
        <w:adjustRightInd w:val="0"/>
        <w:rPr>
          <w:rFonts w:ascii="Arial" w:hAnsi="Arial" w:cs="Arial"/>
          <w:sz w:val="24"/>
          <w:szCs w:val="24"/>
        </w:rPr>
      </w:pPr>
    </w:p>
    <w:p w14:paraId="54663CE5" w14:textId="4184C779" w:rsidR="00BC17B5" w:rsidRPr="00D20AB2" w:rsidRDefault="00BC17B5" w:rsidP="003D64CB">
      <w:pPr>
        <w:autoSpaceDE w:val="0"/>
        <w:autoSpaceDN w:val="0"/>
        <w:adjustRightInd w:val="0"/>
        <w:rPr>
          <w:rFonts w:ascii="Arial" w:hAnsi="Arial" w:cs="Arial"/>
          <w:sz w:val="24"/>
          <w:szCs w:val="24"/>
        </w:rPr>
      </w:pPr>
      <w:r w:rsidRPr="00D20AB2">
        <w:rPr>
          <w:rFonts w:ascii="Arial" w:hAnsi="Arial" w:cs="Arial"/>
          <w:sz w:val="24"/>
          <w:szCs w:val="24"/>
        </w:rPr>
        <w:t>Priority 1</w:t>
      </w:r>
      <w:r w:rsidR="00391156" w:rsidRPr="00D20AB2">
        <w:rPr>
          <w:rFonts w:ascii="Arial" w:hAnsi="Arial" w:cs="Arial"/>
          <w:sz w:val="24"/>
          <w:szCs w:val="24"/>
        </w:rPr>
        <w:t xml:space="preserve"> - Meeting the challenges of a changing community</w:t>
      </w:r>
    </w:p>
    <w:p w14:paraId="2B06EE44" w14:textId="19A47B7D" w:rsidR="00391156" w:rsidRPr="00D20AB2" w:rsidRDefault="00391156" w:rsidP="003D64CB">
      <w:pPr>
        <w:autoSpaceDE w:val="0"/>
        <w:autoSpaceDN w:val="0"/>
        <w:adjustRightInd w:val="0"/>
        <w:rPr>
          <w:rFonts w:ascii="Arial" w:hAnsi="Arial" w:cs="Arial"/>
          <w:sz w:val="24"/>
          <w:szCs w:val="24"/>
        </w:rPr>
      </w:pPr>
      <w:r w:rsidRPr="00D20AB2">
        <w:rPr>
          <w:rFonts w:ascii="Arial" w:hAnsi="Arial" w:cs="Arial"/>
          <w:sz w:val="24"/>
          <w:szCs w:val="24"/>
        </w:rPr>
        <w:t xml:space="preserve">Priority 2 </w:t>
      </w:r>
      <w:r w:rsidR="000F3704" w:rsidRPr="00D20AB2">
        <w:rPr>
          <w:rFonts w:ascii="Arial" w:hAnsi="Arial" w:cs="Arial"/>
          <w:sz w:val="24"/>
          <w:szCs w:val="24"/>
        </w:rPr>
        <w:t>-</w:t>
      </w:r>
      <w:r w:rsidRPr="00D20AB2">
        <w:rPr>
          <w:rFonts w:ascii="Arial" w:hAnsi="Arial" w:cs="Arial"/>
          <w:sz w:val="24"/>
          <w:szCs w:val="24"/>
        </w:rPr>
        <w:t xml:space="preserve"> </w:t>
      </w:r>
      <w:r w:rsidR="000F3704" w:rsidRPr="00D20AB2">
        <w:rPr>
          <w:rFonts w:ascii="Arial" w:hAnsi="Arial" w:cs="Arial"/>
          <w:sz w:val="24"/>
          <w:szCs w:val="24"/>
        </w:rPr>
        <w:t>Adapting to the effects of climate change</w:t>
      </w:r>
    </w:p>
    <w:p w14:paraId="008B9628" w14:textId="2CC32B12" w:rsidR="000F3704" w:rsidRPr="00D20AB2" w:rsidRDefault="000F3704" w:rsidP="003D64CB">
      <w:pPr>
        <w:autoSpaceDE w:val="0"/>
        <w:autoSpaceDN w:val="0"/>
        <w:adjustRightInd w:val="0"/>
        <w:rPr>
          <w:rFonts w:ascii="Arial" w:hAnsi="Arial" w:cs="Arial"/>
          <w:sz w:val="24"/>
          <w:szCs w:val="24"/>
        </w:rPr>
      </w:pPr>
      <w:r w:rsidRPr="00D20AB2">
        <w:rPr>
          <w:rFonts w:ascii="Arial" w:hAnsi="Arial" w:cs="Arial"/>
          <w:sz w:val="24"/>
          <w:szCs w:val="24"/>
        </w:rPr>
        <w:t xml:space="preserve">Priority 3 – Meeting the challenges of </w:t>
      </w:r>
      <w:r w:rsidR="00307E11" w:rsidRPr="00D20AB2">
        <w:rPr>
          <w:rFonts w:ascii="Arial" w:hAnsi="Arial" w:cs="Arial"/>
          <w:sz w:val="24"/>
          <w:szCs w:val="24"/>
        </w:rPr>
        <w:t>climate change and expansion in Shrewsbury</w:t>
      </w:r>
    </w:p>
    <w:p w14:paraId="0BFB82A7" w14:textId="5790778A" w:rsidR="00307E11" w:rsidRPr="00D20AB2" w:rsidRDefault="00307E11" w:rsidP="003D64CB">
      <w:pPr>
        <w:autoSpaceDE w:val="0"/>
        <w:autoSpaceDN w:val="0"/>
        <w:adjustRightInd w:val="0"/>
        <w:rPr>
          <w:rFonts w:ascii="Arial" w:hAnsi="Arial" w:cs="Arial"/>
          <w:sz w:val="24"/>
          <w:szCs w:val="24"/>
        </w:rPr>
      </w:pPr>
      <w:r w:rsidRPr="00D20AB2">
        <w:rPr>
          <w:rFonts w:ascii="Arial" w:hAnsi="Arial" w:cs="Arial"/>
          <w:sz w:val="24"/>
          <w:szCs w:val="24"/>
        </w:rPr>
        <w:t>Priority 4 – Competence</w:t>
      </w:r>
    </w:p>
    <w:p w14:paraId="0630AB8C" w14:textId="3082B861" w:rsidR="00307E11" w:rsidRPr="00D20AB2" w:rsidRDefault="00D20AB2" w:rsidP="003D64CB">
      <w:pPr>
        <w:autoSpaceDE w:val="0"/>
        <w:autoSpaceDN w:val="0"/>
        <w:adjustRightInd w:val="0"/>
        <w:rPr>
          <w:rFonts w:ascii="Arial" w:hAnsi="Arial" w:cs="Arial"/>
          <w:sz w:val="24"/>
          <w:szCs w:val="24"/>
        </w:rPr>
      </w:pPr>
      <w:r w:rsidRPr="00D20AB2">
        <w:rPr>
          <w:rFonts w:ascii="Arial" w:hAnsi="Arial" w:cs="Arial"/>
          <w:sz w:val="24"/>
          <w:szCs w:val="24"/>
        </w:rPr>
        <w:t>Priority</w:t>
      </w:r>
      <w:r w:rsidR="00307E11" w:rsidRPr="00D20AB2">
        <w:rPr>
          <w:rFonts w:ascii="Arial" w:hAnsi="Arial" w:cs="Arial"/>
          <w:sz w:val="24"/>
          <w:szCs w:val="24"/>
        </w:rPr>
        <w:t xml:space="preserve"> 5 – Meeting the challenges of new energy systems</w:t>
      </w:r>
    </w:p>
    <w:p w14:paraId="7F3A294D" w14:textId="280F1A6F" w:rsidR="00307E11" w:rsidRPr="00D20AB2" w:rsidRDefault="00307E11" w:rsidP="003D64CB">
      <w:pPr>
        <w:autoSpaceDE w:val="0"/>
        <w:autoSpaceDN w:val="0"/>
        <w:adjustRightInd w:val="0"/>
        <w:rPr>
          <w:rFonts w:ascii="Arial" w:hAnsi="Arial" w:cs="Arial"/>
          <w:sz w:val="24"/>
          <w:szCs w:val="24"/>
        </w:rPr>
      </w:pPr>
      <w:r w:rsidRPr="00D20AB2">
        <w:rPr>
          <w:rFonts w:ascii="Arial" w:hAnsi="Arial" w:cs="Arial"/>
          <w:sz w:val="24"/>
          <w:szCs w:val="24"/>
        </w:rPr>
        <w:t xml:space="preserve">Priority 6 </w:t>
      </w:r>
      <w:r w:rsidR="002729D4" w:rsidRPr="00D20AB2">
        <w:rPr>
          <w:rFonts w:ascii="Arial" w:hAnsi="Arial" w:cs="Arial"/>
          <w:sz w:val="24"/>
          <w:szCs w:val="24"/>
        </w:rPr>
        <w:t>–</w:t>
      </w:r>
      <w:r w:rsidRPr="00D20AB2">
        <w:rPr>
          <w:rFonts w:ascii="Arial" w:hAnsi="Arial" w:cs="Arial"/>
          <w:sz w:val="24"/>
          <w:szCs w:val="24"/>
        </w:rPr>
        <w:t xml:space="preserve"> </w:t>
      </w:r>
      <w:r w:rsidR="002729D4" w:rsidRPr="00D20AB2">
        <w:rPr>
          <w:rFonts w:ascii="Arial" w:hAnsi="Arial" w:cs="Arial"/>
          <w:sz w:val="24"/>
          <w:szCs w:val="24"/>
        </w:rPr>
        <w:t>Fire Service attendance standard</w:t>
      </w:r>
    </w:p>
    <w:p w14:paraId="504AEBF6" w14:textId="11ABEE26" w:rsidR="002729D4" w:rsidRPr="00D20AB2" w:rsidRDefault="002729D4" w:rsidP="003D64CB">
      <w:pPr>
        <w:autoSpaceDE w:val="0"/>
        <w:autoSpaceDN w:val="0"/>
        <w:adjustRightInd w:val="0"/>
        <w:rPr>
          <w:rFonts w:ascii="Arial" w:hAnsi="Arial" w:cs="Arial"/>
          <w:sz w:val="24"/>
          <w:szCs w:val="24"/>
        </w:rPr>
      </w:pPr>
      <w:r w:rsidRPr="00D20AB2">
        <w:rPr>
          <w:rFonts w:ascii="Arial" w:hAnsi="Arial" w:cs="Arial"/>
          <w:sz w:val="24"/>
          <w:szCs w:val="24"/>
        </w:rPr>
        <w:t>Priority 7 – Strategic aerial appliance capability</w:t>
      </w:r>
    </w:p>
    <w:p w14:paraId="13BD4C48" w14:textId="77777777" w:rsidR="009935DF" w:rsidRPr="00D20AB2" w:rsidRDefault="009935DF" w:rsidP="002A7C01">
      <w:pPr>
        <w:autoSpaceDE w:val="0"/>
        <w:autoSpaceDN w:val="0"/>
        <w:adjustRightInd w:val="0"/>
        <w:rPr>
          <w:rFonts w:ascii="Arial" w:hAnsi="Arial" w:cs="Arial"/>
          <w:sz w:val="24"/>
          <w:szCs w:val="24"/>
        </w:rPr>
      </w:pPr>
    </w:p>
    <w:p w14:paraId="4CC2488E" w14:textId="09003CE5" w:rsidR="009935DF" w:rsidRPr="00D20AB2" w:rsidRDefault="00D20AB2" w:rsidP="002A7C01">
      <w:pPr>
        <w:autoSpaceDE w:val="0"/>
        <w:autoSpaceDN w:val="0"/>
        <w:adjustRightInd w:val="0"/>
        <w:rPr>
          <w:rFonts w:ascii="Arial" w:hAnsi="Arial" w:cs="Arial"/>
          <w:sz w:val="24"/>
          <w:szCs w:val="24"/>
        </w:rPr>
      </w:pPr>
      <w:r w:rsidRPr="00D20AB2">
        <w:rPr>
          <w:rFonts w:ascii="Arial" w:hAnsi="Arial" w:cs="Arial"/>
          <w:sz w:val="24"/>
          <w:szCs w:val="24"/>
        </w:rPr>
        <w:t>Work will begin on these projects during 2025.</w:t>
      </w:r>
    </w:p>
    <w:p w14:paraId="70F984D7" w14:textId="77777777" w:rsidR="009935DF" w:rsidRDefault="009935DF" w:rsidP="002A7C01">
      <w:pPr>
        <w:autoSpaceDE w:val="0"/>
        <w:autoSpaceDN w:val="0"/>
        <w:adjustRightInd w:val="0"/>
        <w:rPr>
          <w:rFonts w:ascii="Arial" w:hAnsi="Arial" w:cs="Arial"/>
          <w:color w:val="FF0000"/>
          <w:sz w:val="24"/>
          <w:szCs w:val="24"/>
        </w:rPr>
      </w:pPr>
    </w:p>
    <w:p w14:paraId="6462594A" w14:textId="06C3B8B2" w:rsidR="00935E2F" w:rsidRDefault="00935E2F" w:rsidP="002A7C01">
      <w:pPr>
        <w:autoSpaceDE w:val="0"/>
        <w:autoSpaceDN w:val="0"/>
        <w:adjustRightInd w:val="0"/>
        <w:rPr>
          <w:rFonts w:ascii="Arial" w:hAnsi="Arial" w:cs="Arial"/>
          <w:b/>
          <w:bCs/>
          <w:sz w:val="24"/>
          <w:szCs w:val="24"/>
        </w:rPr>
      </w:pPr>
      <w:r w:rsidRPr="00935E2F">
        <w:rPr>
          <w:rFonts w:ascii="Arial" w:hAnsi="Arial" w:cs="Arial"/>
          <w:b/>
          <w:bCs/>
          <w:sz w:val="24"/>
          <w:szCs w:val="24"/>
        </w:rPr>
        <w:t xml:space="preserve">Service </w:t>
      </w:r>
      <w:r w:rsidR="00A3384F">
        <w:rPr>
          <w:rFonts w:ascii="Arial" w:hAnsi="Arial" w:cs="Arial"/>
          <w:b/>
          <w:bCs/>
          <w:sz w:val="24"/>
          <w:szCs w:val="24"/>
        </w:rPr>
        <w:t>Res</w:t>
      </w:r>
      <w:r w:rsidRPr="00935E2F">
        <w:rPr>
          <w:rFonts w:ascii="Arial" w:hAnsi="Arial" w:cs="Arial"/>
          <w:b/>
          <w:bCs/>
          <w:sz w:val="24"/>
          <w:szCs w:val="24"/>
        </w:rPr>
        <w:t xml:space="preserve">tructure </w:t>
      </w:r>
    </w:p>
    <w:p w14:paraId="08B07D84" w14:textId="77777777" w:rsidR="00935E2F" w:rsidRDefault="00935E2F" w:rsidP="002A7C01">
      <w:pPr>
        <w:autoSpaceDE w:val="0"/>
        <w:autoSpaceDN w:val="0"/>
        <w:adjustRightInd w:val="0"/>
        <w:rPr>
          <w:rFonts w:ascii="Arial" w:hAnsi="Arial" w:cs="Arial"/>
          <w:b/>
          <w:bCs/>
          <w:sz w:val="24"/>
          <w:szCs w:val="24"/>
        </w:rPr>
      </w:pPr>
    </w:p>
    <w:p w14:paraId="28019184" w14:textId="4115FB25" w:rsidR="009D1F66" w:rsidRDefault="00A3384F" w:rsidP="002A7C01">
      <w:pPr>
        <w:autoSpaceDE w:val="0"/>
        <w:autoSpaceDN w:val="0"/>
        <w:adjustRightInd w:val="0"/>
        <w:rPr>
          <w:rFonts w:ascii="Arial" w:hAnsi="Arial" w:cs="Arial"/>
          <w:sz w:val="24"/>
          <w:szCs w:val="24"/>
        </w:rPr>
      </w:pPr>
      <w:r>
        <w:rPr>
          <w:rFonts w:ascii="Arial" w:hAnsi="Arial" w:cs="Arial"/>
          <w:sz w:val="24"/>
          <w:szCs w:val="24"/>
        </w:rPr>
        <w:t xml:space="preserve">A Service restructure has been undertaken in response </w:t>
      </w:r>
      <w:r w:rsidR="0036311A">
        <w:rPr>
          <w:rFonts w:ascii="Arial" w:hAnsi="Arial" w:cs="Arial"/>
          <w:sz w:val="24"/>
          <w:szCs w:val="24"/>
        </w:rPr>
        <w:t>to feedback from staff, His Majesty’s Inspectorate of Constabulary and Fire and Rescue Services (HMICFRS)</w:t>
      </w:r>
      <w:r w:rsidR="00F93391">
        <w:rPr>
          <w:rFonts w:ascii="Arial" w:hAnsi="Arial" w:cs="Arial"/>
          <w:sz w:val="24"/>
          <w:szCs w:val="24"/>
        </w:rPr>
        <w:t xml:space="preserve">, and the senior management team. The aim of the restructure is to ensure that </w:t>
      </w:r>
      <w:r w:rsidR="00223CE4">
        <w:rPr>
          <w:rFonts w:ascii="Arial" w:hAnsi="Arial" w:cs="Arial"/>
          <w:sz w:val="24"/>
          <w:szCs w:val="24"/>
        </w:rPr>
        <w:t xml:space="preserve">the Service and the Fire Authority are positioned to deliver statutory </w:t>
      </w:r>
      <w:r w:rsidR="001263BA">
        <w:rPr>
          <w:rFonts w:ascii="Arial" w:hAnsi="Arial" w:cs="Arial"/>
          <w:sz w:val="24"/>
          <w:szCs w:val="24"/>
        </w:rPr>
        <w:t>responsibilities, strategic goals and the Community Risk Management Plan (CRMP).</w:t>
      </w:r>
    </w:p>
    <w:p w14:paraId="45BCDB2C" w14:textId="77777777" w:rsidR="00E619D3" w:rsidRDefault="00E619D3" w:rsidP="002A7C01">
      <w:pPr>
        <w:autoSpaceDE w:val="0"/>
        <w:autoSpaceDN w:val="0"/>
        <w:adjustRightInd w:val="0"/>
        <w:rPr>
          <w:rFonts w:ascii="Arial" w:hAnsi="Arial" w:cs="Arial"/>
          <w:sz w:val="24"/>
          <w:szCs w:val="24"/>
        </w:rPr>
      </w:pPr>
    </w:p>
    <w:p w14:paraId="68ABBF4F" w14:textId="2ECAEF46" w:rsidR="00E619D3" w:rsidRDefault="00E619D3" w:rsidP="002A7C01">
      <w:pPr>
        <w:autoSpaceDE w:val="0"/>
        <w:autoSpaceDN w:val="0"/>
        <w:adjustRightInd w:val="0"/>
        <w:rPr>
          <w:rFonts w:ascii="Arial" w:hAnsi="Arial" w:cs="Arial"/>
          <w:sz w:val="24"/>
          <w:szCs w:val="24"/>
        </w:rPr>
      </w:pPr>
      <w:r w:rsidRPr="00E619D3">
        <w:rPr>
          <w:rFonts w:ascii="Arial" w:hAnsi="Arial" w:cs="Arial"/>
          <w:sz w:val="24"/>
          <w:szCs w:val="24"/>
        </w:rPr>
        <w:t>The restructure includes key areas of investment such as health and safety, ICT, and human resources. A review identified gaps in leadership, resource management, and digital transformation, leading to targeted investment to enhance service resilience and risk reduction.</w:t>
      </w:r>
    </w:p>
    <w:p w14:paraId="5169B7B1" w14:textId="77777777" w:rsidR="00E619D3" w:rsidRPr="00E619D3" w:rsidRDefault="00E619D3" w:rsidP="002A7C01">
      <w:pPr>
        <w:autoSpaceDE w:val="0"/>
        <w:autoSpaceDN w:val="0"/>
        <w:adjustRightInd w:val="0"/>
        <w:rPr>
          <w:rFonts w:ascii="Arial" w:hAnsi="Arial" w:cs="Arial"/>
          <w:sz w:val="24"/>
          <w:szCs w:val="24"/>
        </w:rPr>
      </w:pPr>
    </w:p>
    <w:p w14:paraId="08F546D2" w14:textId="433F3E00" w:rsidR="009D1F66" w:rsidRDefault="009D1F66" w:rsidP="002A7C01">
      <w:pPr>
        <w:autoSpaceDE w:val="0"/>
        <w:autoSpaceDN w:val="0"/>
        <w:adjustRightInd w:val="0"/>
        <w:rPr>
          <w:rFonts w:ascii="Arial" w:hAnsi="Arial" w:cs="Arial"/>
          <w:sz w:val="24"/>
          <w:szCs w:val="24"/>
        </w:rPr>
      </w:pPr>
      <w:r>
        <w:rPr>
          <w:rFonts w:ascii="Arial" w:hAnsi="Arial" w:cs="Arial"/>
          <w:sz w:val="24"/>
          <w:szCs w:val="24"/>
        </w:rPr>
        <w:t xml:space="preserve">The proposed changes are designed to </w:t>
      </w:r>
      <w:r w:rsidR="003B464E">
        <w:rPr>
          <w:rFonts w:ascii="Arial" w:hAnsi="Arial" w:cs="Arial"/>
          <w:sz w:val="24"/>
          <w:szCs w:val="24"/>
        </w:rPr>
        <w:t>enhance service efficiency, governance, workforce development and operational effectiveness</w:t>
      </w:r>
      <w:r w:rsidR="00721AB2">
        <w:rPr>
          <w:rFonts w:ascii="Arial" w:hAnsi="Arial" w:cs="Arial"/>
          <w:sz w:val="24"/>
          <w:szCs w:val="24"/>
        </w:rPr>
        <w:t>, ensuring the Service is well equipped to meet the evolving needs of the communities of Shropshire, while delivering value for money.</w:t>
      </w:r>
    </w:p>
    <w:p w14:paraId="04DC43BC" w14:textId="66875AC2" w:rsidR="00D20AB2" w:rsidRDefault="00D20AB2" w:rsidP="002A7C01">
      <w:pPr>
        <w:autoSpaceDE w:val="0"/>
        <w:autoSpaceDN w:val="0"/>
        <w:adjustRightInd w:val="0"/>
        <w:rPr>
          <w:rFonts w:ascii="Arial" w:hAnsi="Arial" w:cs="Arial"/>
          <w:color w:val="FF0000"/>
          <w:sz w:val="24"/>
          <w:szCs w:val="24"/>
        </w:rPr>
      </w:pPr>
    </w:p>
    <w:p w14:paraId="247D8C92" w14:textId="4E31905C" w:rsidR="001701DA" w:rsidRPr="00C1452D" w:rsidRDefault="001701DA" w:rsidP="00291C79">
      <w:pPr>
        <w:autoSpaceDE w:val="0"/>
        <w:autoSpaceDN w:val="0"/>
        <w:adjustRightInd w:val="0"/>
        <w:rPr>
          <w:rFonts w:ascii="Arial" w:hAnsi="Arial" w:cs="Arial"/>
          <w:b/>
          <w:bCs/>
          <w:sz w:val="24"/>
          <w:szCs w:val="24"/>
        </w:rPr>
      </w:pPr>
      <w:r w:rsidRPr="00C1452D">
        <w:rPr>
          <w:rFonts w:ascii="Arial" w:hAnsi="Arial" w:cs="Arial"/>
          <w:b/>
          <w:bCs/>
          <w:sz w:val="24"/>
          <w:szCs w:val="24"/>
        </w:rPr>
        <w:t>Local Government Reorganisation</w:t>
      </w:r>
    </w:p>
    <w:p w14:paraId="552FF780" w14:textId="77777777" w:rsidR="001701DA" w:rsidRPr="00C1452D" w:rsidRDefault="001701DA" w:rsidP="00291C79">
      <w:pPr>
        <w:autoSpaceDE w:val="0"/>
        <w:autoSpaceDN w:val="0"/>
        <w:adjustRightInd w:val="0"/>
        <w:rPr>
          <w:rFonts w:ascii="Arial" w:hAnsi="Arial" w:cs="Arial"/>
          <w:b/>
          <w:bCs/>
          <w:sz w:val="24"/>
          <w:szCs w:val="24"/>
        </w:rPr>
      </w:pPr>
    </w:p>
    <w:p w14:paraId="10DEAF92" w14:textId="1DFC222A" w:rsidR="003A5908" w:rsidRPr="00C1452D" w:rsidRDefault="00A16ED5" w:rsidP="00291C79">
      <w:pPr>
        <w:autoSpaceDE w:val="0"/>
        <w:autoSpaceDN w:val="0"/>
        <w:adjustRightInd w:val="0"/>
        <w:rPr>
          <w:rFonts w:ascii="Arial" w:hAnsi="Arial" w:cs="Arial"/>
          <w:sz w:val="24"/>
          <w:szCs w:val="24"/>
        </w:rPr>
      </w:pPr>
      <w:r w:rsidRPr="00C1452D">
        <w:rPr>
          <w:rFonts w:ascii="Arial" w:hAnsi="Arial" w:cs="Arial"/>
          <w:sz w:val="24"/>
          <w:szCs w:val="24"/>
        </w:rPr>
        <w:t xml:space="preserve">In December 2024 the </w:t>
      </w:r>
      <w:r w:rsidR="003C5888" w:rsidRPr="00C1452D">
        <w:rPr>
          <w:rFonts w:ascii="Arial" w:hAnsi="Arial" w:cs="Arial"/>
          <w:sz w:val="24"/>
          <w:szCs w:val="24"/>
        </w:rPr>
        <w:t>G</w:t>
      </w:r>
      <w:r w:rsidRPr="00C1452D">
        <w:rPr>
          <w:rFonts w:ascii="Arial" w:hAnsi="Arial" w:cs="Arial"/>
          <w:sz w:val="24"/>
          <w:szCs w:val="24"/>
        </w:rPr>
        <w:t xml:space="preserve">overnment published its </w:t>
      </w:r>
      <w:r w:rsidR="003E651E" w:rsidRPr="00C1452D">
        <w:rPr>
          <w:rFonts w:ascii="Arial" w:hAnsi="Arial" w:cs="Arial"/>
          <w:sz w:val="24"/>
          <w:szCs w:val="24"/>
        </w:rPr>
        <w:t xml:space="preserve">English Devolution White Paper, </w:t>
      </w:r>
      <w:r w:rsidR="00D83B94" w:rsidRPr="00C1452D">
        <w:rPr>
          <w:rFonts w:ascii="Arial" w:hAnsi="Arial" w:cs="Arial"/>
          <w:sz w:val="24"/>
          <w:szCs w:val="24"/>
        </w:rPr>
        <w:t xml:space="preserve">which set out its </w:t>
      </w:r>
      <w:r w:rsidR="00DE4343" w:rsidRPr="00C1452D">
        <w:rPr>
          <w:rFonts w:ascii="Arial" w:hAnsi="Arial" w:cs="Arial"/>
          <w:sz w:val="24"/>
          <w:szCs w:val="24"/>
        </w:rPr>
        <w:t>approach to widening devolution across England</w:t>
      </w:r>
      <w:r w:rsidR="00F253D1" w:rsidRPr="00C1452D">
        <w:rPr>
          <w:rFonts w:ascii="Arial" w:hAnsi="Arial" w:cs="Arial"/>
          <w:sz w:val="24"/>
          <w:szCs w:val="24"/>
        </w:rPr>
        <w:t xml:space="preserve">. </w:t>
      </w:r>
      <w:r w:rsidR="00E13629" w:rsidRPr="00C1452D">
        <w:rPr>
          <w:rFonts w:ascii="Arial" w:hAnsi="Arial" w:cs="Arial"/>
          <w:sz w:val="24"/>
          <w:szCs w:val="24"/>
        </w:rPr>
        <w:t xml:space="preserve">The document set out plans to move away from the two tier system of district and county </w:t>
      </w:r>
      <w:r w:rsidR="00BC7A2A" w:rsidRPr="00C1452D">
        <w:rPr>
          <w:rFonts w:ascii="Arial" w:hAnsi="Arial" w:cs="Arial"/>
          <w:sz w:val="24"/>
          <w:szCs w:val="24"/>
        </w:rPr>
        <w:t>councils</w:t>
      </w:r>
      <w:r w:rsidR="00DA2C38" w:rsidRPr="00C1452D">
        <w:rPr>
          <w:rFonts w:ascii="Arial" w:hAnsi="Arial" w:cs="Arial"/>
          <w:sz w:val="24"/>
          <w:szCs w:val="24"/>
        </w:rPr>
        <w:t xml:space="preserve">, and allow new mayors to </w:t>
      </w:r>
      <w:r w:rsidR="00ED75AF" w:rsidRPr="00C1452D">
        <w:rPr>
          <w:rFonts w:ascii="Arial" w:hAnsi="Arial" w:cs="Arial"/>
          <w:sz w:val="24"/>
          <w:szCs w:val="24"/>
        </w:rPr>
        <w:t xml:space="preserve">have </w:t>
      </w:r>
      <w:r w:rsidR="00DA2C38" w:rsidRPr="00C1452D">
        <w:rPr>
          <w:rFonts w:ascii="Arial" w:hAnsi="Arial" w:cs="Arial"/>
          <w:sz w:val="24"/>
          <w:szCs w:val="24"/>
        </w:rPr>
        <w:t>access</w:t>
      </w:r>
      <w:r w:rsidR="00ED75AF" w:rsidRPr="00C1452D">
        <w:rPr>
          <w:rFonts w:ascii="Arial" w:hAnsi="Arial" w:cs="Arial"/>
          <w:sz w:val="24"/>
          <w:szCs w:val="24"/>
        </w:rPr>
        <w:t xml:space="preserve"> to </w:t>
      </w:r>
      <w:r w:rsidR="003A5908" w:rsidRPr="00C1452D">
        <w:rPr>
          <w:rFonts w:ascii="Arial" w:hAnsi="Arial" w:cs="Arial"/>
          <w:sz w:val="24"/>
          <w:szCs w:val="24"/>
        </w:rPr>
        <w:t>new powers and increased control.</w:t>
      </w:r>
    </w:p>
    <w:p w14:paraId="51ACADDD" w14:textId="77777777" w:rsidR="003A5908" w:rsidRPr="00C1452D" w:rsidRDefault="003A5908" w:rsidP="00291C79">
      <w:pPr>
        <w:autoSpaceDE w:val="0"/>
        <w:autoSpaceDN w:val="0"/>
        <w:adjustRightInd w:val="0"/>
        <w:rPr>
          <w:rFonts w:ascii="Arial" w:hAnsi="Arial" w:cs="Arial"/>
          <w:sz w:val="24"/>
          <w:szCs w:val="24"/>
        </w:rPr>
      </w:pPr>
    </w:p>
    <w:p w14:paraId="3C0E1A8C" w14:textId="3CC49615" w:rsidR="00ED6570" w:rsidRPr="00C1452D" w:rsidRDefault="00ED6570" w:rsidP="00291C79">
      <w:pPr>
        <w:autoSpaceDE w:val="0"/>
        <w:autoSpaceDN w:val="0"/>
        <w:adjustRightInd w:val="0"/>
        <w:rPr>
          <w:rFonts w:ascii="Arial" w:hAnsi="Arial" w:cs="Arial"/>
          <w:sz w:val="24"/>
          <w:szCs w:val="24"/>
        </w:rPr>
      </w:pPr>
      <w:r w:rsidRPr="00C1452D">
        <w:rPr>
          <w:rFonts w:ascii="Arial" w:hAnsi="Arial" w:cs="Arial"/>
          <w:sz w:val="24"/>
          <w:szCs w:val="24"/>
        </w:rPr>
        <w:t>Whilst the Fire Authority is not direct</w:t>
      </w:r>
      <w:r w:rsidR="00C1452D" w:rsidRPr="00C1452D">
        <w:rPr>
          <w:rFonts w:ascii="Arial" w:hAnsi="Arial" w:cs="Arial"/>
          <w:sz w:val="24"/>
          <w:szCs w:val="24"/>
        </w:rPr>
        <w:t>ly</w:t>
      </w:r>
      <w:r w:rsidRPr="00C1452D">
        <w:rPr>
          <w:rFonts w:ascii="Arial" w:hAnsi="Arial" w:cs="Arial"/>
          <w:sz w:val="24"/>
          <w:szCs w:val="24"/>
        </w:rPr>
        <w:t xml:space="preserve"> affected by the planned changes within the White Paper, </w:t>
      </w:r>
      <w:r w:rsidR="00C1452D" w:rsidRPr="00C1452D">
        <w:rPr>
          <w:rFonts w:ascii="Arial" w:hAnsi="Arial" w:cs="Arial"/>
          <w:sz w:val="24"/>
          <w:szCs w:val="24"/>
        </w:rPr>
        <w:t>the position will be monitored for any developments over the coming year.</w:t>
      </w:r>
      <w:r w:rsidRPr="00C1452D">
        <w:rPr>
          <w:rFonts w:ascii="Arial" w:hAnsi="Arial" w:cs="Arial"/>
          <w:sz w:val="24"/>
          <w:szCs w:val="24"/>
        </w:rPr>
        <w:t xml:space="preserve"> </w:t>
      </w:r>
    </w:p>
    <w:p w14:paraId="63C413C3" w14:textId="5CA79700" w:rsidR="00676EAD" w:rsidRPr="00C1452D" w:rsidRDefault="00DA2C38" w:rsidP="00291C79">
      <w:pPr>
        <w:autoSpaceDE w:val="0"/>
        <w:autoSpaceDN w:val="0"/>
        <w:adjustRightInd w:val="0"/>
        <w:rPr>
          <w:rFonts w:ascii="Arial" w:hAnsi="Arial" w:cs="Arial"/>
          <w:color w:val="FF0000"/>
          <w:sz w:val="24"/>
          <w:szCs w:val="24"/>
        </w:rPr>
      </w:pPr>
      <w:r>
        <w:rPr>
          <w:rFonts w:ascii="Arial" w:hAnsi="Arial" w:cs="Arial"/>
          <w:color w:val="FF0000"/>
          <w:sz w:val="24"/>
          <w:szCs w:val="24"/>
        </w:rPr>
        <w:t xml:space="preserve"> </w:t>
      </w:r>
    </w:p>
    <w:p w14:paraId="10F5277F" w14:textId="77777777" w:rsidR="00626BF4" w:rsidRPr="000D756E" w:rsidRDefault="00626BF4" w:rsidP="00626BF4">
      <w:pPr>
        <w:rPr>
          <w:rFonts w:ascii="Arial" w:hAnsi="Arial" w:cs="Arial"/>
          <w:b/>
          <w:sz w:val="26"/>
          <w:szCs w:val="26"/>
        </w:rPr>
      </w:pPr>
      <w:r w:rsidRPr="000D756E">
        <w:rPr>
          <w:rFonts w:ascii="Arial" w:hAnsi="Arial" w:cs="Arial"/>
          <w:b/>
          <w:sz w:val="26"/>
          <w:szCs w:val="26"/>
        </w:rPr>
        <w:t>The Financial Statements</w:t>
      </w:r>
    </w:p>
    <w:p w14:paraId="27F8F500" w14:textId="77777777" w:rsidR="00626BF4" w:rsidRPr="000D756E" w:rsidRDefault="00626BF4" w:rsidP="00626BF4">
      <w:pPr>
        <w:rPr>
          <w:rFonts w:ascii="Arial" w:hAnsi="Arial" w:cs="Arial"/>
          <w:sz w:val="24"/>
          <w:szCs w:val="24"/>
        </w:rPr>
      </w:pPr>
    </w:p>
    <w:p w14:paraId="16EB5711" w14:textId="5703C485" w:rsidR="00A940BD" w:rsidRPr="000D756E" w:rsidRDefault="00626BF4" w:rsidP="00626BF4">
      <w:pPr>
        <w:rPr>
          <w:rFonts w:ascii="Arial" w:hAnsi="Arial" w:cs="Arial"/>
          <w:sz w:val="24"/>
          <w:szCs w:val="24"/>
        </w:rPr>
      </w:pPr>
      <w:r w:rsidRPr="000D756E">
        <w:rPr>
          <w:rFonts w:ascii="Arial" w:hAnsi="Arial" w:cs="Arial"/>
          <w:sz w:val="24"/>
          <w:szCs w:val="24"/>
        </w:rPr>
        <w:t xml:space="preserve">The core financial statements are set out </w:t>
      </w:r>
      <w:r w:rsidRPr="009D1A82">
        <w:rPr>
          <w:rFonts w:ascii="Arial" w:hAnsi="Arial" w:cs="Arial"/>
          <w:sz w:val="24"/>
          <w:szCs w:val="24"/>
        </w:rPr>
        <w:t xml:space="preserve">on pages </w:t>
      </w:r>
      <w:r w:rsidR="009D1A82" w:rsidRPr="009D1A82">
        <w:rPr>
          <w:rFonts w:ascii="Arial" w:hAnsi="Arial" w:cs="Arial"/>
          <w:sz w:val="24"/>
          <w:szCs w:val="24"/>
        </w:rPr>
        <w:t>43</w:t>
      </w:r>
      <w:r w:rsidR="00A17310" w:rsidRPr="009D1A82">
        <w:rPr>
          <w:rFonts w:ascii="Arial" w:hAnsi="Arial" w:cs="Arial"/>
          <w:sz w:val="24"/>
          <w:szCs w:val="24"/>
        </w:rPr>
        <w:t xml:space="preserve"> </w:t>
      </w:r>
      <w:r w:rsidRPr="009D1A82">
        <w:rPr>
          <w:rFonts w:ascii="Arial" w:hAnsi="Arial" w:cs="Arial"/>
          <w:sz w:val="24"/>
          <w:szCs w:val="24"/>
        </w:rPr>
        <w:t>to</w:t>
      </w:r>
      <w:r w:rsidR="00D8177A" w:rsidRPr="009D1A82">
        <w:rPr>
          <w:rFonts w:ascii="Arial" w:hAnsi="Arial" w:cs="Arial"/>
          <w:sz w:val="24"/>
          <w:szCs w:val="24"/>
        </w:rPr>
        <w:t xml:space="preserve"> </w:t>
      </w:r>
      <w:r w:rsidR="009D1A82" w:rsidRPr="009D1A82">
        <w:rPr>
          <w:rFonts w:ascii="Arial" w:hAnsi="Arial" w:cs="Arial"/>
          <w:sz w:val="24"/>
          <w:szCs w:val="24"/>
        </w:rPr>
        <w:t>47</w:t>
      </w:r>
      <w:r w:rsidRPr="009D1A82">
        <w:rPr>
          <w:rFonts w:ascii="Arial" w:hAnsi="Arial" w:cs="Arial"/>
          <w:sz w:val="24"/>
          <w:szCs w:val="24"/>
        </w:rPr>
        <w:t xml:space="preserve"> and are supported</w:t>
      </w:r>
      <w:r w:rsidRPr="000D756E">
        <w:rPr>
          <w:rFonts w:ascii="Arial" w:hAnsi="Arial" w:cs="Arial"/>
          <w:sz w:val="24"/>
          <w:szCs w:val="24"/>
        </w:rPr>
        <w:t xml:space="preserve"> by a Statement of Accounting Policies. Explanatory notes follow the accounting statements.</w:t>
      </w:r>
    </w:p>
    <w:p w14:paraId="5E30BA9E" w14:textId="77777777" w:rsidR="00A940BD" w:rsidRPr="000D756E" w:rsidRDefault="00A940BD" w:rsidP="00626BF4">
      <w:pPr>
        <w:rPr>
          <w:rFonts w:ascii="Arial" w:hAnsi="Arial" w:cs="Arial"/>
          <w:sz w:val="24"/>
          <w:szCs w:val="24"/>
        </w:rPr>
      </w:pPr>
    </w:p>
    <w:p w14:paraId="7AD78B98" w14:textId="77777777" w:rsidR="00626BF4" w:rsidRPr="000D756E" w:rsidRDefault="00626BF4" w:rsidP="00626BF4">
      <w:pPr>
        <w:rPr>
          <w:rFonts w:ascii="Arial" w:hAnsi="Arial" w:cs="Arial"/>
          <w:sz w:val="24"/>
          <w:szCs w:val="24"/>
        </w:rPr>
      </w:pPr>
      <w:r w:rsidRPr="000D756E">
        <w:rPr>
          <w:rFonts w:ascii="Arial" w:hAnsi="Arial" w:cs="Arial"/>
          <w:sz w:val="24"/>
          <w:szCs w:val="24"/>
        </w:rPr>
        <w:t>The purpose of these core financial statements is given below.</w:t>
      </w:r>
    </w:p>
    <w:p w14:paraId="3A1346B9" w14:textId="77777777" w:rsidR="00626BF4" w:rsidRPr="000D756E" w:rsidRDefault="00626BF4" w:rsidP="00626BF4">
      <w:pPr>
        <w:rPr>
          <w:rFonts w:ascii="Arial" w:hAnsi="Arial" w:cs="Arial"/>
          <w:sz w:val="24"/>
          <w:szCs w:val="24"/>
        </w:rPr>
      </w:pPr>
    </w:p>
    <w:p w14:paraId="108CEE78" w14:textId="77777777" w:rsidR="00626BF4" w:rsidRPr="000D756E" w:rsidRDefault="00626BF4" w:rsidP="00626BF4">
      <w:pPr>
        <w:rPr>
          <w:rFonts w:ascii="Arial" w:hAnsi="Arial" w:cs="Arial"/>
          <w:sz w:val="24"/>
          <w:szCs w:val="24"/>
        </w:rPr>
      </w:pPr>
      <w:r w:rsidRPr="000D756E">
        <w:rPr>
          <w:rFonts w:ascii="Arial" w:hAnsi="Arial" w:cs="Arial"/>
          <w:b/>
          <w:sz w:val="24"/>
          <w:szCs w:val="24"/>
        </w:rPr>
        <w:t xml:space="preserve">Comprehensive Income and Expenditure Statement </w:t>
      </w:r>
      <w:r w:rsidRPr="000D756E">
        <w:rPr>
          <w:rFonts w:ascii="Arial" w:hAnsi="Arial" w:cs="Arial"/>
          <w:sz w:val="24"/>
          <w:szCs w:val="24"/>
        </w:rPr>
        <w:t>- This statement shows the accounting cost in the year of providing services in accordance with generally accepted accounting practices, rather than the amount to be funded from taxation to cover expenditure in accordance with regulations; this may be different from the accounting cost. The taxation position is shown in both the Expenditure and Funding Analysis and the Movement in Reserves Statement.</w:t>
      </w:r>
    </w:p>
    <w:p w14:paraId="09A51B1C" w14:textId="77777777" w:rsidR="00626BF4" w:rsidRPr="000D756E" w:rsidRDefault="00626BF4" w:rsidP="00626BF4">
      <w:pPr>
        <w:rPr>
          <w:rFonts w:ascii="Arial" w:hAnsi="Arial" w:cs="Arial"/>
          <w:sz w:val="24"/>
          <w:szCs w:val="24"/>
        </w:rPr>
      </w:pPr>
    </w:p>
    <w:p w14:paraId="1E0DA66A" w14:textId="77777777" w:rsidR="00626BF4" w:rsidRPr="000D756E" w:rsidRDefault="00626BF4" w:rsidP="00626BF4">
      <w:pPr>
        <w:rPr>
          <w:rFonts w:ascii="Arial" w:hAnsi="Arial" w:cs="Arial"/>
          <w:sz w:val="24"/>
          <w:szCs w:val="24"/>
        </w:rPr>
      </w:pPr>
      <w:r w:rsidRPr="000D756E">
        <w:rPr>
          <w:rFonts w:ascii="Arial" w:hAnsi="Arial" w:cs="Arial"/>
          <w:b/>
          <w:sz w:val="24"/>
          <w:szCs w:val="24"/>
        </w:rPr>
        <w:t>Movement in Reserves Statement</w:t>
      </w:r>
      <w:r w:rsidRPr="000D756E">
        <w:rPr>
          <w:rFonts w:ascii="Arial" w:hAnsi="Arial" w:cs="Arial"/>
          <w:sz w:val="24"/>
          <w:szCs w:val="24"/>
        </w:rPr>
        <w:t xml:space="preserve"> - This statement shows the movement in the year on the different reserves held by the Authority, analysed into usable reserves, which are those that can be applied to fund expenditure or reduce local taxation, and other reserves.</w:t>
      </w:r>
    </w:p>
    <w:p w14:paraId="0CB5EE8D" w14:textId="77777777" w:rsidR="00626BF4" w:rsidRPr="000D756E" w:rsidRDefault="00626BF4" w:rsidP="00626BF4">
      <w:pPr>
        <w:rPr>
          <w:rFonts w:ascii="Arial" w:hAnsi="Arial" w:cs="Arial"/>
          <w:sz w:val="24"/>
          <w:szCs w:val="24"/>
        </w:rPr>
      </w:pPr>
    </w:p>
    <w:p w14:paraId="3A8D59FC" w14:textId="77777777" w:rsidR="00626BF4" w:rsidRPr="000D756E" w:rsidRDefault="00626BF4" w:rsidP="00BD1F50">
      <w:pPr>
        <w:numPr>
          <w:ilvl w:val="0"/>
          <w:numId w:val="27"/>
        </w:numPr>
        <w:rPr>
          <w:rFonts w:ascii="Arial" w:hAnsi="Arial" w:cs="Arial"/>
          <w:sz w:val="24"/>
          <w:szCs w:val="24"/>
        </w:rPr>
      </w:pPr>
      <w:r w:rsidRPr="000D756E">
        <w:rPr>
          <w:rFonts w:ascii="Arial" w:hAnsi="Arial" w:cs="Arial"/>
          <w:sz w:val="24"/>
          <w:szCs w:val="24"/>
        </w:rPr>
        <w:t xml:space="preserve">The </w:t>
      </w:r>
      <w:r w:rsidR="00190D00" w:rsidRPr="000D756E">
        <w:rPr>
          <w:rFonts w:ascii="Arial" w:hAnsi="Arial" w:cs="Arial"/>
          <w:sz w:val="24"/>
          <w:szCs w:val="24"/>
        </w:rPr>
        <w:t>Total Comprehensive Income and Expenditure</w:t>
      </w:r>
      <w:r w:rsidRPr="000D756E">
        <w:rPr>
          <w:rFonts w:ascii="Arial" w:hAnsi="Arial" w:cs="Arial"/>
          <w:sz w:val="24"/>
          <w:szCs w:val="24"/>
        </w:rPr>
        <w:t xml:space="preserve"> line shows the true economic cost of providing the Authority’s services. These are different from the statutory amounts required to be charged to the General Fund Balance for council tax setting purposes.</w:t>
      </w:r>
    </w:p>
    <w:p w14:paraId="5BC1EC51" w14:textId="77777777" w:rsidR="00626BF4" w:rsidRPr="000D756E" w:rsidRDefault="00626BF4" w:rsidP="00BD1F50">
      <w:pPr>
        <w:numPr>
          <w:ilvl w:val="0"/>
          <w:numId w:val="27"/>
        </w:numPr>
        <w:rPr>
          <w:rFonts w:ascii="Arial" w:hAnsi="Arial" w:cs="Arial"/>
          <w:sz w:val="24"/>
          <w:szCs w:val="24"/>
        </w:rPr>
      </w:pPr>
      <w:r w:rsidRPr="000D756E">
        <w:rPr>
          <w:rFonts w:ascii="Arial" w:hAnsi="Arial" w:cs="Arial"/>
          <w:sz w:val="24"/>
          <w:szCs w:val="24"/>
        </w:rPr>
        <w:t>The Net Increase/Decrease before Transfers to Earmarked Reserves line shows the statutory General Fund balance before any discretionary transfers to or from earmarked reserves undertaken by the Authority.</w:t>
      </w:r>
    </w:p>
    <w:p w14:paraId="3993BC1D" w14:textId="77777777" w:rsidR="00626BF4" w:rsidRPr="000D756E" w:rsidRDefault="00626BF4" w:rsidP="00626BF4">
      <w:pPr>
        <w:rPr>
          <w:rFonts w:ascii="Arial" w:hAnsi="Arial" w:cs="Arial"/>
          <w:b/>
          <w:sz w:val="24"/>
          <w:szCs w:val="24"/>
        </w:rPr>
      </w:pPr>
    </w:p>
    <w:p w14:paraId="73A47275" w14:textId="77777777" w:rsidR="00626BF4" w:rsidRPr="000D756E" w:rsidRDefault="00626BF4" w:rsidP="00626BF4">
      <w:pPr>
        <w:rPr>
          <w:rFonts w:ascii="Arial" w:hAnsi="Arial" w:cs="Arial"/>
          <w:sz w:val="24"/>
          <w:szCs w:val="24"/>
        </w:rPr>
      </w:pPr>
      <w:r w:rsidRPr="000D756E">
        <w:rPr>
          <w:rFonts w:ascii="Arial" w:hAnsi="Arial" w:cs="Arial"/>
          <w:b/>
          <w:sz w:val="24"/>
          <w:szCs w:val="24"/>
        </w:rPr>
        <w:t>Balance Sheet</w:t>
      </w:r>
      <w:r w:rsidRPr="000D756E">
        <w:rPr>
          <w:rFonts w:ascii="Arial" w:hAnsi="Arial" w:cs="Arial"/>
          <w:sz w:val="24"/>
          <w:szCs w:val="24"/>
        </w:rPr>
        <w:t xml:space="preserve"> - This shows the value, as at the balance sheet date, of the assets and liabilities recognised by the Authority. The net assets of the Authority (assets less liabilities) are matched by the reserves held. Reserves are held in two categories:</w:t>
      </w:r>
    </w:p>
    <w:p w14:paraId="06C7EF1D" w14:textId="77777777" w:rsidR="00626BF4" w:rsidRPr="000D756E" w:rsidRDefault="00626BF4" w:rsidP="00626BF4">
      <w:pPr>
        <w:rPr>
          <w:rFonts w:ascii="Arial" w:hAnsi="Arial" w:cs="Arial"/>
          <w:sz w:val="24"/>
          <w:szCs w:val="24"/>
        </w:rPr>
      </w:pPr>
    </w:p>
    <w:p w14:paraId="3F2CE1B5" w14:textId="77777777" w:rsidR="00626BF4" w:rsidRPr="000D756E" w:rsidRDefault="00626BF4" w:rsidP="00BD1F50">
      <w:pPr>
        <w:numPr>
          <w:ilvl w:val="0"/>
          <w:numId w:val="29"/>
        </w:numPr>
        <w:rPr>
          <w:rFonts w:ascii="Arial" w:hAnsi="Arial" w:cs="Arial"/>
          <w:sz w:val="24"/>
          <w:szCs w:val="24"/>
        </w:rPr>
      </w:pPr>
      <w:r w:rsidRPr="000D756E">
        <w:rPr>
          <w:rFonts w:ascii="Arial" w:hAnsi="Arial" w:cs="Arial"/>
          <w:sz w:val="24"/>
          <w:szCs w:val="24"/>
        </w:rPr>
        <w:t>Usable reserves – those that the Authority may use to provide services, subject to the need to maintain a prudent level of reserves and any statutory limitations on their use;</w:t>
      </w:r>
    </w:p>
    <w:p w14:paraId="37DBC31B" w14:textId="77777777" w:rsidR="00626BF4" w:rsidRPr="000D756E" w:rsidRDefault="00626BF4" w:rsidP="00BD1F50">
      <w:pPr>
        <w:numPr>
          <w:ilvl w:val="0"/>
          <w:numId w:val="29"/>
        </w:numPr>
        <w:rPr>
          <w:rFonts w:ascii="Arial" w:hAnsi="Arial" w:cs="Arial"/>
          <w:sz w:val="24"/>
          <w:szCs w:val="24"/>
        </w:rPr>
      </w:pPr>
      <w:r w:rsidRPr="000D756E">
        <w:rPr>
          <w:rFonts w:ascii="Arial" w:hAnsi="Arial" w:cs="Arial"/>
          <w:sz w:val="24"/>
          <w:szCs w:val="24"/>
        </w:rPr>
        <w:t>Unusable reserves – those that the Authority is not able to use to provide services. These reserves hold unrealised gains and losses until assets are sold (ie Revaluation Reserve) or contain timing differences (shown in the Movement in Reserves Statement line ‘Adjustments between accounting basis and funding basis under regulations’).</w:t>
      </w:r>
    </w:p>
    <w:p w14:paraId="04D8C14C" w14:textId="77777777" w:rsidR="00626BF4" w:rsidRPr="000D756E" w:rsidRDefault="00626BF4" w:rsidP="00626BF4">
      <w:pPr>
        <w:rPr>
          <w:rFonts w:ascii="Arial" w:hAnsi="Arial" w:cs="Arial"/>
          <w:sz w:val="24"/>
          <w:szCs w:val="24"/>
        </w:rPr>
      </w:pPr>
    </w:p>
    <w:p w14:paraId="0A7C35F6" w14:textId="77777777" w:rsidR="00626BF4" w:rsidRPr="000D756E" w:rsidRDefault="00626BF4" w:rsidP="00626BF4">
      <w:pPr>
        <w:rPr>
          <w:rFonts w:ascii="Arial" w:hAnsi="Arial" w:cs="Arial"/>
          <w:sz w:val="24"/>
          <w:szCs w:val="24"/>
        </w:rPr>
      </w:pPr>
      <w:r w:rsidRPr="000D756E">
        <w:rPr>
          <w:rFonts w:ascii="Arial" w:hAnsi="Arial" w:cs="Arial"/>
          <w:b/>
          <w:sz w:val="24"/>
          <w:szCs w:val="24"/>
        </w:rPr>
        <w:t>Cash Flow Statement</w:t>
      </w:r>
      <w:r w:rsidRPr="000D756E">
        <w:rPr>
          <w:rFonts w:ascii="Arial" w:hAnsi="Arial" w:cs="Arial"/>
          <w:sz w:val="24"/>
          <w:szCs w:val="24"/>
        </w:rPr>
        <w:t xml:space="preserve"> - This statement shows the changes in cash and cash equivalents of the Authority during the accounting period. The statement shows how the Authority generates and uses cash and cash equivalents by classifying cash flows as operating, investing and financing activities.</w:t>
      </w:r>
    </w:p>
    <w:p w14:paraId="5A2EDE6E" w14:textId="77777777" w:rsidR="00626BF4" w:rsidRPr="000D756E" w:rsidRDefault="00626BF4" w:rsidP="00626BF4">
      <w:pPr>
        <w:rPr>
          <w:rFonts w:ascii="Arial" w:hAnsi="Arial" w:cs="Arial"/>
          <w:sz w:val="24"/>
          <w:szCs w:val="24"/>
        </w:rPr>
      </w:pPr>
    </w:p>
    <w:p w14:paraId="5318076A" w14:textId="77777777" w:rsidR="00626BF4" w:rsidRPr="000D756E" w:rsidRDefault="00626BF4" w:rsidP="00BD1F50">
      <w:pPr>
        <w:numPr>
          <w:ilvl w:val="0"/>
          <w:numId w:val="28"/>
        </w:numPr>
        <w:rPr>
          <w:rFonts w:ascii="Arial" w:hAnsi="Arial" w:cs="Arial"/>
          <w:sz w:val="24"/>
          <w:szCs w:val="24"/>
        </w:rPr>
      </w:pPr>
      <w:r w:rsidRPr="000D756E">
        <w:rPr>
          <w:rFonts w:ascii="Arial" w:hAnsi="Arial" w:cs="Arial"/>
          <w:sz w:val="24"/>
          <w:szCs w:val="24"/>
        </w:rPr>
        <w:t>The amount of net cash flows generating from operating activities is a key indicator of the extent to which the operations of the Authority are funded by way of taxation and grant income or from the recipients of services provided by the Authority.</w:t>
      </w:r>
    </w:p>
    <w:p w14:paraId="5BE14519" w14:textId="77777777" w:rsidR="00626BF4" w:rsidRPr="000D756E" w:rsidRDefault="00626BF4" w:rsidP="00BD1F50">
      <w:pPr>
        <w:numPr>
          <w:ilvl w:val="0"/>
          <w:numId w:val="28"/>
        </w:numPr>
        <w:rPr>
          <w:rFonts w:ascii="Arial" w:hAnsi="Arial" w:cs="Arial"/>
          <w:sz w:val="24"/>
          <w:szCs w:val="24"/>
        </w:rPr>
      </w:pPr>
      <w:r w:rsidRPr="000D756E">
        <w:rPr>
          <w:rFonts w:ascii="Arial" w:hAnsi="Arial" w:cs="Arial"/>
          <w:sz w:val="24"/>
          <w:szCs w:val="24"/>
        </w:rPr>
        <w:t>Investing activities represent the extent to which cash outflows have been made for resources which are intended to contribute to the Authority’s future service delivery.</w:t>
      </w:r>
    </w:p>
    <w:p w14:paraId="38BAC255" w14:textId="197E1919" w:rsidR="00EC717F" w:rsidRPr="000D756E" w:rsidRDefault="00626BF4" w:rsidP="00BD1F50">
      <w:pPr>
        <w:numPr>
          <w:ilvl w:val="0"/>
          <w:numId w:val="28"/>
        </w:numPr>
        <w:rPr>
          <w:rFonts w:ascii="Arial" w:hAnsi="Arial" w:cs="Arial"/>
          <w:sz w:val="24"/>
          <w:szCs w:val="24"/>
        </w:rPr>
      </w:pPr>
      <w:r w:rsidRPr="000D756E">
        <w:rPr>
          <w:rFonts w:ascii="Arial" w:hAnsi="Arial" w:cs="Arial"/>
          <w:sz w:val="24"/>
          <w:szCs w:val="24"/>
        </w:rPr>
        <w:t>Cash flows arising from financing activities are useful in predicting claims on future cash flows by providers of capital (ie borrowing) to the Authority.</w:t>
      </w:r>
    </w:p>
    <w:p w14:paraId="6718F118" w14:textId="77777777" w:rsidR="006F2CB1" w:rsidRPr="000D756E" w:rsidRDefault="006F2CB1" w:rsidP="002A7C01">
      <w:pPr>
        <w:autoSpaceDE w:val="0"/>
        <w:autoSpaceDN w:val="0"/>
        <w:adjustRightInd w:val="0"/>
        <w:rPr>
          <w:rFonts w:ascii="Arial" w:hAnsi="Arial" w:cs="Arial"/>
          <w:sz w:val="24"/>
          <w:szCs w:val="24"/>
        </w:rPr>
        <w:sectPr w:rsidR="006F2CB1" w:rsidRPr="000D756E" w:rsidSect="00540FFA">
          <w:headerReference w:type="default" r:id="rId22"/>
          <w:footerReference w:type="even" r:id="rId23"/>
          <w:headerReference w:type="first" r:id="rId24"/>
          <w:footerReference w:type="first" r:id="rId25"/>
          <w:pgSz w:w="11909" w:h="16834" w:code="9"/>
          <w:pgMar w:top="851" w:right="1440" w:bottom="851" w:left="1440" w:header="284" w:footer="737" w:gutter="0"/>
          <w:cols w:space="708"/>
          <w:titlePg/>
          <w:docGrid w:linePitch="360"/>
        </w:sectPr>
      </w:pPr>
    </w:p>
    <w:p w14:paraId="3DEA1F25" w14:textId="77777777" w:rsidR="008276C3" w:rsidRPr="000D756E" w:rsidRDefault="00673C01" w:rsidP="008276C3">
      <w:pPr>
        <w:textAlignment w:val="baseline"/>
        <w:rPr>
          <w:rFonts w:ascii="Arial" w:hAnsi="Arial" w:cs="Arial"/>
          <w:sz w:val="24"/>
          <w:szCs w:val="24"/>
          <w:lang w:eastAsia="en-GB"/>
        </w:rPr>
      </w:pPr>
      <w:r w:rsidRPr="000D756E">
        <w:rPr>
          <w:rFonts w:ascii="Arial" w:hAnsi="Arial" w:cs="Arial"/>
          <w:sz w:val="24"/>
          <w:szCs w:val="24"/>
          <w:lang w:eastAsia="en-GB"/>
        </w:rPr>
        <w:lastRenderedPageBreak/>
        <w:t> </w:t>
      </w:r>
      <w:r w:rsidR="008276C3" w:rsidRPr="000D756E">
        <w:rPr>
          <w:rFonts w:ascii="Arial" w:hAnsi="Arial" w:cs="Arial"/>
          <w:sz w:val="24"/>
          <w:szCs w:val="24"/>
          <w:lang w:eastAsia="en-GB"/>
        </w:rPr>
        <w:t> </w:t>
      </w:r>
      <w:r w:rsidR="008276C3" w:rsidRPr="000D756E">
        <w:rPr>
          <w:rFonts w:ascii="Arial" w:hAnsi="Arial" w:cs="Arial"/>
          <w:b/>
          <w:bCs/>
          <w:sz w:val="24"/>
          <w:szCs w:val="24"/>
          <w:lang w:eastAsia="en-GB"/>
        </w:rPr>
        <w:t>Scope of Responsibility</w:t>
      </w:r>
      <w:r w:rsidR="008276C3" w:rsidRPr="000D756E">
        <w:rPr>
          <w:rFonts w:ascii="Arial" w:hAnsi="Arial" w:cs="Arial"/>
          <w:sz w:val="24"/>
          <w:szCs w:val="24"/>
          <w:lang w:eastAsia="en-GB"/>
        </w:rPr>
        <w:t>  </w:t>
      </w:r>
    </w:p>
    <w:p w14:paraId="59B9AA01"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42BBC0DB"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Shropshire and Wrekin Fire and Rescue Authority is responsible for ensuring that its business is conducted in accordance with the law and proper standards, and that public money is safeguarded and properly accounted for, used economically, efficiently and effectively.  </w:t>
      </w:r>
    </w:p>
    <w:p w14:paraId="37E258E4"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0178F9AD"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Fire Authority also has a duty under the Local Government Act 1999 to make arrangements to secure continuous improvement in the way in which its functions are exercised, having regard to a combination of economy, efficiency and effectiveness.  </w:t>
      </w:r>
    </w:p>
    <w:p w14:paraId="190F02F8"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6FF1A282"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In discharging this overall responsibility, the Fire Authority is responsible for putting in place proper arrangements for the governance of its affairs, facilitating the effective exercise of its functions, which includes arrangements for the management of risk.  </w:t>
      </w:r>
    </w:p>
    <w:p w14:paraId="23F44655"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6D3AF8BA"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Fire Authority has approved and adopted a Code of Corporate Governance, which is consistent with the principles of the CIPFA / SOLACE Framework ‘Delivering Good Governance in Local Government 2016’. </w:t>
      </w:r>
    </w:p>
    <w:p w14:paraId="0A64ED36"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5CECEAFC"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This Statement explains how the Fire Authority has complied with the Code and meets the requirements of the Accounts and Audit Regulations 2015 in relation to the publication of an Annual Governance Statement. </w:t>
      </w:r>
    </w:p>
    <w:p w14:paraId="07FFB27F"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776F69A8"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Accounts and Audit (Amendment) Regulation 2021 was passed to amend the dates by which the Statement of Accounts must be approved and published. </w:t>
      </w:r>
    </w:p>
    <w:p w14:paraId="083542BA"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7E4D943C"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The Purpose of the Governance Framework</w:t>
      </w:r>
      <w:r w:rsidRPr="000D756E">
        <w:rPr>
          <w:rFonts w:ascii="Arial" w:hAnsi="Arial" w:cs="Arial"/>
          <w:sz w:val="24"/>
          <w:szCs w:val="24"/>
          <w:lang w:eastAsia="en-GB"/>
        </w:rPr>
        <w:t> </w:t>
      </w:r>
    </w:p>
    <w:p w14:paraId="013CCA9F"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1435DCF4"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governance framework comprises the systems and processes, culture and values, by which the Fire Authority is directed and controlled, and the activities through which it accounts to, engages with, and leads the community.  It enables the Fire Authority to monitor the achievement of its strategic objectives and to consider whether those objectives have led to the delivery of appropriate, cost-effective services. </w:t>
      </w:r>
    </w:p>
    <w:p w14:paraId="716A300A"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11C1EC34"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system of internal control is a significant part of that framework and is designed to manage risk to a reasonable level.  It cannot eliminate all risk of failure to achieve policies, aims and objectives and can, therefore, only provide reasonable, and not absolute, assurance of effectiveness.  </w:t>
      </w:r>
    </w:p>
    <w:p w14:paraId="578F4CCC"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2F821A02"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system of internal control is based on an ongoing process designed to identify and prioritise the risks to the achievement of Shropshire and Wrekin Fire and Rescue Authority’s policies, aims and objectives, to evaluate the likelihood of those risks being realised and the impact, should they be realised, and to manage them efficiently, effectively and economically.  </w:t>
      </w:r>
    </w:p>
    <w:p w14:paraId="2D2C87C8"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2061E152"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lastRenderedPageBreak/>
        <w:t>The governance framework has been in place at Shropshire and Wrekin Fire and Rescue Authority for the period of the 202</w:t>
      </w:r>
      <w:r>
        <w:rPr>
          <w:rFonts w:ascii="Arial" w:hAnsi="Arial" w:cs="Arial"/>
          <w:sz w:val="24"/>
          <w:szCs w:val="24"/>
          <w:lang w:eastAsia="en-GB"/>
        </w:rPr>
        <w:t>4/25</w:t>
      </w:r>
      <w:r w:rsidRPr="000D756E">
        <w:rPr>
          <w:rFonts w:ascii="Arial" w:hAnsi="Arial" w:cs="Arial"/>
          <w:sz w:val="24"/>
          <w:szCs w:val="24"/>
          <w:lang w:eastAsia="en-GB"/>
        </w:rPr>
        <w:t xml:space="preserve"> accounts and up to the date of approval of the Annual Report and Statement of Accounts. </w:t>
      </w:r>
    </w:p>
    <w:p w14:paraId="660DBC36"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37FA5103"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The Governance Framework</w:t>
      </w:r>
      <w:r w:rsidRPr="000D756E">
        <w:rPr>
          <w:rFonts w:ascii="Arial" w:hAnsi="Arial" w:cs="Arial"/>
          <w:sz w:val="24"/>
          <w:szCs w:val="24"/>
          <w:lang w:eastAsia="en-GB"/>
        </w:rPr>
        <w:t>  </w:t>
      </w:r>
    </w:p>
    <w:p w14:paraId="1902C16D"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19C32434"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Fire Authority’s governance framework comprises many systems, policies, procedures and operations in place to: </w:t>
      </w:r>
    </w:p>
    <w:p w14:paraId="6E509BCE"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25762187"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identify and communicate the Authority’s vision of its purpose and intended outcomes for citizens and service users;  </w:t>
      </w:r>
    </w:p>
    <w:p w14:paraId="3FF0FCE7"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review the Authority’s vision and its implications for the Authority’s governance arrangements;  </w:t>
      </w:r>
    </w:p>
    <w:p w14:paraId="1B2300FD"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define and document the roles and responsibilities of the executive, non-executive, scrutiny and officer functions, with clear delegation arrangements and protocols for effective communication in respect of the Authority and partnership arrangements;  </w:t>
      </w:r>
    </w:p>
    <w:p w14:paraId="28E99FEF"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develop, communicate and embed codes of conduct, which define the standards of behaviour for members and staff;  </w:t>
      </w:r>
    </w:p>
    <w:p w14:paraId="25A96C3E"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review and update standing orders, standing financial instructions, the scheme of delegation and supporting procedure notes / manuals, which clearly define how decisions are taken and the processes and controls required to manage risks;  </w:t>
      </w:r>
    </w:p>
    <w:p w14:paraId="6FAA46E2"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ensure the Authority’s financial management arrangements conform with the governance requirements of the CIPFA Statement on the Role of the Chief Financial Officer in Local Government (2016) and, where they do not, explain why and how they deliver the same impact;  </w:t>
      </w:r>
    </w:p>
    <w:p w14:paraId="726E4D6D"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ensure effective counter fraud and anti-corruption arrangements are developed and maintained in accordance with the CIPFA Code of Practice on Managing the Risk of Fraud and Corruption (2014)    </w:t>
      </w:r>
    </w:p>
    <w:p w14:paraId="0C9D3C39"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undertake the core functions of an audit committee, as identified in CIPFA’s Audit Committees – Practical Guidance for Local Authorities (2018);  </w:t>
      </w:r>
    </w:p>
    <w:p w14:paraId="071C004C"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ensure compliance with relevant laws and regulations, internal policies and procedures, and that expenditure is lawful;  </w:t>
      </w:r>
    </w:p>
    <w:p w14:paraId="58440FD1"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ensure the Authority’s assurance arrangements conform to the governance requirements of the CIPFA Statement on the Role of the Head of Internal Audit (2019) and, where they do not explain why and how they deliver the same impact;  </w:t>
      </w:r>
    </w:p>
    <w:p w14:paraId="461FA535"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enable whistleblowing and the receiving and investigating of complaints from the public;   </w:t>
      </w:r>
    </w:p>
    <w:p w14:paraId="4711CBC1"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identify the development needs of members and senior officers in relation to their strategic roles, supported by appropriate training;  </w:t>
      </w:r>
    </w:p>
    <w:p w14:paraId="10C27B5D"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establish clear channels of communication with all sections of the community and other stakeholders, ensuring accountability and encouraging open consultation; and  </w:t>
      </w:r>
    </w:p>
    <w:p w14:paraId="100366DF" w14:textId="77777777" w:rsidR="008276C3" w:rsidRPr="00D840BD" w:rsidRDefault="008276C3" w:rsidP="008276C3">
      <w:pPr>
        <w:pStyle w:val="ListParagraph"/>
        <w:numPr>
          <w:ilvl w:val="0"/>
          <w:numId w:val="44"/>
        </w:numPr>
        <w:contextualSpacing/>
        <w:textAlignment w:val="baseline"/>
        <w:rPr>
          <w:rFonts w:ascii="Arial" w:hAnsi="Arial" w:cs="Arial"/>
          <w:szCs w:val="24"/>
          <w:lang w:eastAsia="en-GB"/>
        </w:rPr>
      </w:pPr>
      <w:r w:rsidRPr="00D840BD">
        <w:rPr>
          <w:rFonts w:ascii="Arial" w:hAnsi="Arial" w:cs="Arial"/>
          <w:szCs w:val="24"/>
          <w:lang w:eastAsia="en-GB"/>
        </w:rPr>
        <w:t>ensure good governance arrangements in respect of partnerships and other joint working and reflecting these in the Authority’s overall governance arrangements. </w:t>
      </w:r>
    </w:p>
    <w:p w14:paraId="6D8E2272" w14:textId="77777777" w:rsidR="008276C3" w:rsidRPr="00D840BD" w:rsidRDefault="008276C3" w:rsidP="008276C3">
      <w:pPr>
        <w:rPr>
          <w:rFonts w:ascii="Arial" w:hAnsi="Arial" w:cs="Arial"/>
          <w:sz w:val="24"/>
          <w:szCs w:val="24"/>
          <w:lang w:eastAsia="en-GB"/>
        </w:rPr>
      </w:pPr>
      <w:r w:rsidRPr="00D840BD">
        <w:rPr>
          <w:rFonts w:ascii="Arial" w:hAnsi="Arial" w:cs="Arial"/>
          <w:sz w:val="24"/>
          <w:szCs w:val="24"/>
          <w:lang w:eastAsia="en-GB"/>
        </w:rPr>
        <w:br w:type="page"/>
      </w:r>
    </w:p>
    <w:p w14:paraId="00CC5A6A" w14:textId="77777777" w:rsidR="008276C3" w:rsidRPr="000D756E" w:rsidRDefault="008276C3" w:rsidP="008276C3">
      <w:pPr>
        <w:ind w:left="720"/>
        <w:textAlignment w:val="baseline"/>
        <w:rPr>
          <w:rFonts w:ascii="Arial" w:hAnsi="Arial" w:cs="Arial"/>
          <w:sz w:val="24"/>
          <w:szCs w:val="24"/>
          <w:lang w:eastAsia="en-GB"/>
        </w:rPr>
      </w:pPr>
      <w:r w:rsidRPr="000D756E">
        <w:rPr>
          <w:rFonts w:ascii="Arial" w:hAnsi="Arial" w:cs="Arial"/>
          <w:sz w:val="24"/>
          <w:szCs w:val="24"/>
          <w:lang w:eastAsia="en-GB"/>
        </w:rPr>
        <w:lastRenderedPageBreak/>
        <w:t> </w:t>
      </w:r>
    </w:p>
    <w:p w14:paraId="3AB556AC"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Review of Effectiveness</w:t>
      </w:r>
      <w:r w:rsidRPr="000D756E">
        <w:rPr>
          <w:rFonts w:ascii="Arial" w:hAnsi="Arial" w:cs="Arial"/>
          <w:sz w:val="24"/>
          <w:szCs w:val="24"/>
          <w:lang w:eastAsia="en-GB"/>
        </w:rPr>
        <w:t>  </w:t>
      </w:r>
    </w:p>
    <w:p w14:paraId="59CAC6DF"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533C3BC4"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Fire Authority has responsibility for conducting, at least annually, a review of the effectiveness of its governance framework, including the system of internal control. </w:t>
      </w:r>
    </w:p>
    <w:p w14:paraId="48CDB77A"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review of effectiveness is informed by the work of the executive managers within the Authority, who have overall responsibility for the development and maintenance of the governance environment, as well as: </w:t>
      </w:r>
    </w:p>
    <w:p w14:paraId="1704A508" w14:textId="77777777" w:rsidR="008276C3" w:rsidRPr="000D756E" w:rsidRDefault="008276C3" w:rsidP="008276C3">
      <w:pPr>
        <w:pStyle w:val="ListParagraph"/>
        <w:numPr>
          <w:ilvl w:val="0"/>
          <w:numId w:val="45"/>
        </w:numPr>
        <w:contextualSpacing/>
        <w:textAlignment w:val="baseline"/>
        <w:rPr>
          <w:rFonts w:ascii="Arial" w:hAnsi="Arial" w:cs="Arial"/>
          <w:szCs w:val="24"/>
          <w:lang w:eastAsia="en-GB"/>
        </w:rPr>
      </w:pPr>
      <w:r w:rsidRPr="000D756E">
        <w:rPr>
          <w:rFonts w:ascii="Arial" w:hAnsi="Arial" w:cs="Arial"/>
          <w:szCs w:val="24"/>
          <w:lang w:eastAsia="en-GB"/>
        </w:rPr>
        <w:t>the Treasurer;  </w:t>
      </w:r>
    </w:p>
    <w:p w14:paraId="283BD1FD" w14:textId="77777777" w:rsidR="008276C3" w:rsidRPr="000D756E" w:rsidRDefault="008276C3" w:rsidP="008276C3">
      <w:pPr>
        <w:pStyle w:val="ListParagraph"/>
        <w:numPr>
          <w:ilvl w:val="0"/>
          <w:numId w:val="45"/>
        </w:numPr>
        <w:contextualSpacing/>
        <w:textAlignment w:val="baseline"/>
        <w:rPr>
          <w:rFonts w:ascii="Arial" w:hAnsi="Arial" w:cs="Arial"/>
          <w:szCs w:val="24"/>
          <w:lang w:eastAsia="en-GB"/>
        </w:rPr>
      </w:pPr>
      <w:r w:rsidRPr="000D756E">
        <w:rPr>
          <w:rFonts w:ascii="Arial" w:hAnsi="Arial" w:cs="Arial"/>
          <w:szCs w:val="24"/>
          <w:lang w:eastAsia="en-GB"/>
        </w:rPr>
        <w:t>the Fire Authority’s Monitoring Officer;  </w:t>
      </w:r>
    </w:p>
    <w:p w14:paraId="19F3A596" w14:textId="77777777" w:rsidR="008276C3" w:rsidRPr="000D756E" w:rsidRDefault="008276C3" w:rsidP="008276C3">
      <w:pPr>
        <w:pStyle w:val="ListParagraph"/>
        <w:numPr>
          <w:ilvl w:val="0"/>
          <w:numId w:val="45"/>
        </w:numPr>
        <w:contextualSpacing/>
        <w:textAlignment w:val="baseline"/>
        <w:rPr>
          <w:rFonts w:ascii="Arial" w:hAnsi="Arial" w:cs="Arial"/>
          <w:szCs w:val="24"/>
          <w:lang w:eastAsia="en-GB"/>
        </w:rPr>
      </w:pPr>
      <w:r w:rsidRPr="000D756E">
        <w:rPr>
          <w:rFonts w:ascii="Arial" w:hAnsi="Arial" w:cs="Arial"/>
          <w:szCs w:val="24"/>
          <w:lang w:eastAsia="en-GB"/>
        </w:rPr>
        <w:t>Legal advisors to the Fire Authority;  </w:t>
      </w:r>
    </w:p>
    <w:p w14:paraId="33243AB1" w14:textId="77777777" w:rsidR="008276C3" w:rsidRPr="000D756E" w:rsidRDefault="008276C3" w:rsidP="008276C3">
      <w:pPr>
        <w:pStyle w:val="ListParagraph"/>
        <w:numPr>
          <w:ilvl w:val="0"/>
          <w:numId w:val="45"/>
        </w:numPr>
        <w:contextualSpacing/>
        <w:textAlignment w:val="baseline"/>
        <w:rPr>
          <w:rFonts w:ascii="Arial" w:hAnsi="Arial" w:cs="Arial"/>
          <w:szCs w:val="24"/>
          <w:lang w:eastAsia="en-GB"/>
        </w:rPr>
      </w:pPr>
      <w:r w:rsidRPr="000D756E">
        <w:rPr>
          <w:rFonts w:ascii="Arial" w:hAnsi="Arial" w:cs="Arial"/>
          <w:szCs w:val="24"/>
          <w:lang w:eastAsia="en-GB"/>
        </w:rPr>
        <w:t>Internal Auditors; and  </w:t>
      </w:r>
    </w:p>
    <w:p w14:paraId="0FEC71EB" w14:textId="77777777" w:rsidR="008276C3" w:rsidRPr="000D756E" w:rsidRDefault="008276C3" w:rsidP="008276C3">
      <w:pPr>
        <w:pStyle w:val="ListParagraph"/>
        <w:numPr>
          <w:ilvl w:val="0"/>
          <w:numId w:val="45"/>
        </w:numPr>
        <w:contextualSpacing/>
        <w:textAlignment w:val="baseline"/>
        <w:rPr>
          <w:rFonts w:ascii="Arial" w:hAnsi="Arial" w:cs="Arial"/>
          <w:szCs w:val="24"/>
          <w:lang w:eastAsia="en-GB"/>
        </w:rPr>
      </w:pPr>
      <w:r w:rsidRPr="000D756E">
        <w:rPr>
          <w:rFonts w:ascii="Arial" w:hAnsi="Arial" w:cs="Arial"/>
          <w:szCs w:val="24"/>
          <w:lang w:eastAsia="en-GB"/>
        </w:rPr>
        <w:t>Managers within the Fire Authority, who have day-to-day responsibility for ensuring the governance framework is functioning correctly. </w:t>
      </w:r>
    </w:p>
    <w:p w14:paraId="7CDB0122" w14:textId="77777777" w:rsidR="008276C3" w:rsidRPr="000D756E" w:rsidRDefault="008276C3" w:rsidP="008276C3">
      <w:pPr>
        <w:ind w:left="705"/>
        <w:textAlignment w:val="baseline"/>
        <w:rPr>
          <w:rFonts w:ascii="Arial" w:hAnsi="Arial" w:cs="Arial"/>
          <w:sz w:val="24"/>
          <w:szCs w:val="24"/>
          <w:lang w:eastAsia="en-GB"/>
        </w:rPr>
      </w:pPr>
      <w:r w:rsidRPr="000D756E">
        <w:rPr>
          <w:rFonts w:ascii="Arial" w:hAnsi="Arial" w:cs="Arial"/>
          <w:sz w:val="24"/>
          <w:szCs w:val="24"/>
          <w:lang w:eastAsia="en-GB"/>
        </w:rPr>
        <w:t> </w:t>
      </w:r>
    </w:p>
    <w:p w14:paraId="78C78177"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Comments made by the External Auditors and other review agencies and inspectorates in their Auditor’s Annual Report and other reports also contribute to this review. </w:t>
      </w:r>
    </w:p>
    <w:p w14:paraId="18BEA5D9"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64ED33CC"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Throughout 202</w:t>
      </w:r>
      <w:r>
        <w:rPr>
          <w:rFonts w:ascii="Arial" w:hAnsi="Arial" w:cs="Arial"/>
          <w:sz w:val="24"/>
          <w:szCs w:val="24"/>
          <w:lang w:eastAsia="en-GB"/>
        </w:rPr>
        <w:t>4/25</w:t>
      </w:r>
      <w:r w:rsidRPr="000D756E">
        <w:rPr>
          <w:rFonts w:ascii="Arial" w:hAnsi="Arial" w:cs="Arial"/>
          <w:sz w:val="24"/>
          <w:szCs w:val="24"/>
          <w:lang w:eastAsia="en-GB"/>
        </w:rPr>
        <w:t xml:space="preserve"> the Fire Authority has maintained, reviewed and improved its system of internal control in a number of ways. In particular: </w:t>
      </w:r>
    </w:p>
    <w:p w14:paraId="7AE8FB43" w14:textId="77777777" w:rsidR="008276C3" w:rsidRPr="000D756E" w:rsidRDefault="008276C3" w:rsidP="008276C3">
      <w:pPr>
        <w:numPr>
          <w:ilvl w:val="0"/>
          <w:numId w:val="46"/>
        </w:numPr>
        <w:ind w:firstLine="0"/>
        <w:textAlignment w:val="baseline"/>
        <w:rPr>
          <w:rFonts w:ascii="Arial" w:hAnsi="Arial" w:cs="Arial"/>
          <w:sz w:val="24"/>
          <w:szCs w:val="24"/>
          <w:lang w:eastAsia="en-GB"/>
        </w:rPr>
      </w:pPr>
      <w:r w:rsidRPr="000D756E">
        <w:rPr>
          <w:rFonts w:ascii="Arial" w:hAnsi="Arial" w:cs="Arial"/>
          <w:sz w:val="24"/>
          <w:szCs w:val="24"/>
          <w:lang w:eastAsia="en-GB"/>
        </w:rPr>
        <w:t>The Authority continues to monitor expenditure for all capital schemes; </w:t>
      </w:r>
    </w:p>
    <w:p w14:paraId="56FC3798" w14:textId="77777777" w:rsidR="008276C3" w:rsidRPr="000D756E" w:rsidRDefault="008276C3" w:rsidP="008276C3">
      <w:pPr>
        <w:numPr>
          <w:ilvl w:val="0"/>
          <w:numId w:val="47"/>
        </w:numPr>
        <w:ind w:firstLine="0"/>
        <w:textAlignment w:val="baseline"/>
        <w:rPr>
          <w:rFonts w:ascii="Arial" w:hAnsi="Arial" w:cs="Arial"/>
          <w:sz w:val="24"/>
          <w:szCs w:val="24"/>
          <w:lang w:eastAsia="en-GB"/>
        </w:rPr>
      </w:pPr>
      <w:r w:rsidRPr="000D756E">
        <w:rPr>
          <w:rFonts w:ascii="Arial" w:hAnsi="Arial" w:cs="Arial"/>
          <w:sz w:val="24"/>
          <w:szCs w:val="24"/>
          <w:lang w:eastAsia="en-GB"/>
        </w:rPr>
        <w:t>Ongoing review of the Authority’s employment policies is undertaken and, where necessary, policies are modified or created to ensure compliance with all applicable legislation; </w:t>
      </w:r>
    </w:p>
    <w:p w14:paraId="24ED9E9B" w14:textId="77777777" w:rsidR="008276C3" w:rsidRPr="000D756E" w:rsidRDefault="008276C3" w:rsidP="008276C3">
      <w:pPr>
        <w:numPr>
          <w:ilvl w:val="0"/>
          <w:numId w:val="48"/>
        </w:numPr>
        <w:ind w:firstLine="0"/>
        <w:textAlignment w:val="baseline"/>
        <w:rPr>
          <w:rFonts w:ascii="Arial" w:hAnsi="Arial" w:cs="Arial"/>
          <w:sz w:val="24"/>
          <w:szCs w:val="24"/>
          <w:lang w:eastAsia="en-GB"/>
        </w:rPr>
      </w:pPr>
      <w:r w:rsidRPr="000D756E">
        <w:rPr>
          <w:rFonts w:ascii="Arial" w:hAnsi="Arial" w:cs="Arial"/>
          <w:sz w:val="24"/>
          <w:szCs w:val="24"/>
          <w:lang w:eastAsia="en-GB"/>
        </w:rPr>
        <w:t xml:space="preserve">The Service Transformation Programme, which includes Community Risk Management Planning (CRMP) Projects and activities that Service Managers believe will deliver a sustainable service to the community into the future.  Central to the Programme </w:t>
      </w:r>
      <w:r>
        <w:rPr>
          <w:rFonts w:ascii="Arial" w:hAnsi="Arial" w:cs="Arial"/>
          <w:sz w:val="24"/>
          <w:szCs w:val="24"/>
          <w:lang w:eastAsia="en-GB"/>
        </w:rPr>
        <w:t>is</w:t>
      </w:r>
      <w:r w:rsidRPr="000D756E">
        <w:rPr>
          <w:rFonts w:ascii="Arial" w:hAnsi="Arial" w:cs="Arial"/>
          <w:sz w:val="24"/>
          <w:szCs w:val="24"/>
          <w:lang w:eastAsia="en-GB"/>
        </w:rPr>
        <w:t xml:space="preserve"> the continued investment in technology and systems to improve back-office efficiency and provide operations with technology to improve service delivery.  The Programme, which dovetails into the Service’s Financial and Service planning processes, will ensure that the appropriate level of control and visibility of all projects, reviews and activities are maintained throughout the lifecycle of the Programme. </w:t>
      </w:r>
    </w:p>
    <w:p w14:paraId="4AEA78B9" w14:textId="77777777" w:rsidR="008276C3" w:rsidRPr="000D756E" w:rsidRDefault="008276C3" w:rsidP="008276C3">
      <w:pPr>
        <w:numPr>
          <w:ilvl w:val="0"/>
          <w:numId w:val="49"/>
        </w:numPr>
        <w:ind w:firstLine="0"/>
        <w:textAlignment w:val="baseline"/>
        <w:rPr>
          <w:rFonts w:ascii="Arial" w:hAnsi="Arial" w:cs="Arial"/>
          <w:sz w:val="24"/>
          <w:szCs w:val="24"/>
          <w:lang w:eastAsia="en-GB"/>
        </w:rPr>
      </w:pPr>
      <w:r w:rsidRPr="000D756E">
        <w:rPr>
          <w:rFonts w:ascii="Arial" w:hAnsi="Arial" w:cs="Arial"/>
          <w:sz w:val="24"/>
          <w:szCs w:val="24"/>
          <w:lang w:eastAsia="en-GB"/>
        </w:rPr>
        <w:t>The Service has continued to invest significantly in its Information and Communications Technology and command and control infrastructure.  </w:t>
      </w:r>
    </w:p>
    <w:p w14:paraId="202637F0" w14:textId="77777777" w:rsidR="008276C3" w:rsidRPr="000D756E" w:rsidRDefault="008276C3" w:rsidP="008276C3">
      <w:pPr>
        <w:numPr>
          <w:ilvl w:val="0"/>
          <w:numId w:val="50"/>
        </w:numPr>
        <w:ind w:firstLine="0"/>
        <w:textAlignment w:val="baseline"/>
        <w:rPr>
          <w:rFonts w:ascii="Arial" w:hAnsi="Arial" w:cs="Arial"/>
          <w:sz w:val="24"/>
          <w:szCs w:val="24"/>
          <w:lang w:eastAsia="en-GB"/>
        </w:rPr>
      </w:pPr>
      <w:r w:rsidRPr="000D756E">
        <w:rPr>
          <w:rFonts w:ascii="Arial" w:hAnsi="Arial" w:cs="Arial"/>
          <w:sz w:val="24"/>
          <w:szCs w:val="24"/>
          <w:lang w:eastAsia="en-GB"/>
        </w:rPr>
        <w:t>The Fire Authority has received and/or adopted:  </w:t>
      </w:r>
    </w:p>
    <w:p w14:paraId="753CA6C9" w14:textId="77777777" w:rsidR="008276C3" w:rsidRPr="000D756E" w:rsidRDefault="008276C3" w:rsidP="008276C3">
      <w:pPr>
        <w:numPr>
          <w:ilvl w:val="0"/>
          <w:numId w:val="51"/>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Statement of Accounts 202</w:t>
      </w:r>
      <w:r>
        <w:rPr>
          <w:rFonts w:ascii="Arial" w:hAnsi="Arial" w:cs="Arial"/>
          <w:sz w:val="24"/>
          <w:szCs w:val="24"/>
          <w:lang w:eastAsia="en-GB"/>
        </w:rPr>
        <w:t>3/24</w:t>
      </w:r>
    </w:p>
    <w:p w14:paraId="32D75A7E" w14:textId="77777777" w:rsidR="008276C3" w:rsidRPr="000D756E" w:rsidRDefault="008276C3" w:rsidP="008276C3">
      <w:pPr>
        <w:numPr>
          <w:ilvl w:val="0"/>
          <w:numId w:val="51"/>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Annual Plan 202</w:t>
      </w:r>
      <w:r>
        <w:rPr>
          <w:rFonts w:ascii="Arial" w:hAnsi="Arial" w:cs="Arial"/>
          <w:sz w:val="24"/>
          <w:szCs w:val="24"/>
          <w:lang w:eastAsia="en-GB"/>
        </w:rPr>
        <w:t>4/25</w:t>
      </w:r>
    </w:p>
    <w:p w14:paraId="0AB755CA" w14:textId="77777777" w:rsidR="008276C3" w:rsidRPr="000D756E" w:rsidRDefault="008276C3" w:rsidP="008276C3">
      <w:pPr>
        <w:numPr>
          <w:ilvl w:val="0"/>
          <w:numId w:val="51"/>
        </w:numPr>
        <w:ind w:left="1440" w:firstLine="0"/>
        <w:textAlignment w:val="baseline"/>
        <w:rPr>
          <w:rFonts w:ascii="Arial" w:hAnsi="Arial" w:cs="Arial"/>
          <w:sz w:val="24"/>
          <w:szCs w:val="24"/>
          <w:lang w:eastAsia="en-GB"/>
        </w:rPr>
      </w:pPr>
      <w:r>
        <w:rPr>
          <w:rFonts w:ascii="Arial" w:hAnsi="Arial" w:cs="Arial"/>
          <w:sz w:val="24"/>
          <w:szCs w:val="24"/>
          <w:lang w:eastAsia="en-GB"/>
        </w:rPr>
        <w:t xml:space="preserve">Auditor’s </w:t>
      </w:r>
      <w:r w:rsidRPr="000D756E">
        <w:rPr>
          <w:rFonts w:ascii="Arial" w:hAnsi="Arial" w:cs="Arial"/>
          <w:sz w:val="24"/>
          <w:szCs w:val="24"/>
          <w:lang w:eastAsia="en-GB"/>
        </w:rPr>
        <w:t xml:space="preserve">Annual </w:t>
      </w:r>
      <w:r>
        <w:rPr>
          <w:rFonts w:ascii="Arial" w:hAnsi="Arial" w:cs="Arial"/>
          <w:sz w:val="24"/>
          <w:szCs w:val="24"/>
          <w:lang w:eastAsia="en-GB"/>
        </w:rPr>
        <w:t>Report</w:t>
      </w:r>
      <w:r w:rsidRPr="000D756E">
        <w:rPr>
          <w:rFonts w:ascii="Arial" w:hAnsi="Arial" w:cs="Arial"/>
          <w:sz w:val="24"/>
          <w:szCs w:val="24"/>
          <w:lang w:eastAsia="en-GB"/>
        </w:rPr>
        <w:t xml:space="preserve"> 202</w:t>
      </w:r>
      <w:r>
        <w:rPr>
          <w:rFonts w:ascii="Arial" w:hAnsi="Arial" w:cs="Arial"/>
          <w:sz w:val="24"/>
          <w:szCs w:val="24"/>
          <w:lang w:eastAsia="en-GB"/>
        </w:rPr>
        <w:t>3/24</w:t>
      </w:r>
    </w:p>
    <w:p w14:paraId="3662DAD5" w14:textId="77777777" w:rsidR="008276C3" w:rsidRPr="000D756E" w:rsidRDefault="008276C3" w:rsidP="008276C3">
      <w:pPr>
        <w:numPr>
          <w:ilvl w:val="0"/>
          <w:numId w:val="51"/>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Budget Monitoring reports</w:t>
      </w:r>
    </w:p>
    <w:p w14:paraId="0971FCEB" w14:textId="77777777" w:rsidR="008276C3" w:rsidRPr="000D756E" w:rsidRDefault="008276C3" w:rsidP="008276C3">
      <w:pPr>
        <w:numPr>
          <w:ilvl w:val="0"/>
          <w:numId w:val="51"/>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Service Measures Performance reports</w:t>
      </w:r>
    </w:p>
    <w:p w14:paraId="7500672F" w14:textId="77777777" w:rsidR="008276C3" w:rsidRPr="000D756E" w:rsidRDefault="008276C3" w:rsidP="008276C3">
      <w:pPr>
        <w:numPr>
          <w:ilvl w:val="0"/>
          <w:numId w:val="51"/>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The Service Plan 2021/25, strategy and budget.  </w:t>
      </w:r>
    </w:p>
    <w:p w14:paraId="2B836F89" w14:textId="77777777" w:rsidR="008276C3" w:rsidRPr="000D756E" w:rsidRDefault="008276C3" w:rsidP="008276C3">
      <w:pPr>
        <w:numPr>
          <w:ilvl w:val="0"/>
          <w:numId w:val="52"/>
        </w:numPr>
        <w:ind w:firstLine="0"/>
        <w:textAlignment w:val="baseline"/>
        <w:rPr>
          <w:rFonts w:ascii="Arial" w:hAnsi="Arial" w:cs="Arial"/>
          <w:sz w:val="24"/>
          <w:szCs w:val="24"/>
          <w:lang w:eastAsia="en-GB"/>
        </w:rPr>
      </w:pPr>
      <w:r w:rsidRPr="000D756E">
        <w:rPr>
          <w:rFonts w:ascii="Arial" w:hAnsi="Arial" w:cs="Arial"/>
          <w:sz w:val="24"/>
          <w:szCs w:val="24"/>
          <w:lang w:eastAsia="en-GB"/>
        </w:rPr>
        <w:t>The Fire Authority’s Service Management Team of officers carries out a continuous assessment of the implementation of policies and procedures throughout the organisation, including following up on progress made towards last year’s Improvement Plan. </w:t>
      </w:r>
    </w:p>
    <w:p w14:paraId="6C5A9F2D" w14:textId="77777777" w:rsidR="008276C3" w:rsidRPr="000D756E" w:rsidRDefault="008276C3" w:rsidP="008276C3">
      <w:pPr>
        <w:numPr>
          <w:ilvl w:val="0"/>
          <w:numId w:val="53"/>
        </w:numPr>
        <w:ind w:firstLine="0"/>
        <w:textAlignment w:val="baseline"/>
        <w:rPr>
          <w:rFonts w:ascii="Arial" w:hAnsi="Arial" w:cs="Arial"/>
          <w:sz w:val="24"/>
          <w:szCs w:val="24"/>
          <w:lang w:eastAsia="en-GB"/>
        </w:rPr>
      </w:pPr>
      <w:r w:rsidRPr="000D756E">
        <w:rPr>
          <w:rFonts w:ascii="Arial" w:hAnsi="Arial" w:cs="Arial"/>
          <w:sz w:val="24"/>
          <w:szCs w:val="24"/>
          <w:lang w:eastAsia="en-GB"/>
        </w:rPr>
        <w:t xml:space="preserve">Internal audits have been undertaken with several planned reviews of systems and internal control procedures across a range of functions in the Fire Authority.  Each review contains an opinion on the internal controls in place and any weaknesses result in recommendations for improvement, </w:t>
      </w:r>
      <w:r w:rsidRPr="000D756E">
        <w:rPr>
          <w:rFonts w:ascii="Arial" w:hAnsi="Arial" w:cs="Arial"/>
          <w:sz w:val="24"/>
          <w:szCs w:val="24"/>
          <w:lang w:eastAsia="en-GB"/>
        </w:rPr>
        <w:lastRenderedPageBreak/>
        <w:t>which are agreed and implemented by management.  Progress against these recommendations is monitored with regular reports to the Service Management Team and to the Standards, Audit and Performance Committee.  </w:t>
      </w:r>
    </w:p>
    <w:p w14:paraId="6B997B54" w14:textId="77777777" w:rsidR="008276C3" w:rsidRPr="000D756E" w:rsidRDefault="008276C3" w:rsidP="008276C3">
      <w:pPr>
        <w:numPr>
          <w:ilvl w:val="0"/>
          <w:numId w:val="54"/>
        </w:numPr>
        <w:ind w:firstLine="0"/>
        <w:textAlignment w:val="baseline"/>
        <w:rPr>
          <w:rFonts w:ascii="Arial" w:hAnsi="Arial" w:cs="Arial"/>
          <w:sz w:val="24"/>
          <w:szCs w:val="24"/>
          <w:lang w:eastAsia="en-GB"/>
        </w:rPr>
      </w:pPr>
      <w:r w:rsidRPr="000D756E">
        <w:rPr>
          <w:rFonts w:ascii="Arial" w:hAnsi="Arial" w:cs="Arial"/>
          <w:sz w:val="24"/>
          <w:szCs w:val="24"/>
          <w:lang w:eastAsia="en-GB"/>
        </w:rPr>
        <w:t>Audits completed by Internal Audit during 202</w:t>
      </w:r>
      <w:r>
        <w:rPr>
          <w:rFonts w:ascii="Arial" w:hAnsi="Arial" w:cs="Arial"/>
          <w:sz w:val="24"/>
          <w:szCs w:val="24"/>
          <w:lang w:eastAsia="en-GB"/>
        </w:rPr>
        <w:t>4/25</w:t>
      </w:r>
      <w:r w:rsidRPr="000D756E">
        <w:rPr>
          <w:rFonts w:ascii="Arial" w:hAnsi="Arial" w:cs="Arial"/>
          <w:sz w:val="24"/>
          <w:szCs w:val="24"/>
          <w:lang w:eastAsia="en-GB"/>
        </w:rPr>
        <w:t xml:space="preserve"> related to:   </w:t>
      </w:r>
    </w:p>
    <w:p w14:paraId="7A1D3AA0" w14:textId="77777777" w:rsidR="008276C3" w:rsidRPr="000D756E" w:rsidRDefault="008276C3" w:rsidP="008276C3">
      <w:pPr>
        <w:numPr>
          <w:ilvl w:val="0"/>
          <w:numId w:val="55"/>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 xml:space="preserve">Finance - </w:t>
      </w:r>
      <w:r>
        <w:rPr>
          <w:rFonts w:ascii="Arial" w:hAnsi="Arial" w:cs="Arial"/>
          <w:sz w:val="24"/>
          <w:szCs w:val="24"/>
          <w:lang w:eastAsia="en-GB"/>
        </w:rPr>
        <w:t>Debto</w:t>
      </w:r>
      <w:r w:rsidRPr="000D756E">
        <w:rPr>
          <w:rFonts w:ascii="Arial" w:hAnsi="Arial" w:cs="Arial"/>
          <w:sz w:val="24"/>
          <w:szCs w:val="24"/>
          <w:lang w:eastAsia="en-GB"/>
        </w:rPr>
        <w:t>rs </w:t>
      </w:r>
    </w:p>
    <w:p w14:paraId="4E5F08BB" w14:textId="77777777" w:rsidR="008276C3" w:rsidRPr="000D756E" w:rsidRDefault="008276C3" w:rsidP="008276C3">
      <w:pPr>
        <w:numPr>
          <w:ilvl w:val="0"/>
          <w:numId w:val="55"/>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Payroll and Pensions </w:t>
      </w:r>
    </w:p>
    <w:p w14:paraId="2EDECA79" w14:textId="77777777" w:rsidR="008276C3" w:rsidRPr="000D756E" w:rsidRDefault="008276C3" w:rsidP="008276C3">
      <w:pPr>
        <w:numPr>
          <w:ilvl w:val="0"/>
          <w:numId w:val="55"/>
        </w:numPr>
        <w:ind w:left="1440" w:firstLine="0"/>
        <w:textAlignment w:val="baseline"/>
        <w:rPr>
          <w:rFonts w:ascii="Arial" w:hAnsi="Arial" w:cs="Arial"/>
          <w:sz w:val="24"/>
          <w:szCs w:val="24"/>
          <w:lang w:eastAsia="en-GB"/>
        </w:rPr>
      </w:pPr>
      <w:r>
        <w:rPr>
          <w:rFonts w:ascii="Arial" w:hAnsi="Arial" w:cs="Arial"/>
          <w:sz w:val="24"/>
          <w:szCs w:val="24"/>
          <w:lang w:eastAsia="en-GB"/>
        </w:rPr>
        <w:t>IT Network and Cyber Security</w:t>
      </w:r>
      <w:r w:rsidRPr="000D756E">
        <w:rPr>
          <w:rFonts w:ascii="Arial" w:hAnsi="Arial" w:cs="Arial"/>
          <w:sz w:val="24"/>
          <w:szCs w:val="24"/>
          <w:lang w:eastAsia="en-GB"/>
        </w:rPr>
        <w:t> </w:t>
      </w:r>
    </w:p>
    <w:p w14:paraId="340A43F2" w14:textId="77777777" w:rsidR="008276C3" w:rsidRPr="000D756E" w:rsidRDefault="008276C3" w:rsidP="008276C3">
      <w:pPr>
        <w:numPr>
          <w:ilvl w:val="0"/>
          <w:numId w:val="56"/>
        </w:numPr>
        <w:ind w:left="1440" w:firstLine="0"/>
        <w:textAlignment w:val="baseline"/>
        <w:rPr>
          <w:rFonts w:ascii="Arial" w:hAnsi="Arial" w:cs="Arial"/>
          <w:sz w:val="24"/>
          <w:szCs w:val="24"/>
          <w:lang w:eastAsia="en-GB"/>
        </w:rPr>
      </w:pPr>
      <w:r>
        <w:rPr>
          <w:rFonts w:ascii="Arial" w:hAnsi="Arial" w:cs="Arial"/>
          <w:sz w:val="24"/>
          <w:szCs w:val="24"/>
          <w:lang w:eastAsia="en-GB"/>
        </w:rPr>
        <w:t>Corporate Health</w:t>
      </w:r>
      <w:r w:rsidRPr="000D756E">
        <w:rPr>
          <w:rFonts w:ascii="Arial" w:hAnsi="Arial" w:cs="Arial"/>
          <w:sz w:val="24"/>
          <w:szCs w:val="24"/>
          <w:lang w:eastAsia="en-GB"/>
        </w:rPr>
        <w:t xml:space="preserve"> and Safety </w:t>
      </w:r>
    </w:p>
    <w:p w14:paraId="08DD7967" w14:textId="77777777" w:rsidR="008276C3" w:rsidRPr="000D756E" w:rsidRDefault="008276C3" w:rsidP="008276C3">
      <w:pPr>
        <w:numPr>
          <w:ilvl w:val="0"/>
          <w:numId w:val="56"/>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Procurement &amp; Projects</w:t>
      </w:r>
    </w:p>
    <w:p w14:paraId="338719C5" w14:textId="77777777" w:rsidR="008276C3" w:rsidRPr="000D756E" w:rsidRDefault="008276C3" w:rsidP="008276C3">
      <w:pPr>
        <w:numPr>
          <w:ilvl w:val="0"/>
          <w:numId w:val="56"/>
        </w:numPr>
        <w:ind w:left="1440" w:firstLine="0"/>
        <w:textAlignment w:val="baseline"/>
        <w:rPr>
          <w:rFonts w:ascii="Arial" w:hAnsi="Arial" w:cs="Arial"/>
          <w:sz w:val="24"/>
          <w:szCs w:val="24"/>
          <w:lang w:eastAsia="en-GB"/>
        </w:rPr>
      </w:pPr>
      <w:r>
        <w:rPr>
          <w:rFonts w:ascii="Arial" w:hAnsi="Arial" w:cs="Arial"/>
          <w:sz w:val="24"/>
          <w:szCs w:val="24"/>
          <w:lang w:eastAsia="en-GB"/>
        </w:rPr>
        <w:t>HR – Starters Movers and Leavers</w:t>
      </w:r>
    </w:p>
    <w:p w14:paraId="60F45AA1" w14:textId="77777777" w:rsidR="008276C3" w:rsidRPr="000D756E" w:rsidRDefault="008276C3" w:rsidP="008276C3">
      <w:pPr>
        <w:ind w:left="1275"/>
        <w:textAlignment w:val="baseline"/>
        <w:rPr>
          <w:rFonts w:ascii="Arial" w:hAnsi="Arial" w:cs="Arial"/>
          <w:sz w:val="24"/>
          <w:szCs w:val="24"/>
          <w:lang w:eastAsia="en-GB"/>
        </w:rPr>
      </w:pPr>
      <w:r w:rsidRPr="000D756E">
        <w:rPr>
          <w:rFonts w:ascii="Arial" w:hAnsi="Arial" w:cs="Arial"/>
          <w:sz w:val="24"/>
          <w:szCs w:val="24"/>
          <w:lang w:eastAsia="en-GB"/>
        </w:rPr>
        <w:t>  </w:t>
      </w:r>
    </w:p>
    <w:p w14:paraId="1945B7F2"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Based on the work undertaken and management responses received, the Head of Internal Audit has offered reasonable assurance for the 202</w:t>
      </w:r>
      <w:r>
        <w:rPr>
          <w:rFonts w:ascii="Arial" w:hAnsi="Arial" w:cs="Arial"/>
          <w:sz w:val="24"/>
          <w:szCs w:val="24"/>
          <w:lang w:eastAsia="en-GB"/>
        </w:rPr>
        <w:t>4/25</w:t>
      </w:r>
      <w:r w:rsidRPr="000D756E">
        <w:rPr>
          <w:rFonts w:ascii="Arial" w:hAnsi="Arial" w:cs="Arial"/>
          <w:sz w:val="24"/>
          <w:szCs w:val="24"/>
          <w:lang w:eastAsia="en-GB"/>
        </w:rPr>
        <w:t xml:space="preserve"> year that the Authority’s framework for governance, risk management and internal control processes is sound and working effectively.</w:t>
      </w:r>
    </w:p>
    <w:p w14:paraId="22AE7025" w14:textId="77777777" w:rsidR="008276C3" w:rsidRPr="000D756E" w:rsidRDefault="008276C3" w:rsidP="008276C3">
      <w:pPr>
        <w:textAlignment w:val="baseline"/>
        <w:rPr>
          <w:rFonts w:ascii="Arial" w:hAnsi="Arial" w:cs="Arial"/>
          <w:sz w:val="24"/>
          <w:szCs w:val="24"/>
          <w:lang w:eastAsia="en-GB"/>
        </w:rPr>
      </w:pPr>
    </w:p>
    <w:p w14:paraId="1910FBE2" w14:textId="77777777" w:rsidR="008276C3" w:rsidRPr="000D756E" w:rsidRDefault="008276C3" w:rsidP="008276C3">
      <w:pPr>
        <w:textAlignment w:val="baseline"/>
        <w:rPr>
          <w:rFonts w:ascii="Arial" w:hAnsi="Arial" w:cs="Arial"/>
          <w:sz w:val="24"/>
          <w:szCs w:val="24"/>
          <w:lang w:eastAsia="en-GB"/>
        </w:rPr>
      </w:pPr>
      <w:r>
        <w:rPr>
          <w:rFonts w:ascii="Arial" w:hAnsi="Arial" w:cs="Arial"/>
          <w:sz w:val="24"/>
          <w:szCs w:val="24"/>
          <w:lang w:eastAsia="en-GB"/>
        </w:rPr>
        <w:t>The progress made by management in implementing the actions arising from audits has been good. Follow up work completed by Internal Audit has not highlighted any overdue High or Medium priority actions. Implementation of improvement actions strengthens the organisation’s framework of governance, risk management and control.</w:t>
      </w:r>
    </w:p>
    <w:p w14:paraId="3B9BC8AC" w14:textId="77777777" w:rsidR="008276C3" w:rsidRPr="000D756E" w:rsidRDefault="008276C3" w:rsidP="008276C3">
      <w:pPr>
        <w:textAlignment w:val="baseline"/>
        <w:rPr>
          <w:rFonts w:ascii="Arial" w:hAnsi="Arial" w:cs="Arial"/>
          <w:sz w:val="24"/>
          <w:szCs w:val="24"/>
          <w:lang w:eastAsia="en-GB"/>
        </w:rPr>
      </w:pPr>
    </w:p>
    <w:p w14:paraId="626E3178"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Internal Audit will be conducting audits in the following areas during 202</w:t>
      </w:r>
      <w:r>
        <w:rPr>
          <w:rFonts w:ascii="Arial" w:hAnsi="Arial" w:cs="Arial"/>
          <w:sz w:val="24"/>
          <w:szCs w:val="24"/>
          <w:lang w:eastAsia="en-GB"/>
        </w:rPr>
        <w:t>5/26</w:t>
      </w:r>
      <w:r w:rsidRPr="000D756E">
        <w:rPr>
          <w:rFonts w:ascii="Arial" w:hAnsi="Arial" w:cs="Arial"/>
          <w:sz w:val="24"/>
          <w:szCs w:val="24"/>
          <w:lang w:eastAsia="en-GB"/>
        </w:rPr>
        <w:t>:</w:t>
      </w:r>
      <w:r w:rsidRPr="000D756E">
        <w:rPr>
          <w:rFonts w:ascii="Arial" w:hAnsi="Arial" w:cs="Arial"/>
          <w:b/>
          <w:bCs/>
          <w:i/>
          <w:iCs/>
          <w:sz w:val="24"/>
          <w:szCs w:val="24"/>
          <w:lang w:eastAsia="en-GB"/>
        </w:rPr>
        <w:t> </w:t>
      </w:r>
      <w:r w:rsidRPr="000D756E">
        <w:rPr>
          <w:rFonts w:ascii="Arial" w:hAnsi="Arial" w:cs="Arial"/>
          <w:sz w:val="24"/>
          <w:szCs w:val="24"/>
          <w:lang w:eastAsia="en-GB"/>
        </w:rPr>
        <w:t> </w:t>
      </w:r>
    </w:p>
    <w:p w14:paraId="386CB145"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3CD97464" w14:textId="77777777" w:rsidR="008276C3" w:rsidRPr="000D756E" w:rsidRDefault="008276C3" w:rsidP="008276C3">
      <w:pPr>
        <w:numPr>
          <w:ilvl w:val="0"/>
          <w:numId w:val="57"/>
        </w:numPr>
        <w:ind w:firstLine="0"/>
        <w:textAlignment w:val="baseline"/>
        <w:rPr>
          <w:rFonts w:ascii="Arial" w:hAnsi="Arial" w:cs="Arial"/>
          <w:sz w:val="24"/>
          <w:szCs w:val="24"/>
          <w:lang w:eastAsia="en-GB"/>
        </w:rPr>
      </w:pPr>
      <w:r>
        <w:rPr>
          <w:rFonts w:ascii="Arial" w:hAnsi="Arial" w:cs="Arial"/>
          <w:sz w:val="24"/>
          <w:szCs w:val="24"/>
          <w:lang w:eastAsia="en-GB"/>
        </w:rPr>
        <w:t>Treasury Management</w:t>
      </w:r>
      <w:r w:rsidRPr="000D756E">
        <w:rPr>
          <w:rFonts w:ascii="Arial" w:hAnsi="Arial" w:cs="Arial"/>
          <w:sz w:val="24"/>
          <w:szCs w:val="24"/>
          <w:lang w:eastAsia="en-GB"/>
        </w:rPr>
        <w:t>;  </w:t>
      </w:r>
    </w:p>
    <w:p w14:paraId="7D52EF60" w14:textId="77777777" w:rsidR="008276C3" w:rsidRPr="000D756E" w:rsidRDefault="008276C3" w:rsidP="008276C3">
      <w:pPr>
        <w:numPr>
          <w:ilvl w:val="0"/>
          <w:numId w:val="57"/>
        </w:numPr>
        <w:ind w:firstLine="0"/>
        <w:textAlignment w:val="baseline"/>
        <w:rPr>
          <w:rFonts w:ascii="Arial" w:hAnsi="Arial" w:cs="Arial"/>
          <w:sz w:val="24"/>
          <w:szCs w:val="24"/>
          <w:lang w:eastAsia="en-GB"/>
        </w:rPr>
      </w:pPr>
      <w:r>
        <w:rPr>
          <w:rFonts w:ascii="Arial" w:hAnsi="Arial" w:cs="Arial"/>
          <w:sz w:val="24"/>
          <w:szCs w:val="24"/>
          <w:lang w:eastAsia="en-GB"/>
        </w:rPr>
        <w:t>Procurement and Contract Management</w:t>
      </w:r>
      <w:r w:rsidRPr="000D756E">
        <w:rPr>
          <w:rFonts w:ascii="Arial" w:hAnsi="Arial" w:cs="Arial"/>
          <w:sz w:val="24"/>
          <w:szCs w:val="24"/>
          <w:lang w:eastAsia="en-GB"/>
        </w:rPr>
        <w:t>; </w:t>
      </w:r>
    </w:p>
    <w:p w14:paraId="71B627EA" w14:textId="77777777" w:rsidR="008276C3" w:rsidRPr="000D756E" w:rsidRDefault="008276C3" w:rsidP="008276C3">
      <w:pPr>
        <w:numPr>
          <w:ilvl w:val="0"/>
          <w:numId w:val="57"/>
        </w:numPr>
        <w:ind w:firstLine="0"/>
        <w:textAlignment w:val="baseline"/>
        <w:rPr>
          <w:rFonts w:ascii="Arial" w:hAnsi="Arial" w:cs="Arial"/>
          <w:sz w:val="24"/>
          <w:szCs w:val="24"/>
          <w:lang w:eastAsia="en-GB"/>
        </w:rPr>
      </w:pPr>
      <w:r>
        <w:rPr>
          <w:rFonts w:ascii="Arial" w:hAnsi="Arial" w:cs="Arial"/>
          <w:sz w:val="24"/>
          <w:szCs w:val="24"/>
          <w:lang w:eastAsia="en-GB"/>
        </w:rPr>
        <w:t>Payroll and Pensions</w:t>
      </w:r>
      <w:r w:rsidRPr="000D756E">
        <w:rPr>
          <w:rFonts w:ascii="Arial" w:hAnsi="Arial" w:cs="Arial"/>
          <w:sz w:val="24"/>
          <w:szCs w:val="24"/>
          <w:lang w:eastAsia="en-GB"/>
        </w:rPr>
        <w:t>; </w:t>
      </w:r>
    </w:p>
    <w:p w14:paraId="74262787" w14:textId="77777777" w:rsidR="008276C3" w:rsidRPr="000D756E" w:rsidRDefault="008276C3" w:rsidP="008276C3">
      <w:pPr>
        <w:numPr>
          <w:ilvl w:val="0"/>
          <w:numId w:val="57"/>
        </w:numPr>
        <w:ind w:firstLine="0"/>
        <w:textAlignment w:val="baseline"/>
        <w:rPr>
          <w:rFonts w:ascii="Arial" w:hAnsi="Arial" w:cs="Arial"/>
          <w:sz w:val="24"/>
          <w:szCs w:val="24"/>
          <w:lang w:eastAsia="en-GB"/>
        </w:rPr>
      </w:pPr>
      <w:r>
        <w:rPr>
          <w:rFonts w:ascii="Arial" w:hAnsi="Arial" w:cs="Arial"/>
          <w:sz w:val="24"/>
          <w:szCs w:val="24"/>
          <w:lang w:eastAsia="en-GB"/>
        </w:rPr>
        <w:t>Risk Management</w:t>
      </w:r>
      <w:r w:rsidRPr="000D756E">
        <w:rPr>
          <w:rFonts w:ascii="Arial" w:hAnsi="Arial" w:cs="Arial"/>
          <w:sz w:val="24"/>
          <w:szCs w:val="24"/>
          <w:lang w:eastAsia="en-GB"/>
        </w:rPr>
        <w:t>; </w:t>
      </w:r>
    </w:p>
    <w:p w14:paraId="76C7590E" w14:textId="77777777" w:rsidR="008276C3" w:rsidRPr="000D756E" w:rsidRDefault="008276C3" w:rsidP="008276C3">
      <w:pPr>
        <w:numPr>
          <w:ilvl w:val="0"/>
          <w:numId w:val="57"/>
        </w:numPr>
        <w:ind w:firstLine="0"/>
        <w:textAlignment w:val="baseline"/>
        <w:rPr>
          <w:rFonts w:ascii="Arial" w:hAnsi="Arial" w:cs="Arial"/>
          <w:sz w:val="24"/>
          <w:szCs w:val="24"/>
          <w:lang w:eastAsia="en-GB"/>
        </w:rPr>
      </w:pPr>
      <w:r>
        <w:rPr>
          <w:rFonts w:ascii="Arial" w:hAnsi="Arial" w:cs="Arial"/>
          <w:sz w:val="24"/>
          <w:szCs w:val="24"/>
          <w:lang w:eastAsia="en-GB"/>
        </w:rPr>
        <w:t>Project Management</w:t>
      </w:r>
      <w:r w:rsidRPr="000D756E">
        <w:rPr>
          <w:rFonts w:ascii="Arial" w:hAnsi="Arial" w:cs="Arial"/>
          <w:sz w:val="24"/>
          <w:szCs w:val="24"/>
          <w:lang w:eastAsia="en-GB"/>
        </w:rPr>
        <w:t>; </w:t>
      </w:r>
    </w:p>
    <w:p w14:paraId="58B06765" w14:textId="77777777" w:rsidR="008276C3" w:rsidRPr="000D756E" w:rsidRDefault="008276C3" w:rsidP="008276C3">
      <w:pPr>
        <w:numPr>
          <w:ilvl w:val="0"/>
          <w:numId w:val="57"/>
        </w:numPr>
        <w:ind w:firstLine="0"/>
        <w:textAlignment w:val="baseline"/>
        <w:rPr>
          <w:rFonts w:ascii="Arial" w:hAnsi="Arial" w:cs="Arial"/>
          <w:sz w:val="24"/>
          <w:szCs w:val="24"/>
          <w:lang w:eastAsia="en-GB"/>
        </w:rPr>
      </w:pPr>
      <w:r>
        <w:rPr>
          <w:rFonts w:ascii="Arial" w:hAnsi="Arial" w:cs="Arial"/>
          <w:sz w:val="24"/>
          <w:szCs w:val="24"/>
          <w:lang w:eastAsia="en-GB"/>
        </w:rPr>
        <w:t>Productivity Management and Data Quality</w:t>
      </w:r>
      <w:r w:rsidRPr="000D756E">
        <w:rPr>
          <w:rFonts w:ascii="Arial" w:hAnsi="Arial" w:cs="Arial"/>
          <w:sz w:val="24"/>
          <w:szCs w:val="24"/>
          <w:lang w:eastAsia="en-GB"/>
        </w:rPr>
        <w:t>; </w:t>
      </w:r>
    </w:p>
    <w:p w14:paraId="027B6A88" w14:textId="77777777" w:rsidR="008276C3" w:rsidRPr="000D756E" w:rsidRDefault="008276C3" w:rsidP="008276C3">
      <w:pPr>
        <w:numPr>
          <w:ilvl w:val="0"/>
          <w:numId w:val="57"/>
        </w:numPr>
        <w:ind w:firstLine="0"/>
        <w:textAlignment w:val="baseline"/>
        <w:rPr>
          <w:rFonts w:ascii="Arial" w:hAnsi="Arial" w:cs="Arial"/>
          <w:sz w:val="24"/>
          <w:szCs w:val="24"/>
          <w:lang w:eastAsia="en-GB"/>
        </w:rPr>
      </w:pPr>
      <w:r>
        <w:rPr>
          <w:rFonts w:ascii="Arial" w:hAnsi="Arial" w:cs="Arial"/>
          <w:sz w:val="24"/>
          <w:szCs w:val="24"/>
          <w:lang w:eastAsia="en-GB"/>
        </w:rPr>
        <w:t>Operational Assurance</w:t>
      </w:r>
      <w:r w:rsidRPr="000D756E">
        <w:rPr>
          <w:rFonts w:ascii="Arial" w:hAnsi="Arial" w:cs="Arial"/>
          <w:sz w:val="24"/>
          <w:szCs w:val="24"/>
          <w:lang w:eastAsia="en-GB"/>
        </w:rPr>
        <w:t>; </w:t>
      </w:r>
    </w:p>
    <w:p w14:paraId="53B298E7" w14:textId="77777777" w:rsidR="008276C3" w:rsidRPr="000D756E" w:rsidRDefault="008276C3" w:rsidP="008276C3">
      <w:pPr>
        <w:numPr>
          <w:ilvl w:val="0"/>
          <w:numId w:val="57"/>
        </w:numPr>
        <w:ind w:firstLine="0"/>
        <w:textAlignment w:val="baseline"/>
        <w:rPr>
          <w:rFonts w:ascii="Arial" w:hAnsi="Arial" w:cs="Arial"/>
          <w:sz w:val="24"/>
          <w:szCs w:val="24"/>
          <w:lang w:eastAsia="en-GB"/>
        </w:rPr>
      </w:pPr>
      <w:r>
        <w:rPr>
          <w:rFonts w:ascii="Arial" w:hAnsi="Arial" w:cs="Arial"/>
          <w:sz w:val="24"/>
          <w:szCs w:val="24"/>
          <w:lang w:eastAsia="en-GB"/>
        </w:rPr>
        <w:t>Completion of Absence Management</w:t>
      </w:r>
      <w:r w:rsidRPr="000D756E">
        <w:rPr>
          <w:rFonts w:ascii="Arial" w:hAnsi="Arial" w:cs="Arial"/>
          <w:sz w:val="24"/>
          <w:szCs w:val="24"/>
          <w:lang w:eastAsia="en-GB"/>
        </w:rPr>
        <w:t>.  </w:t>
      </w:r>
    </w:p>
    <w:p w14:paraId="05A0CA4A"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047D2060" w14:textId="77777777" w:rsidR="008276C3" w:rsidRPr="000D756E" w:rsidRDefault="008276C3" w:rsidP="008276C3">
      <w:pPr>
        <w:ind w:left="360"/>
        <w:textAlignment w:val="baseline"/>
        <w:rPr>
          <w:rFonts w:ascii="Arial" w:hAnsi="Arial" w:cs="Arial"/>
          <w:sz w:val="24"/>
          <w:szCs w:val="24"/>
          <w:lang w:eastAsia="en-GB"/>
        </w:rPr>
      </w:pPr>
      <w:r w:rsidRPr="000D756E">
        <w:rPr>
          <w:rFonts w:ascii="Arial" w:hAnsi="Arial" w:cs="Arial"/>
          <w:sz w:val="24"/>
          <w:szCs w:val="24"/>
          <w:lang w:eastAsia="en-GB"/>
        </w:rPr>
        <w:t> </w:t>
      </w:r>
    </w:p>
    <w:p w14:paraId="4F4FABC9"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The Role of the Chief Financial Officer</w:t>
      </w:r>
      <w:r w:rsidRPr="000D756E">
        <w:rPr>
          <w:rFonts w:ascii="Arial" w:hAnsi="Arial" w:cs="Arial"/>
          <w:sz w:val="24"/>
          <w:szCs w:val="24"/>
          <w:lang w:eastAsia="en-GB"/>
        </w:rPr>
        <w:t>  </w:t>
      </w:r>
    </w:p>
    <w:p w14:paraId="3E7E1E9A"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0768D8F5"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Authority is compliant with the CIPFA Statement on the Role of the Chief Financial Officer in Local Government (2016).  </w:t>
      </w:r>
    </w:p>
    <w:p w14:paraId="5C57EEC4"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346FC526"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A Service Level Agreement has been put in place between Shropshire Council and Shropshire and Wrekin Fire and Rescue Authority, for the provision of financial advice and representation.  </w:t>
      </w:r>
    </w:p>
    <w:p w14:paraId="3EEB0484"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59192141"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Shropshire Council’s Executive Director of Resources acts as Treasurer to Shropshire and Wrekin Fire and Rescue Authority to ensure the sound administration of the financial affairs of the Authority, as required by the statutory duties associated with section 151 of the Local Government Act 1972, the Local Government Finance Act 1988 and the Accounts and Audit Regulations 2015.  </w:t>
      </w:r>
    </w:p>
    <w:p w14:paraId="341DAAA2"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7127D188"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Chief Financial Officer’s role is discharged through:  </w:t>
      </w:r>
    </w:p>
    <w:p w14:paraId="1F9E2F97" w14:textId="77777777" w:rsidR="008276C3" w:rsidRPr="000D756E" w:rsidRDefault="008276C3" w:rsidP="008276C3">
      <w:pPr>
        <w:numPr>
          <w:ilvl w:val="0"/>
          <w:numId w:val="58"/>
        </w:numPr>
        <w:ind w:firstLine="0"/>
        <w:textAlignment w:val="baseline"/>
        <w:rPr>
          <w:rFonts w:ascii="Arial" w:hAnsi="Arial" w:cs="Arial"/>
          <w:sz w:val="24"/>
          <w:szCs w:val="24"/>
          <w:lang w:eastAsia="en-GB"/>
        </w:rPr>
      </w:pPr>
      <w:r w:rsidRPr="000D756E">
        <w:rPr>
          <w:rFonts w:ascii="Arial" w:hAnsi="Arial" w:cs="Arial"/>
          <w:sz w:val="24"/>
          <w:szCs w:val="24"/>
          <w:lang w:eastAsia="en-GB"/>
        </w:rPr>
        <w:lastRenderedPageBreak/>
        <w:t>Provision of advice and support on application of accounting policies and procedures and adherence to International Financial Reporting Standards.  </w:t>
      </w:r>
    </w:p>
    <w:p w14:paraId="12947DF6" w14:textId="77777777" w:rsidR="008276C3" w:rsidRPr="000D756E" w:rsidRDefault="008276C3" w:rsidP="008276C3">
      <w:pPr>
        <w:numPr>
          <w:ilvl w:val="0"/>
          <w:numId w:val="58"/>
        </w:numPr>
        <w:ind w:firstLine="0"/>
        <w:textAlignment w:val="baseline"/>
        <w:rPr>
          <w:rFonts w:ascii="Arial" w:hAnsi="Arial" w:cs="Arial"/>
          <w:sz w:val="24"/>
          <w:szCs w:val="24"/>
          <w:lang w:eastAsia="en-GB"/>
        </w:rPr>
      </w:pPr>
      <w:r w:rsidRPr="000D756E">
        <w:rPr>
          <w:rFonts w:ascii="Arial" w:hAnsi="Arial" w:cs="Arial"/>
          <w:sz w:val="24"/>
          <w:szCs w:val="24"/>
          <w:lang w:eastAsia="en-GB"/>
        </w:rPr>
        <w:t>Attendance by the Treasurer or nominated representative at the following statutory meetings held with Fire Authority Members:  </w:t>
      </w:r>
    </w:p>
    <w:p w14:paraId="65B1127E" w14:textId="77777777" w:rsidR="008276C3" w:rsidRPr="000D756E" w:rsidRDefault="008276C3" w:rsidP="008276C3">
      <w:pPr>
        <w:numPr>
          <w:ilvl w:val="0"/>
          <w:numId w:val="59"/>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Meetings of the Fire and Rescue Authority;   </w:t>
      </w:r>
    </w:p>
    <w:p w14:paraId="551F5A97" w14:textId="77777777" w:rsidR="008276C3" w:rsidRPr="000D756E" w:rsidRDefault="008276C3" w:rsidP="008276C3">
      <w:pPr>
        <w:numPr>
          <w:ilvl w:val="0"/>
          <w:numId w:val="59"/>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Meetings of the Strategy and Resources Committee; and  </w:t>
      </w:r>
    </w:p>
    <w:p w14:paraId="2EE3457F" w14:textId="77777777" w:rsidR="008276C3" w:rsidRPr="000D756E" w:rsidRDefault="008276C3" w:rsidP="008276C3">
      <w:pPr>
        <w:numPr>
          <w:ilvl w:val="0"/>
          <w:numId w:val="59"/>
        </w:numPr>
        <w:ind w:left="1440" w:firstLine="0"/>
        <w:textAlignment w:val="baseline"/>
        <w:rPr>
          <w:rFonts w:ascii="Arial" w:hAnsi="Arial" w:cs="Arial"/>
          <w:sz w:val="24"/>
          <w:szCs w:val="24"/>
          <w:lang w:eastAsia="en-GB"/>
        </w:rPr>
      </w:pPr>
      <w:r w:rsidRPr="000D756E">
        <w:rPr>
          <w:rFonts w:ascii="Arial" w:hAnsi="Arial" w:cs="Arial"/>
          <w:sz w:val="24"/>
          <w:szCs w:val="24"/>
          <w:lang w:eastAsia="en-GB"/>
        </w:rPr>
        <w:t>Meetings of the Standards, Audit and Performance Committee.   </w:t>
      </w:r>
    </w:p>
    <w:p w14:paraId="5FEDEF87" w14:textId="77777777" w:rsidR="008276C3" w:rsidRPr="000D756E" w:rsidRDefault="008276C3" w:rsidP="008276C3">
      <w:pPr>
        <w:numPr>
          <w:ilvl w:val="0"/>
          <w:numId w:val="60"/>
        </w:numPr>
        <w:ind w:firstLine="0"/>
        <w:textAlignment w:val="baseline"/>
        <w:rPr>
          <w:rFonts w:ascii="Arial" w:hAnsi="Arial" w:cs="Arial"/>
          <w:sz w:val="24"/>
          <w:szCs w:val="24"/>
          <w:lang w:eastAsia="en-GB"/>
        </w:rPr>
      </w:pPr>
      <w:r w:rsidRPr="000D756E">
        <w:rPr>
          <w:rFonts w:ascii="Arial" w:hAnsi="Arial" w:cs="Arial"/>
          <w:sz w:val="24"/>
          <w:szCs w:val="24"/>
          <w:lang w:eastAsia="en-GB"/>
        </w:rPr>
        <w:t>Regular Chair’s briefings and internal meetings, as well as regular liaison with the internal Head of Finance (Deputy Section 151 Officer), and the internal Fire Authority Finance Team. </w:t>
      </w:r>
    </w:p>
    <w:p w14:paraId="460AF871"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In addition to the provision of section 151 duties, Shropshire Council provides access to a number of services, for example the Fire Authority’s Finance Team will have direct access to the Council’s Financial Forward Planning Team and can provide resilience and development through staff rotation and secondments.</w:t>
      </w:r>
      <w:r w:rsidRPr="000D756E">
        <w:rPr>
          <w:rFonts w:ascii="Arial" w:hAnsi="Arial" w:cs="Arial"/>
          <w:b/>
          <w:bCs/>
          <w:sz w:val="24"/>
          <w:szCs w:val="24"/>
          <w:lang w:eastAsia="en-GB"/>
        </w:rPr>
        <w:t> </w:t>
      </w:r>
      <w:r w:rsidRPr="000D756E">
        <w:rPr>
          <w:rFonts w:ascii="Arial" w:hAnsi="Arial" w:cs="Arial"/>
          <w:sz w:val="24"/>
          <w:szCs w:val="24"/>
          <w:lang w:eastAsia="en-GB"/>
        </w:rPr>
        <w:t>  </w:t>
      </w:r>
    </w:p>
    <w:p w14:paraId="2DE9DE32"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7FFDE127"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Council endeavours to consult with the Fire Authority on any key or principal decisions, outside the formal services agreed within the service level agreement.  </w:t>
      </w:r>
    </w:p>
    <w:p w14:paraId="49B38FD3"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08A178D5"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CIPFA Financial Management Code</w:t>
      </w:r>
      <w:r w:rsidRPr="000D756E">
        <w:rPr>
          <w:rFonts w:ascii="Arial" w:hAnsi="Arial" w:cs="Arial"/>
          <w:sz w:val="24"/>
          <w:szCs w:val="24"/>
          <w:lang w:eastAsia="en-GB"/>
        </w:rPr>
        <w:t> </w:t>
      </w:r>
    </w:p>
    <w:p w14:paraId="35A53B6D"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1EE59958"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CIPFA Financial Management Code (the FM Code) is designed to support good practice in financial management and assist in demonstrating the Fire Authority’s financial sustainability. Compliance with the FM Code is the collective responsibility of elected members, the Chief Finance Officer and the senior leadership of the organisation.  </w:t>
      </w:r>
    </w:p>
    <w:p w14:paraId="69388927"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38F2823F"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way compliance with the FM Code is demonstrated should be proportionate to the circumstances of each local authority.  </w:t>
      </w:r>
    </w:p>
    <w:p w14:paraId="4A7B8600"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7FD0830A"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six principles of good financial management have been developed to focus on an approach which will determine whether, in applying the standards of financial management, a local authority is financially sustainable. The principles are: </w:t>
      </w:r>
    </w:p>
    <w:p w14:paraId="7D401D0D"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1FA776D5"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Organisational Leadership</w:t>
      </w:r>
      <w:r w:rsidRPr="000D756E">
        <w:rPr>
          <w:rFonts w:ascii="Arial" w:hAnsi="Arial" w:cs="Arial"/>
          <w:sz w:val="24"/>
          <w:szCs w:val="24"/>
          <w:lang w:eastAsia="en-GB"/>
        </w:rPr>
        <w:t xml:space="preserve"> – demonstrating clear strategic direction based on a vision where financial management is embedded into organisational culture </w:t>
      </w:r>
    </w:p>
    <w:p w14:paraId="76868DA3"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Accountability</w:t>
      </w:r>
      <w:r w:rsidRPr="000D756E">
        <w:rPr>
          <w:rFonts w:ascii="Arial" w:hAnsi="Arial" w:cs="Arial"/>
          <w:sz w:val="24"/>
          <w:szCs w:val="24"/>
          <w:lang w:eastAsia="en-GB"/>
        </w:rPr>
        <w:t xml:space="preserve"> – medium term financial planning that drives the annual budget process and is supported by effective risk management, quality supporting data and whole life costs </w:t>
      </w:r>
    </w:p>
    <w:p w14:paraId="22F49243"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Transparency</w:t>
      </w:r>
      <w:r w:rsidRPr="000D756E">
        <w:rPr>
          <w:rFonts w:ascii="Arial" w:hAnsi="Arial" w:cs="Arial"/>
          <w:sz w:val="24"/>
          <w:szCs w:val="24"/>
          <w:lang w:eastAsia="en-GB"/>
        </w:rPr>
        <w:t xml:space="preserve"> – financial management is undertaken with transparency, using consistent meaning and understandable data, reported frequently with evidence of officer action and elected member decision making </w:t>
      </w:r>
    </w:p>
    <w:p w14:paraId="1B9BEB7C"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Standards</w:t>
      </w:r>
      <w:r w:rsidRPr="000D756E">
        <w:rPr>
          <w:rFonts w:ascii="Arial" w:hAnsi="Arial" w:cs="Arial"/>
          <w:sz w:val="24"/>
          <w:szCs w:val="24"/>
          <w:lang w:eastAsia="en-GB"/>
        </w:rPr>
        <w:t xml:space="preserve"> – adherence to professional standards is promoted by the leadership team and evidenced </w:t>
      </w:r>
    </w:p>
    <w:p w14:paraId="47A5B10A"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Assurance</w:t>
      </w:r>
      <w:r w:rsidRPr="000D756E">
        <w:rPr>
          <w:rFonts w:ascii="Arial" w:hAnsi="Arial" w:cs="Arial"/>
          <w:sz w:val="24"/>
          <w:szCs w:val="24"/>
          <w:lang w:eastAsia="en-GB"/>
        </w:rPr>
        <w:t xml:space="preserve"> – sources of assurance are recognised as an effective tool for financial management, including political scrutiny and the results of internal and external audit and inspection </w:t>
      </w:r>
    </w:p>
    <w:p w14:paraId="3A85A0EE"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Sustainability</w:t>
      </w:r>
      <w:r w:rsidRPr="000D756E">
        <w:rPr>
          <w:rFonts w:ascii="Arial" w:hAnsi="Arial" w:cs="Arial"/>
          <w:sz w:val="24"/>
          <w:szCs w:val="24"/>
          <w:lang w:eastAsia="en-GB"/>
        </w:rPr>
        <w:t xml:space="preserve"> – long term sustainability of services is at the centre of all financial management processes and is evidenced by prudent use of public resources. </w:t>
      </w:r>
    </w:p>
    <w:p w14:paraId="337B8B33"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2597FAF8"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lastRenderedPageBreak/>
        <w:t>Officers will continue to work with members and partners to identify and improve performance against the principles detailed within the FM Code. </w:t>
      </w:r>
    </w:p>
    <w:p w14:paraId="5283D4F5"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268DA52E"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Significant Internal Control Issues</w:t>
      </w:r>
      <w:r w:rsidRPr="000D756E">
        <w:rPr>
          <w:rFonts w:ascii="Arial" w:hAnsi="Arial" w:cs="Arial"/>
          <w:sz w:val="24"/>
          <w:szCs w:val="24"/>
          <w:lang w:eastAsia="en-GB"/>
        </w:rPr>
        <w:t xml:space="preserve">  </w:t>
      </w:r>
    </w:p>
    <w:p w14:paraId="230697F3"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4F000EA2" w14:textId="77777777" w:rsidR="008276C3" w:rsidRPr="00EB7425" w:rsidRDefault="008276C3" w:rsidP="008276C3">
      <w:pPr>
        <w:rPr>
          <w:rFonts w:ascii="Arial" w:hAnsi="Arial" w:cs="Arial"/>
          <w:sz w:val="24"/>
          <w:szCs w:val="24"/>
        </w:rPr>
      </w:pPr>
      <w:r>
        <w:rPr>
          <w:rFonts w:ascii="Arial" w:hAnsi="Arial" w:cs="Arial"/>
          <w:sz w:val="24"/>
          <w:szCs w:val="24"/>
        </w:rPr>
        <w:t>During the summer of 2024, i</w:t>
      </w:r>
      <w:r w:rsidRPr="00EB7425">
        <w:rPr>
          <w:rFonts w:ascii="Arial" w:hAnsi="Arial" w:cs="Arial"/>
          <w:sz w:val="24"/>
          <w:szCs w:val="24"/>
        </w:rPr>
        <w:t>nvestigations were undertaken as a result of allegations made against senior officers</w:t>
      </w:r>
      <w:r>
        <w:rPr>
          <w:rFonts w:ascii="Arial" w:hAnsi="Arial" w:cs="Arial"/>
          <w:sz w:val="24"/>
          <w:szCs w:val="24"/>
        </w:rPr>
        <w:t>.</w:t>
      </w:r>
      <w:r w:rsidRPr="00EB7425">
        <w:rPr>
          <w:rFonts w:ascii="Arial" w:hAnsi="Arial" w:cs="Arial"/>
          <w:sz w:val="24"/>
          <w:szCs w:val="24"/>
        </w:rPr>
        <w:t xml:space="preserve"> As a result of the investigations, a number of areas for consideration were identified:</w:t>
      </w:r>
    </w:p>
    <w:p w14:paraId="503E3005" w14:textId="77777777" w:rsidR="008276C3" w:rsidRPr="00EB7425" w:rsidRDefault="008276C3" w:rsidP="008276C3">
      <w:pPr>
        <w:pStyle w:val="ListParagraph"/>
        <w:numPr>
          <w:ilvl w:val="0"/>
          <w:numId w:val="62"/>
        </w:numPr>
        <w:spacing w:after="160" w:line="254" w:lineRule="auto"/>
        <w:contextualSpacing/>
        <w:rPr>
          <w:rFonts w:ascii="Arial" w:hAnsi="Arial" w:cs="Arial"/>
          <w:szCs w:val="24"/>
        </w:rPr>
      </w:pPr>
      <w:r w:rsidRPr="00EB7425">
        <w:rPr>
          <w:rFonts w:ascii="Arial" w:hAnsi="Arial" w:cs="Arial"/>
          <w:szCs w:val="24"/>
        </w:rPr>
        <w:t>ensure that policies and procedures reflect best practice and are fit for purpose;</w:t>
      </w:r>
    </w:p>
    <w:p w14:paraId="7CC5217B" w14:textId="77777777" w:rsidR="008276C3" w:rsidRPr="00EB7425" w:rsidRDefault="008276C3" w:rsidP="008276C3">
      <w:pPr>
        <w:pStyle w:val="ListParagraph"/>
        <w:numPr>
          <w:ilvl w:val="0"/>
          <w:numId w:val="62"/>
        </w:numPr>
        <w:spacing w:after="160" w:line="254" w:lineRule="auto"/>
        <w:contextualSpacing/>
        <w:rPr>
          <w:rFonts w:ascii="Arial" w:hAnsi="Arial" w:cs="Arial"/>
          <w:szCs w:val="24"/>
        </w:rPr>
      </w:pPr>
      <w:r w:rsidRPr="00EB7425">
        <w:rPr>
          <w:rFonts w:ascii="Arial" w:hAnsi="Arial" w:cs="Arial"/>
          <w:szCs w:val="24"/>
        </w:rPr>
        <w:t>include levels of decision making and delegation, across the Service and the Authority</w:t>
      </w:r>
      <w:r>
        <w:rPr>
          <w:rFonts w:ascii="Arial" w:hAnsi="Arial" w:cs="Arial"/>
          <w:szCs w:val="24"/>
        </w:rPr>
        <w:t>, within the review</w:t>
      </w:r>
      <w:r w:rsidRPr="00EB7425">
        <w:rPr>
          <w:rFonts w:ascii="Arial" w:hAnsi="Arial" w:cs="Arial"/>
          <w:szCs w:val="24"/>
        </w:rPr>
        <w:t>;</w:t>
      </w:r>
    </w:p>
    <w:p w14:paraId="31A25A94" w14:textId="77777777" w:rsidR="008276C3" w:rsidRPr="00EB7425" w:rsidRDefault="008276C3" w:rsidP="008276C3">
      <w:pPr>
        <w:pStyle w:val="ListParagraph"/>
        <w:numPr>
          <w:ilvl w:val="0"/>
          <w:numId w:val="63"/>
        </w:numPr>
        <w:spacing w:after="160" w:line="254" w:lineRule="auto"/>
        <w:contextualSpacing/>
        <w:rPr>
          <w:rFonts w:ascii="Arial" w:hAnsi="Arial" w:cs="Arial"/>
          <w:szCs w:val="24"/>
        </w:rPr>
      </w:pPr>
      <w:r>
        <w:rPr>
          <w:rFonts w:ascii="Arial" w:hAnsi="Arial" w:cs="Arial"/>
          <w:szCs w:val="24"/>
        </w:rPr>
        <w:t xml:space="preserve">ensure that </w:t>
      </w:r>
      <w:r w:rsidRPr="00EB7425">
        <w:rPr>
          <w:rFonts w:ascii="Arial" w:hAnsi="Arial" w:cs="Arial"/>
          <w:szCs w:val="24"/>
        </w:rPr>
        <w:t xml:space="preserve">policies and procedures </w:t>
      </w:r>
      <w:r>
        <w:rPr>
          <w:rFonts w:ascii="Arial" w:hAnsi="Arial" w:cs="Arial"/>
          <w:szCs w:val="24"/>
        </w:rPr>
        <w:t>are</w:t>
      </w:r>
      <w:r w:rsidRPr="00EB7425">
        <w:rPr>
          <w:rFonts w:ascii="Arial" w:hAnsi="Arial" w:cs="Arial"/>
          <w:szCs w:val="24"/>
        </w:rPr>
        <w:t xml:space="preserve"> adhered to in relation to the investigation of complaints and disciplinary matters;</w:t>
      </w:r>
    </w:p>
    <w:p w14:paraId="3C79B303" w14:textId="77777777" w:rsidR="008276C3" w:rsidRPr="00EB7425" w:rsidRDefault="008276C3" w:rsidP="008276C3">
      <w:pPr>
        <w:pStyle w:val="ListParagraph"/>
        <w:numPr>
          <w:ilvl w:val="0"/>
          <w:numId w:val="63"/>
        </w:numPr>
        <w:spacing w:after="160" w:line="254" w:lineRule="auto"/>
        <w:contextualSpacing/>
        <w:rPr>
          <w:rFonts w:ascii="Arial" w:hAnsi="Arial" w:cs="Arial"/>
          <w:szCs w:val="24"/>
        </w:rPr>
      </w:pPr>
      <w:r w:rsidRPr="00EB7425">
        <w:rPr>
          <w:rFonts w:ascii="Arial" w:hAnsi="Arial" w:cs="Arial"/>
          <w:szCs w:val="24"/>
        </w:rPr>
        <w:t>provide</w:t>
      </w:r>
      <w:r>
        <w:rPr>
          <w:rFonts w:ascii="Arial" w:hAnsi="Arial" w:cs="Arial"/>
          <w:szCs w:val="24"/>
        </w:rPr>
        <w:t xml:space="preserve"> greater assurance</w:t>
      </w:r>
      <w:r w:rsidRPr="00EB7425">
        <w:rPr>
          <w:rFonts w:ascii="Arial" w:hAnsi="Arial" w:cs="Arial"/>
          <w:szCs w:val="24"/>
        </w:rPr>
        <w:t xml:space="preserve"> to all employees that complaints can be reported through the confidential reporting line, and will remain anonymous.</w:t>
      </w:r>
    </w:p>
    <w:p w14:paraId="23D54C5D" w14:textId="77777777" w:rsidR="008276C3" w:rsidRDefault="008276C3" w:rsidP="008276C3">
      <w:pPr>
        <w:pStyle w:val="NormalWeb"/>
        <w:rPr>
          <w:rFonts w:ascii="Arial" w:hAnsi="Arial" w:cs="Arial"/>
          <w:color w:val="auto"/>
        </w:rPr>
      </w:pPr>
      <w:r>
        <w:rPr>
          <w:rFonts w:ascii="Arial" w:hAnsi="Arial" w:cs="Arial"/>
          <w:color w:val="auto"/>
        </w:rPr>
        <w:t>A revised disciplinary process was approved by the Fire Authority in July 2024.</w:t>
      </w:r>
    </w:p>
    <w:p w14:paraId="48DF5032" w14:textId="77777777" w:rsidR="008276C3" w:rsidRDefault="008276C3" w:rsidP="008276C3">
      <w:pPr>
        <w:pStyle w:val="NormalWeb"/>
        <w:rPr>
          <w:rFonts w:ascii="Arial" w:hAnsi="Arial" w:cs="Arial"/>
          <w:color w:val="auto"/>
        </w:rPr>
      </w:pPr>
    </w:p>
    <w:p w14:paraId="3A1461C9" w14:textId="77777777" w:rsidR="008276C3" w:rsidRPr="000D756E" w:rsidRDefault="008276C3" w:rsidP="008276C3">
      <w:pPr>
        <w:pStyle w:val="NormalWeb"/>
        <w:rPr>
          <w:rFonts w:ascii="Arial" w:hAnsi="Arial" w:cs="Arial"/>
          <w:color w:val="auto"/>
        </w:rPr>
      </w:pPr>
      <w:r w:rsidRPr="000D756E">
        <w:rPr>
          <w:rFonts w:ascii="Arial" w:hAnsi="Arial" w:cs="Arial"/>
          <w:color w:val="auto"/>
        </w:rPr>
        <w:t xml:space="preserve">In June 2024, His Majesty’s Inspectorate of Constabulary and Fire and Rescue Services (HMICFRS) undertook an inspection of the Service. </w:t>
      </w:r>
    </w:p>
    <w:p w14:paraId="3AF82AC5" w14:textId="77777777" w:rsidR="008276C3" w:rsidRPr="000D756E" w:rsidRDefault="008276C3" w:rsidP="008276C3">
      <w:pPr>
        <w:pStyle w:val="NormalWeb"/>
        <w:rPr>
          <w:rFonts w:ascii="Arial" w:hAnsi="Arial" w:cs="Arial"/>
          <w:color w:val="auto"/>
        </w:rPr>
      </w:pPr>
      <w:r w:rsidRPr="000D756E">
        <w:rPr>
          <w:rFonts w:ascii="Arial" w:hAnsi="Arial" w:cs="Arial"/>
          <w:color w:val="auto"/>
        </w:rPr>
        <w:t>The inspection gave a rounded assessment of the Service, including how the operational service provides service to the public, how effective and efficient its use of resources is, and how well the service looks after its people.</w:t>
      </w:r>
    </w:p>
    <w:p w14:paraId="5D8D9DBC" w14:textId="77777777" w:rsidR="008276C3" w:rsidRPr="000D756E" w:rsidRDefault="008276C3" w:rsidP="008276C3">
      <w:pPr>
        <w:pStyle w:val="NormalWeb"/>
        <w:rPr>
          <w:rFonts w:ascii="Arial" w:hAnsi="Arial" w:cs="Arial"/>
          <w:color w:val="auto"/>
        </w:rPr>
      </w:pPr>
      <w:r>
        <w:rPr>
          <w:rFonts w:ascii="Arial" w:hAnsi="Arial" w:cs="Arial"/>
          <w:color w:val="auto"/>
        </w:rPr>
        <w:t>In November 2024 t</w:t>
      </w:r>
      <w:r w:rsidRPr="000D756E">
        <w:rPr>
          <w:rFonts w:ascii="Arial" w:hAnsi="Arial" w:cs="Arial"/>
          <w:color w:val="auto"/>
        </w:rPr>
        <w:t>he Service received one ‘good’ rating, three ‘adequate’ ratings, six ‘requires improvement’ ratings and one ‘inadequate’ rating.</w:t>
      </w:r>
    </w:p>
    <w:p w14:paraId="1CE90ACB" w14:textId="77777777" w:rsidR="008276C3" w:rsidRPr="000D756E" w:rsidRDefault="008276C3" w:rsidP="008276C3">
      <w:pPr>
        <w:pStyle w:val="NormalWeb"/>
        <w:rPr>
          <w:rFonts w:ascii="Arial" w:hAnsi="Arial" w:cs="Arial"/>
          <w:color w:val="auto"/>
        </w:rPr>
      </w:pPr>
      <w:r w:rsidRPr="000D756E">
        <w:rPr>
          <w:rFonts w:ascii="Arial" w:hAnsi="Arial" w:cs="Arial"/>
          <w:color w:val="auto"/>
        </w:rPr>
        <w:t xml:space="preserve">Principal findings from assessment of the Service </w:t>
      </w:r>
      <w:r>
        <w:rPr>
          <w:rFonts w:ascii="Arial" w:hAnsi="Arial" w:cs="Arial"/>
          <w:color w:val="auto"/>
        </w:rPr>
        <w:t>were</w:t>
      </w:r>
      <w:r w:rsidRPr="000D756E">
        <w:rPr>
          <w:rFonts w:ascii="Arial" w:hAnsi="Arial" w:cs="Arial"/>
          <w:color w:val="auto"/>
        </w:rPr>
        <w:t>:</w:t>
      </w:r>
    </w:p>
    <w:p w14:paraId="334FCAE4" w14:textId="77777777" w:rsidR="008276C3" w:rsidRPr="000D756E" w:rsidRDefault="008276C3" w:rsidP="008276C3">
      <w:pPr>
        <w:pStyle w:val="NormalWeb"/>
        <w:numPr>
          <w:ilvl w:val="0"/>
          <w:numId w:val="64"/>
        </w:numPr>
        <w:spacing w:after="0"/>
        <w:rPr>
          <w:rFonts w:ascii="Arial" w:hAnsi="Arial" w:cs="Arial"/>
          <w:color w:val="auto"/>
        </w:rPr>
      </w:pPr>
      <w:r w:rsidRPr="000D756E">
        <w:rPr>
          <w:rFonts w:ascii="Arial" w:hAnsi="Arial" w:cs="Arial"/>
          <w:color w:val="auto"/>
        </w:rPr>
        <w:t xml:space="preserve">The service </w:t>
      </w:r>
      <w:r>
        <w:rPr>
          <w:rFonts w:ascii="Arial" w:hAnsi="Arial" w:cs="Arial"/>
          <w:color w:val="auto"/>
        </w:rPr>
        <w:t xml:space="preserve">wasn’t </w:t>
      </w:r>
      <w:r w:rsidRPr="000D756E">
        <w:rPr>
          <w:rFonts w:ascii="Arial" w:hAnsi="Arial" w:cs="Arial"/>
          <w:color w:val="auto"/>
        </w:rPr>
        <w:t xml:space="preserve">managing its resources well, which </w:t>
      </w:r>
      <w:r>
        <w:rPr>
          <w:rFonts w:ascii="Arial" w:hAnsi="Arial" w:cs="Arial"/>
          <w:color w:val="auto"/>
        </w:rPr>
        <w:t>was</w:t>
      </w:r>
      <w:r w:rsidRPr="000D756E">
        <w:rPr>
          <w:rFonts w:ascii="Arial" w:hAnsi="Arial" w:cs="Arial"/>
          <w:color w:val="auto"/>
        </w:rPr>
        <w:t xml:space="preserve"> a cause of concern in relation to the scrutiny of financial decisions, transparency around the funding of capital projects, and performance management arrangements.</w:t>
      </w:r>
    </w:p>
    <w:p w14:paraId="172748B3" w14:textId="77777777" w:rsidR="008276C3" w:rsidRPr="000D756E" w:rsidRDefault="008276C3" w:rsidP="008276C3">
      <w:pPr>
        <w:pStyle w:val="NormalWeb"/>
        <w:numPr>
          <w:ilvl w:val="0"/>
          <w:numId w:val="64"/>
        </w:numPr>
        <w:spacing w:after="0"/>
        <w:rPr>
          <w:rFonts w:ascii="Arial" w:hAnsi="Arial" w:cs="Arial"/>
          <w:color w:val="auto"/>
        </w:rPr>
      </w:pPr>
      <w:r w:rsidRPr="000D756E">
        <w:rPr>
          <w:rFonts w:ascii="Arial" w:hAnsi="Arial" w:cs="Arial"/>
          <w:color w:val="auto"/>
        </w:rPr>
        <w:t>The service need</w:t>
      </w:r>
      <w:r>
        <w:rPr>
          <w:rFonts w:ascii="Arial" w:hAnsi="Arial" w:cs="Arial"/>
          <w:color w:val="auto"/>
        </w:rPr>
        <w:t>ed</w:t>
      </w:r>
      <w:r w:rsidRPr="000D756E">
        <w:rPr>
          <w:rFonts w:ascii="Arial" w:hAnsi="Arial" w:cs="Arial"/>
          <w:color w:val="auto"/>
        </w:rPr>
        <w:t xml:space="preserve"> to do more to improve its culture as, despite commissioning an independent review, it ha</w:t>
      </w:r>
      <w:r>
        <w:rPr>
          <w:rFonts w:ascii="Arial" w:hAnsi="Arial" w:cs="Arial"/>
          <w:color w:val="auto"/>
        </w:rPr>
        <w:t>d</w:t>
      </w:r>
      <w:r w:rsidRPr="000D756E">
        <w:rPr>
          <w:rFonts w:ascii="Arial" w:hAnsi="Arial" w:cs="Arial"/>
          <w:color w:val="auto"/>
        </w:rPr>
        <w:t xml:space="preserve">n’t progressed any of the recommendations, and some behaviour </w:t>
      </w:r>
      <w:r>
        <w:rPr>
          <w:rFonts w:ascii="Arial" w:hAnsi="Arial" w:cs="Arial"/>
          <w:color w:val="auto"/>
        </w:rPr>
        <w:t>wa</w:t>
      </w:r>
      <w:r w:rsidRPr="000D756E">
        <w:rPr>
          <w:rFonts w:ascii="Arial" w:hAnsi="Arial" w:cs="Arial"/>
          <w:color w:val="auto"/>
        </w:rPr>
        <w:t>sn’t in line with service values</w:t>
      </w:r>
    </w:p>
    <w:p w14:paraId="591CB386" w14:textId="77777777" w:rsidR="008276C3" w:rsidRPr="000D756E" w:rsidRDefault="008276C3" w:rsidP="008276C3">
      <w:pPr>
        <w:pStyle w:val="NormalWeb"/>
        <w:numPr>
          <w:ilvl w:val="0"/>
          <w:numId w:val="64"/>
        </w:numPr>
        <w:spacing w:after="0"/>
        <w:rPr>
          <w:rFonts w:ascii="Arial" w:hAnsi="Arial" w:cs="Arial"/>
          <w:color w:val="auto"/>
        </w:rPr>
      </w:pPr>
      <w:r w:rsidRPr="000D756E">
        <w:rPr>
          <w:rFonts w:ascii="Arial" w:hAnsi="Arial" w:cs="Arial"/>
          <w:color w:val="auto"/>
        </w:rPr>
        <w:t>The service ha</w:t>
      </w:r>
      <w:r>
        <w:rPr>
          <w:rFonts w:ascii="Arial" w:hAnsi="Arial" w:cs="Arial"/>
          <w:color w:val="auto"/>
        </w:rPr>
        <w:t>d</w:t>
      </w:r>
      <w:r w:rsidRPr="000D756E">
        <w:rPr>
          <w:rFonts w:ascii="Arial" w:hAnsi="Arial" w:cs="Arial"/>
          <w:color w:val="auto"/>
        </w:rPr>
        <w:t>n’t made enough progress on equality, diversity and inclusion, and ha</w:t>
      </w:r>
      <w:r>
        <w:rPr>
          <w:rFonts w:ascii="Arial" w:hAnsi="Arial" w:cs="Arial"/>
          <w:color w:val="auto"/>
        </w:rPr>
        <w:t>d</w:t>
      </w:r>
      <w:r w:rsidRPr="000D756E">
        <w:rPr>
          <w:rFonts w:ascii="Arial" w:hAnsi="Arial" w:cs="Arial"/>
          <w:color w:val="auto"/>
        </w:rPr>
        <w:t xml:space="preserve"> issues with equality impact assessments and lack of confidence in processes tackling bullying, harassment and discrimination, and for promotion</w:t>
      </w:r>
    </w:p>
    <w:p w14:paraId="3D1FF3DF" w14:textId="77777777" w:rsidR="008276C3" w:rsidRPr="000D756E" w:rsidRDefault="008276C3" w:rsidP="008276C3">
      <w:pPr>
        <w:pStyle w:val="NormalWeb"/>
        <w:numPr>
          <w:ilvl w:val="0"/>
          <w:numId w:val="64"/>
        </w:numPr>
        <w:spacing w:after="0"/>
        <w:rPr>
          <w:rFonts w:ascii="Arial" w:hAnsi="Arial" w:cs="Arial"/>
          <w:color w:val="auto"/>
        </w:rPr>
      </w:pPr>
      <w:r w:rsidRPr="000D756E">
        <w:rPr>
          <w:rFonts w:ascii="Arial" w:hAnsi="Arial" w:cs="Arial"/>
          <w:color w:val="auto"/>
        </w:rPr>
        <w:t>The service need</w:t>
      </w:r>
      <w:r>
        <w:rPr>
          <w:rFonts w:ascii="Arial" w:hAnsi="Arial" w:cs="Arial"/>
          <w:color w:val="auto"/>
        </w:rPr>
        <w:t>ed</w:t>
      </w:r>
      <w:r w:rsidRPr="000D756E">
        <w:rPr>
          <w:rFonts w:ascii="Arial" w:hAnsi="Arial" w:cs="Arial"/>
          <w:color w:val="auto"/>
        </w:rPr>
        <w:t>to do more to make sure it ha</w:t>
      </w:r>
      <w:r>
        <w:rPr>
          <w:rFonts w:ascii="Arial" w:hAnsi="Arial" w:cs="Arial"/>
          <w:color w:val="auto"/>
        </w:rPr>
        <w:t>d</w:t>
      </w:r>
      <w:r w:rsidRPr="000D756E">
        <w:rPr>
          <w:rFonts w:ascii="Arial" w:hAnsi="Arial" w:cs="Arial"/>
          <w:color w:val="auto"/>
        </w:rPr>
        <w:t xml:space="preserve"> the right skills and capacity to successfully manage change in the future, including in areas such as estates, information and communication technology (ICT) and project management. </w:t>
      </w:r>
    </w:p>
    <w:p w14:paraId="0DDB83D6" w14:textId="77777777" w:rsidR="008276C3" w:rsidRPr="000D756E" w:rsidRDefault="008276C3" w:rsidP="008276C3">
      <w:pPr>
        <w:textAlignment w:val="baseline"/>
        <w:rPr>
          <w:rFonts w:ascii="Arial" w:hAnsi="Arial" w:cs="Arial"/>
          <w:sz w:val="24"/>
          <w:szCs w:val="24"/>
          <w:lang w:eastAsia="en-GB"/>
        </w:rPr>
      </w:pPr>
    </w:p>
    <w:p w14:paraId="395D69B5"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xml:space="preserve">Officers and members accepted the findings of the inspection and </w:t>
      </w:r>
      <w:r>
        <w:rPr>
          <w:rFonts w:ascii="Arial" w:hAnsi="Arial" w:cs="Arial"/>
          <w:sz w:val="24"/>
          <w:szCs w:val="24"/>
          <w:lang w:eastAsia="en-GB"/>
        </w:rPr>
        <w:t xml:space="preserve">as well as arrangements being put in place to action areas for improvement, </w:t>
      </w:r>
      <w:r w:rsidRPr="000D756E">
        <w:rPr>
          <w:rFonts w:ascii="Arial" w:hAnsi="Arial" w:cs="Arial"/>
          <w:sz w:val="24"/>
          <w:szCs w:val="24"/>
          <w:lang w:eastAsia="en-GB"/>
        </w:rPr>
        <w:t xml:space="preserve">a plan </w:t>
      </w:r>
      <w:r>
        <w:rPr>
          <w:rFonts w:ascii="Arial" w:hAnsi="Arial" w:cs="Arial"/>
          <w:sz w:val="24"/>
          <w:szCs w:val="24"/>
          <w:lang w:eastAsia="en-GB"/>
        </w:rPr>
        <w:t>was</w:t>
      </w:r>
      <w:r w:rsidRPr="000D756E">
        <w:rPr>
          <w:rFonts w:ascii="Arial" w:hAnsi="Arial" w:cs="Arial"/>
          <w:sz w:val="24"/>
          <w:szCs w:val="24"/>
          <w:lang w:eastAsia="en-GB"/>
        </w:rPr>
        <w:t xml:space="preserve"> submitted to HMICFRS to demonstrate how the Service and the Authority will action its cause for concern, around making best use of resources. </w:t>
      </w:r>
    </w:p>
    <w:p w14:paraId="4FAD0ABC" w14:textId="77777777" w:rsidR="008276C3" w:rsidRPr="000D756E" w:rsidRDefault="008276C3" w:rsidP="008276C3">
      <w:pPr>
        <w:textAlignment w:val="baseline"/>
        <w:rPr>
          <w:rFonts w:ascii="Arial" w:hAnsi="Arial" w:cs="Arial"/>
          <w:sz w:val="24"/>
          <w:szCs w:val="24"/>
          <w:lang w:eastAsia="en-GB"/>
        </w:rPr>
      </w:pPr>
    </w:p>
    <w:p w14:paraId="3C81C12A"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The aim of the plan is to achieve the following outcomes:</w:t>
      </w:r>
    </w:p>
    <w:p w14:paraId="58DC2D31" w14:textId="77777777" w:rsidR="008276C3" w:rsidRPr="000D756E" w:rsidRDefault="008276C3" w:rsidP="008276C3">
      <w:pPr>
        <w:textAlignment w:val="baseline"/>
        <w:rPr>
          <w:rFonts w:ascii="Arial" w:hAnsi="Arial" w:cs="Arial"/>
          <w:sz w:val="24"/>
          <w:szCs w:val="24"/>
          <w:lang w:eastAsia="en-GB"/>
        </w:rPr>
      </w:pPr>
    </w:p>
    <w:p w14:paraId="11BE8ED7" w14:textId="77777777" w:rsidR="008276C3" w:rsidRPr="000749C4" w:rsidRDefault="008276C3" w:rsidP="008276C3">
      <w:pPr>
        <w:pStyle w:val="ListParagraph"/>
        <w:numPr>
          <w:ilvl w:val="0"/>
          <w:numId w:val="65"/>
        </w:numPr>
        <w:contextualSpacing/>
        <w:textAlignment w:val="baseline"/>
        <w:rPr>
          <w:rFonts w:ascii="Arial" w:hAnsi="Arial" w:cs="Arial"/>
          <w:szCs w:val="24"/>
          <w:lang w:eastAsia="en-GB"/>
        </w:rPr>
      </w:pPr>
      <w:r w:rsidRPr="000749C4">
        <w:rPr>
          <w:rFonts w:ascii="Arial" w:hAnsi="Arial" w:cs="Arial"/>
          <w:szCs w:val="24"/>
          <w:lang w:eastAsia="en-GB"/>
        </w:rPr>
        <w:lastRenderedPageBreak/>
        <w:t>There are appropriate strategic oversight arrangements in place to manage risks, performance and improvements plans effectively</w:t>
      </w:r>
    </w:p>
    <w:p w14:paraId="567A8002" w14:textId="77777777" w:rsidR="008276C3" w:rsidRPr="000749C4" w:rsidRDefault="008276C3" w:rsidP="008276C3">
      <w:pPr>
        <w:pStyle w:val="ListParagraph"/>
        <w:numPr>
          <w:ilvl w:val="0"/>
          <w:numId w:val="65"/>
        </w:numPr>
        <w:contextualSpacing/>
        <w:textAlignment w:val="baseline"/>
        <w:rPr>
          <w:rFonts w:ascii="Arial" w:hAnsi="Arial" w:cs="Arial"/>
          <w:szCs w:val="24"/>
          <w:lang w:eastAsia="en-GB"/>
        </w:rPr>
      </w:pPr>
      <w:r w:rsidRPr="000749C4">
        <w:rPr>
          <w:rFonts w:ascii="Arial" w:hAnsi="Arial" w:cs="Arial"/>
          <w:szCs w:val="24"/>
          <w:lang w:eastAsia="en-GB"/>
        </w:rPr>
        <w:t>The corporate risk register is actively used to mitigate and manage known risks</w:t>
      </w:r>
    </w:p>
    <w:p w14:paraId="348DA585" w14:textId="77777777" w:rsidR="008276C3" w:rsidRPr="000749C4" w:rsidRDefault="008276C3" w:rsidP="008276C3">
      <w:pPr>
        <w:pStyle w:val="ListParagraph"/>
        <w:numPr>
          <w:ilvl w:val="0"/>
          <w:numId w:val="65"/>
        </w:numPr>
        <w:contextualSpacing/>
        <w:textAlignment w:val="baseline"/>
        <w:rPr>
          <w:rFonts w:ascii="Arial" w:hAnsi="Arial" w:cs="Arial"/>
          <w:szCs w:val="24"/>
          <w:lang w:eastAsia="en-GB"/>
        </w:rPr>
      </w:pPr>
      <w:r w:rsidRPr="000749C4">
        <w:rPr>
          <w:rFonts w:ascii="Arial" w:hAnsi="Arial" w:cs="Arial"/>
          <w:szCs w:val="24"/>
          <w:lang w:eastAsia="en-GB"/>
        </w:rPr>
        <w:t>There are effective processes in place to support performance management</w:t>
      </w:r>
    </w:p>
    <w:p w14:paraId="39139C29" w14:textId="77777777" w:rsidR="008276C3" w:rsidRPr="000749C4" w:rsidRDefault="008276C3" w:rsidP="008276C3">
      <w:pPr>
        <w:pStyle w:val="ListParagraph"/>
        <w:numPr>
          <w:ilvl w:val="0"/>
          <w:numId w:val="65"/>
        </w:numPr>
        <w:contextualSpacing/>
        <w:textAlignment w:val="baseline"/>
        <w:rPr>
          <w:rFonts w:ascii="Arial" w:hAnsi="Arial" w:cs="Arial"/>
          <w:szCs w:val="24"/>
          <w:lang w:eastAsia="en-GB"/>
        </w:rPr>
      </w:pPr>
      <w:r w:rsidRPr="000749C4">
        <w:rPr>
          <w:rFonts w:ascii="Arial" w:hAnsi="Arial" w:cs="Arial"/>
          <w:szCs w:val="24"/>
          <w:lang w:eastAsia="en-GB"/>
        </w:rPr>
        <w:t>There is access to accurate data and analysis to support effective performance management</w:t>
      </w:r>
    </w:p>
    <w:p w14:paraId="405A9741" w14:textId="77777777" w:rsidR="008276C3" w:rsidRPr="000749C4" w:rsidRDefault="008276C3" w:rsidP="008276C3">
      <w:pPr>
        <w:pStyle w:val="ListParagraph"/>
        <w:numPr>
          <w:ilvl w:val="0"/>
          <w:numId w:val="65"/>
        </w:numPr>
        <w:contextualSpacing/>
        <w:textAlignment w:val="baseline"/>
        <w:rPr>
          <w:rFonts w:ascii="Arial" w:hAnsi="Arial" w:cs="Arial"/>
          <w:szCs w:val="24"/>
          <w:lang w:eastAsia="en-GB"/>
        </w:rPr>
      </w:pPr>
      <w:r w:rsidRPr="000749C4">
        <w:rPr>
          <w:rFonts w:ascii="Arial" w:hAnsi="Arial" w:cs="Arial"/>
          <w:szCs w:val="24"/>
          <w:lang w:eastAsia="en-GB"/>
        </w:rPr>
        <w:t>There are robust processes for reporting accurate and suitably detailed finance and risk information to the Fire Authority.</w:t>
      </w:r>
    </w:p>
    <w:p w14:paraId="6E696197" w14:textId="77777777" w:rsidR="008276C3" w:rsidRPr="000D756E" w:rsidRDefault="008276C3" w:rsidP="008276C3">
      <w:pPr>
        <w:textAlignment w:val="baseline"/>
        <w:rPr>
          <w:rFonts w:ascii="Arial" w:hAnsi="Arial" w:cs="Arial"/>
          <w:sz w:val="24"/>
          <w:szCs w:val="24"/>
          <w:lang w:eastAsia="en-GB"/>
        </w:rPr>
      </w:pPr>
    </w:p>
    <w:p w14:paraId="5BD1DAE9" w14:textId="77777777" w:rsidR="008276C3"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In addition to the project management approach taken to the actions within the plan, governance and scrutiny will be achieved through monitoring and review by the Service Management Team, as well as quarterly updates to the Fire Authority and its committees.</w:t>
      </w:r>
    </w:p>
    <w:p w14:paraId="1CC7FCA1" w14:textId="77777777" w:rsidR="008276C3" w:rsidRDefault="008276C3" w:rsidP="008276C3">
      <w:pPr>
        <w:textAlignment w:val="baseline"/>
        <w:rPr>
          <w:rFonts w:ascii="Arial" w:hAnsi="Arial" w:cs="Arial"/>
          <w:sz w:val="24"/>
          <w:szCs w:val="24"/>
          <w:lang w:eastAsia="en-GB"/>
        </w:rPr>
      </w:pPr>
    </w:p>
    <w:p w14:paraId="3F337A1D" w14:textId="77777777" w:rsidR="008276C3" w:rsidRPr="000D756E" w:rsidRDefault="008276C3" w:rsidP="008276C3">
      <w:pPr>
        <w:textAlignment w:val="baseline"/>
        <w:rPr>
          <w:rFonts w:ascii="Arial" w:hAnsi="Arial" w:cs="Arial"/>
          <w:sz w:val="24"/>
          <w:szCs w:val="24"/>
          <w:lang w:eastAsia="en-GB"/>
        </w:rPr>
      </w:pPr>
      <w:r>
        <w:rPr>
          <w:rFonts w:ascii="Arial" w:hAnsi="Arial" w:cs="Arial"/>
          <w:sz w:val="24"/>
          <w:szCs w:val="24"/>
          <w:lang w:eastAsia="en-GB"/>
        </w:rPr>
        <w:t>HMICFRS will undertake a further visit to the Service in July 2025 to monitor progress against the issues highlighted within its cause of concern. The Fire Authority received a report regarding progress in June 2025, where it was reported that 29 out of 64 recommendations made have now been implemented.</w:t>
      </w:r>
    </w:p>
    <w:p w14:paraId="34E08B45" w14:textId="77777777" w:rsidR="008276C3" w:rsidRPr="000D756E" w:rsidRDefault="008276C3" w:rsidP="008276C3">
      <w:pPr>
        <w:textAlignment w:val="baseline"/>
        <w:rPr>
          <w:rFonts w:ascii="Arial" w:hAnsi="Arial" w:cs="Arial"/>
          <w:sz w:val="24"/>
          <w:szCs w:val="24"/>
          <w:lang w:eastAsia="en-GB"/>
        </w:rPr>
      </w:pPr>
    </w:p>
    <w:p w14:paraId="254B9CA7"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xml:space="preserve">The report </w:t>
      </w:r>
      <w:r>
        <w:rPr>
          <w:rFonts w:ascii="Arial" w:hAnsi="Arial" w:cs="Arial"/>
          <w:sz w:val="24"/>
          <w:szCs w:val="24"/>
          <w:lang w:eastAsia="en-GB"/>
        </w:rPr>
        <w:t xml:space="preserve">also </w:t>
      </w:r>
      <w:r w:rsidRPr="000D756E">
        <w:rPr>
          <w:rFonts w:ascii="Arial" w:hAnsi="Arial" w:cs="Arial"/>
          <w:sz w:val="24"/>
          <w:szCs w:val="24"/>
          <w:lang w:eastAsia="en-GB"/>
        </w:rPr>
        <w:t>highlight</w:t>
      </w:r>
      <w:r>
        <w:rPr>
          <w:rFonts w:ascii="Arial" w:hAnsi="Arial" w:cs="Arial"/>
          <w:sz w:val="24"/>
          <w:szCs w:val="24"/>
          <w:lang w:eastAsia="en-GB"/>
        </w:rPr>
        <w:t>ed</w:t>
      </w:r>
      <w:r w:rsidRPr="000D756E">
        <w:rPr>
          <w:rFonts w:ascii="Arial" w:hAnsi="Arial" w:cs="Arial"/>
          <w:sz w:val="24"/>
          <w:szCs w:val="24"/>
          <w:lang w:eastAsia="en-GB"/>
        </w:rPr>
        <w:t xml:space="preserve"> areas for improvement in </w:t>
      </w:r>
      <w:r>
        <w:rPr>
          <w:rFonts w:ascii="Arial" w:hAnsi="Arial" w:cs="Arial"/>
          <w:sz w:val="24"/>
          <w:szCs w:val="24"/>
          <w:lang w:eastAsia="en-GB"/>
        </w:rPr>
        <w:t xml:space="preserve">concerning the </w:t>
      </w:r>
      <w:r w:rsidRPr="000D756E">
        <w:rPr>
          <w:rFonts w:ascii="Arial" w:hAnsi="Arial" w:cs="Arial"/>
          <w:sz w:val="24"/>
          <w:szCs w:val="24"/>
          <w:lang w:eastAsia="en-GB"/>
        </w:rPr>
        <w:t>Service’s values and culture. It state</w:t>
      </w:r>
      <w:r>
        <w:rPr>
          <w:rFonts w:ascii="Arial" w:hAnsi="Arial" w:cs="Arial"/>
          <w:sz w:val="24"/>
          <w:szCs w:val="24"/>
          <w:lang w:eastAsia="en-GB"/>
        </w:rPr>
        <w:t>d</w:t>
      </w:r>
      <w:r w:rsidRPr="000D756E">
        <w:rPr>
          <w:rFonts w:ascii="Arial" w:hAnsi="Arial" w:cs="Arial"/>
          <w:sz w:val="24"/>
          <w:szCs w:val="24"/>
          <w:lang w:eastAsia="en-GB"/>
        </w:rPr>
        <w:t xml:space="preserve"> that the Service should make sure all staff understand and demonstrate its values, and that senior managers are visible and demonstrate the Service’s values through their behaviours.</w:t>
      </w:r>
    </w:p>
    <w:p w14:paraId="60C56A30" w14:textId="77777777" w:rsidR="008276C3" w:rsidRDefault="008276C3" w:rsidP="008276C3">
      <w:pPr>
        <w:textAlignment w:val="baseline"/>
        <w:rPr>
          <w:rFonts w:ascii="Arial" w:hAnsi="Arial" w:cs="Arial"/>
          <w:sz w:val="24"/>
          <w:szCs w:val="24"/>
          <w:lang w:eastAsia="en-GB"/>
        </w:rPr>
      </w:pPr>
    </w:p>
    <w:p w14:paraId="1087A422" w14:textId="77777777" w:rsidR="008276C3" w:rsidRDefault="008276C3" w:rsidP="008276C3">
      <w:pPr>
        <w:textAlignment w:val="baseline"/>
        <w:rPr>
          <w:rFonts w:ascii="Arial" w:hAnsi="Arial" w:cs="Arial"/>
          <w:sz w:val="24"/>
          <w:szCs w:val="24"/>
          <w:lang w:eastAsia="en-GB"/>
        </w:rPr>
      </w:pPr>
      <w:r>
        <w:rPr>
          <w:rFonts w:ascii="Arial" w:hAnsi="Arial" w:cs="Arial"/>
          <w:sz w:val="24"/>
          <w:szCs w:val="24"/>
          <w:lang w:eastAsia="en-GB"/>
        </w:rPr>
        <w:t xml:space="preserve">A number of significant issues were raised in the </w:t>
      </w:r>
      <w:r w:rsidRPr="000D756E">
        <w:rPr>
          <w:rFonts w:ascii="Arial" w:hAnsi="Arial" w:cs="Arial"/>
          <w:sz w:val="24"/>
          <w:szCs w:val="24"/>
          <w:lang w:eastAsia="en-GB"/>
        </w:rPr>
        <w:t>External Auditor’s Annual Audit Letter 202</w:t>
      </w:r>
      <w:r>
        <w:rPr>
          <w:rFonts w:ascii="Arial" w:hAnsi="Arial" w:cs="Arial"/>
          <w:sz w:val="24"/>
          <w:szCs w:val="24"/>
          <w:lang w:eastAsia="en-GB"/>
        </w:rPr>
        <w:t>3/24. The report reiterated the requirements of the HMICFRS report, with the following recommendations:</w:t>
      </w:r>
    </w:p>
    <w:p w14:paraId="3EB06705" w14:textId="77777777" w:rsidR="008276C3" w:rsidRDefault="008276C3" w:rsidP="008276C3">
      <w:pPr>
        <w:textAlignment w:val="baseline"/>
        <w:rPr>
          <w:rFonts w:ascii="Arial" w:hAnsi="Arial" w:cs="Arial"/>
          <w:sz w:val="24"/>
          <w:szCs w:val="24"/>
          <w:lang w:eastAsia="en-GB"/>
        </w:rPr>
      </w:pPr>
    </w:p>
    <w:p w14:paraId="106D0D47" w14:textId="77777777" w:rsidR="008276C3" w:rsidRDefault="008276C3" w:rsidP="008276C3">
      <w:pPr>
        <w:pStyle w:val="ListParagraph"/>
        <w:numPr>
          <w:ilvl w:val="0"/>
          <w:numId w:val="72"/>
        </w:numPr>
        <w:contextualSpacing/>
        <w:textAlignment w:val="baseline"/>
        <w:rPr>
          <w:rFonts w:ascii="Arial" w:hAnsi="Arial" w:cs="Arial"/>
          <w:szCs w:val="24"/>
          <w:lang w:eastAsia="en-GB"/>
        </w:rPr>
      </w:pPr>
      <w:r>
        <w:rPr>
          <w:rFonts w:ascii="Arial" w:hAnsi="Arial" w:cs="Arial"/>
          <w:szCs w:val="24"/>
          <w:lang w:eastAsia="en-GB"/>
        </w:rPr>
        <w:t>T</w:t>
      </w:r>
      <w:r w:rsidRPr="000F7AA7">
        <w:rPr>
          <w:rFonts w:ascii="Arial" w:hAnsi="Arial" w:cs="Arial"/>
          <w:szCs w:val="24"/>
          <w:lang w:eastAsia="en-GB"/>
        </w:rPr>
        <w:t xml:space="preserve">he </w:t>
      </w:r>
      <w:r>
        <w:rPr>
          <w:rFonts w:ascii="Arial" w:hAnsi="Arial" w:cs="Arial"/>
          <w:szCs w:val="24"/>
          <w:lang w:eastAsia="en-GB"/>
        </w:rPr>
        <w:t>requirement</w:t>
      </w:r>
      <w:r w:rsidRPr="000F7AA7">
        <w:rPr>
          <w:rFonts w:ascii="Arial" w:hAnsi="Arial" w:cs="Arial"/>
          <w:szCs w:val="24"/>
          <w:lang w:eastAsia="en-GB"/>
        </w:rPr>
        <w:t xml:space="preserve"> for a comprehensive action plan to address the HMICFRS cause of concern and areas for improvement. </w:t>
      </w:r>
    </w:p>
    <w:p w14:paraId="42A303D5" w14:textId="77777777" w:rsidR="008276C3" w:rsidRDefault="008276C3" w:rsidP="008276C3">
      <w:pPr>
        <w:pStyle w:val="ListParagraph"/>
        <w:numPr>
          <w:ilvl w:val="0"/>
          <w:numId w:val="72"/>
        </w:numPr>
        <w:contextualSpacing/>
        <w:textAlignment w:val="baseline"/>
        <w:rPr>
          <w:rFonts w:ascii="Arial" w:hAnsi="Arial" w:cs="Arial"/>
          <w:szCs w:val="24"/>
          <w:lang w:eastAsia="en-GB"/>
        </w:rPr>
      </w:pPr>
      <w:r>
        <w:rPr>
          <w:rFonts w:ascii="Arial" w:hAnsi="Arial" w:cs="Arial"/>
          <w:szCs w:val="24"/>
          <w:lang w:eastAsia="en-GB"/>
        </w:rPr>
        <w:t>A r</w:t>
      </w:r>
      <w:r w:rsidRPr="000F7AA7">
        <w:rPr>
          <w:rFonts w:ascii="Arial" w:hAnsi="Arial" w:cs="Arial"/>
          <w:szCs w:val="24"/>
          <w:lang w:eastAsia="en-GB"/>
        </w:rPr>
        <w:t>eview of the Service’s values and culture and the Fire Authority’s leadership</w:t>
      </w:r>
      <w:r>
        <w:rPr>
          <w:rFonts w:ascii="Arial" w:hAnsi="Arial" w:cs="Arial"/>
          <w:szCs w:val="24"/>
          <w:lang w:eastAsia="en-GB"/>
        </w:rPr>
        <w:t>.</w:t>
      </w:r>
    </w:p>
    <w:p w14:paraId="02D6CE36" w14:textId="77777777" w:rsidR="008276C3" w:rsidRDefault="008276C3" w:rsidP="008276C3">
      <w:pPr>
        <w:pStyle w:val="ListParagraph"/>
        <w:numPr>
          <w:ilvl w:val="0"/>
          <w:numId w:val="72"/>
        </w:numPr>
        <w:contextualSpacing/>
        <w:textAlignment w:val="baseline"/>
        <w:rPr>
          <w:rFonts w:ascii="Arial" w:hAnsi="Arial" w:cs="Arial"/>
          <w:szCs w:val="24"/>
          <w:lang w:eastAsia="en-GB"/>
        </w:rPr>
      </w:pPr>
      <w:r>
        <w:rPr>
          <w:rFonts w:ascii="Arial" w:hAnsi="Arial" w:cs="Arial"/>
          <w:szCs w:val="24"/>
          <w:lang w:eastAsia="en-GB"/>
        </w:rPr>
        <w:t>Assurance that decisions are formally considered by members of the Fire Authority, including value for money considerations, to ensure full transparency.</w:t>
      </w:r>
    </w:p>
    <w:p w14:paraId="05B19A34" w14:textId="77777777" w:rsidR="008276C3" w:rsidRPr="000F7AA7" w:rsidRDefault="008276C3" w:rsidP="008276C3">
      <w:pPr>
        <w:pStyle w:val="ListParagraph"/>
        <w:numPr>
          <w:ilvl w:val="0"/>
          <w:numId w:val="72"/>
        </w:numPr>
        <w:contextualSpacing/>
        <w:textAlignment w:val="baseline"/>
        <w:rPr>
          <w:rFonts w:ascii="Arial" w:hAnsi="Arial" w:cs="Arial"/>
          <w:szCs w:val="24"/>
          <w:lang w:eastAsia="en-GB"/>
        </w:rPr>
      </w:pPr>
      <w:r>
        <w:rPr>
          <w:rFonts w:ascii="Arial" w:hAnsi="Arial" w:cs="Arial"/>
          <w:szCs w:val="24"/>
          <w:lang w:eastAsia="en-GB"/>
        </w:rPr>
        <w:t>Ensuring sufficient capacity at Statutory Officer level to lead the Fire Authority and respond to the increased demands on these roles.</w:t>
      </w:r>
      <w:r w:rsidRPr="000F7AA7">
        <w:rPr>
          <w:rFonts w:ascii="Arial" w:hAnsi="Arial" w:cs="Arial"/>
          <w:szCs w:val="24"/>
          <w:lang w:eastAsia="en-GB"/>
        </w:rPr>
        <w:t xml:space="preserve">  </w:t>
      </w:r>
    </w:p>
    <w:p w14:paraId="0975734B" w14:textId="77777777" w:rsidR="008276C3" w:rsidRPr="000D756E" w:rsidRDefault="008276C3" w:rsidP="008276C3">
      <w:pPr>
        <w:textAlignment w:val="baseline"/>
        <w:rPr>
          <w:rFonts w:ascii="Arial" w:hAnsi="Arial" w:cs="Arial"/>
          <w:sz w:val="24"/>
          <w:szCs w:val="24"/>
          <w:lang w:eastAsia="en-GB"/>
        </w:rPr>
      </w:pPr>
    </w:p>
    <w:p w14:paraId="79D4C9C4" w14:textId="77777777" w:rsidR="008276C3" w:rsidRPr="00345FC2" w:rsidRDefault="008276C3" w:rsidP="008276C3">
      <w:pPr>
        <w:textAlignment w:val="baseline"/>
        <w:rPr>
          <w:rFonts w:ascii="Arial" w:hAnsi="Arial" w:cs="Arial"/>
          <w:b/>
          <w:bCs/>
          <w:sz w:val="24"/>
          <w:szCs w:val="24"/>
        </w:rPr>
      </w:pPr>
      <w:r w:rsidRPr="00345FC2">
        <w:rPr>
          <w:rFonts w:ascii="Arial" w:hAnsi="Arial" w:cs="Arial"/>
          <w:b/>
          <w:bCs/>
          <w:sz w:val="24"/>
          <w:szCs w:val="24"/>
        </w:rPr>
        <w:t>Corporate Risk Management</w:t>
      </w:r>
    </w:p>
    <w:p w14:paraId="734D6ABA" w14:textId="77777777" w:rsidR="008276C3" w:rsidRDefault="008276C3" w:rsidP="008276C3">
      <w:pPr>
        <w:textAlignment w:val="baseline"/>
        <w:rPr>
          <w:rFonts w:ascii="Arial" w:hAnsi="Arial" w:cs="Arial"/>
          <w:sz w:val="24"/>
          <w:szCs w:val="24"/>
        </w:rPr>
      </w:pPr>
    </w:p>
    <w:p w14:paraId="7C04448C" w14:textId="77777777" w:rsidR="008276C3" w:rsidRDefault="008276C3" w:rsidP="008276C3">
      <w:pPr>
        <w:textAlignment w:val="baseline"/>
        <w:rPr>
          <w:rFonts w:ascii="Arial" w:hAnsi="Arial" w:cs="Arial"/>
          <w:sz w:val="24"/>
          <w:szCs w:val="24"/>
        </w:rPr>
      </w:pPr>
      <w:r>
        <w:rPr>
          <w:rFonts w:ascii="Arial" w:hAnsi="Arial" w:cs="Arial"/>
          <w:sz w:val="24"/>
          <w:szCs w:val="24"/>
        </w:rPr>
        <w:t>The HMICFRS inspection report stated that the corporate risk register was ineffectively managed, and a recommendation for improvement was included in the cause for concern.</w:t>
      </w:r>
    </w:p>
    <w:p w14:paraId="4AC6AD1D" w14:textId="77777777" w:rsidR="008276C3" w:rsidRDefault="008276C3" w:rsidP="008276C3">
      <w:pPr>
        <w:textAlignment w:val="baseline"/>
        <w:rPr>
          <w:rFonts w:ascii="Arial" w:hAnsi="Arial" w:cs="Arial"/>
          <w:sz w:val="24"/>
          <w:szCs w:val="24"/>
        </w:rPr>
      </w:pPr>
    </w:p>
    <w:p w14:paraId="42EC0DEC" w14:textId="77777777" w:rsidR="008276C3" w:rsidRDefault="008276C3" w:rsidP="008276C3">
      <w:pPr>
        <w:textAlignment w:val="baseline"/>
        <w:rPr>
          <w:rFonts w:ascii="Arial" w:hAnsi="Arial" w:cs="Arial"/>
          <w:sz w:val="24"/>
          <w:szCs w:val="24"/>
        </w:rPr>
      </w:pPr>
      <w:r>
        <w:rPr>
          <w:rFonts w:ascii="Arial" w:hAnsi="Arial" w:cs="Arial"/>
          <w:sz w:val="24"/>
          <w:szCs w:val="24"/>
        </w:rPr>
        <w:t xml:space="preserve">A review of the Service’s corporate risk register and arrangements in place commenced in late 2024 and several training sessions took place with senior management and members in 2025, facilitated by Zurich. These sessions enabled officers and members to map currently recorded risks to new risks, as well as identify both triggers and control measures for new corporate risks. The exercise has ensured that the Authority’s risk information is relevant and current. </w:t>
      </w:r>
    </w:p>
    <w:p w14:paraId="74DEEF26" w14:textId="77777777" w:rsidR="008276C3" w:rsidRDefault="008276C3" w:rsidP="008276C3">
      <w:pPr>
        <w:textAlignment w:val="baseline"/>
        <w:rPr>
          <w:rFonts w:ascii="Arial" w:hAnsi="Arial" w:cs="Arial"/>
          <w:sz w:val="24"/>
          <w:szCs w:val="24"/>
        </w:rPr>
      </w:pPr>
    </w:p>
    <w:p w14:paraId="27896B88" w14:textId="77777777" w:rsidR="008276C3" w:rsidRPr="000D756E" w:rsidRDefault="008276C3" w:rsidP="008276C3">
      <w:pPr>
        <w:textAlignment w:val="baseline"/>
        <w:rPr>
          <w:rFonts w:ascii="Arial" w:hAnsi="Arial" w:cs="Arial"/>
          <w:sz w:val="24"/>
          <w:szCs w:val="24"/>
        </w:rPr>
      </w:pPr>
      <w:r>
        <w:rPr>
          <w:rFonts w:ascii="Arial" w:hAnsi="Arial" w:cs="Arial"/>
          <w:sz w:val="24"/>
          <w:szCs w:val="24"/>
        </w:rPr>
        <w:t>Corporate risk reporting against corporate risks will continue into Performance and Risk Group, and into Standards Audit and Performance Committee, on a quarterly basis.</w:t>
      </w:r>
    </w:p>
    <w:p w14:paraId="5DEF1B71" w14:textId="77777777" w:rsidR="008276C3" w:rsidRDefault="008276C3" w:rsidP="008276C3">
      <w:pPr>
        <w:textAlignment w:val="baseline"/>
        <w:rPr>
          <w:rFonts w:ascii="Arial" w:hAnsi="Arial" w:cs="Arial"/>
          <w:sz w:val="24"/>
          <w:szCs w:val="24"/>
          <w:lang w:eastAsia="en-GB"/>
        </w:rPr>
      </w:pPr>
    </w:p>
    <w:p w14:paraId="38FCB27D" w14:textId="77777777" w:rsidR="008276C3" w:rsidRPr="006C0C2B" w:rsidRDefault="008276C3" w:rsidP="008276C3">
      <w:pPr>
        <w:textAlignment w:val="baseline"/>
        <w:rPr>
          <w:rFonts w:ascii="Arial" w:hAnsi="Arial" w:cs="Arial"/>
          <w:b/>
          <w:bCs/>
          <w:sz w:val="24"/>
          <w:szCs w:val="24"/>
          <w:lang w:eastAsia="en-GB"/>
        </w:rPr>
      </w:pPr>
      <w:r w:rsidRPr="006C0C2B">
        <w:rPr>
          <w:rFonts w:ascii="Arial" w:hAnsi="Arial" w:cs="Arial"/>
          <w:b/>
          <w:bCs/>
          <w:sz w:val="24"/>
          <w:szCs w:val="24"/>
          <w:lang w:eastAsia="en-GB"/>
        </w:rPr>
        <w:t>Review of internal controls</w:t>
      </w:r>
    </w:p>
    <w:p w14:paraId="51584997" w14:textId="77777777" w:rsidR="008276C3" w:rsidRDefault="008276C3" w:rsidP="008276C3">
      <w:pPr>
        <w:textAlignment w:val="baseline"/>
        <w:rPr>
          <w:rFonts w:ascii="Arial" w:hAnsi="Arial" w:cs="Arial"/>
          <w:sz w:val="24"/>
          <w:szCs w:val="24"/>
          <w:lang w:eastAsia="en-GB"/>
        </w:rPr>
      </w:pPr>
    </w:p>
    <w:p w14:paraId="430BFA13"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xml:space="preserve">The Fire Authority undertook a review of its systems of internal control, which underpin its governance framework, between </w:t>
      </w:r>
      <w:r>
        <w:rPr>
          <w:rFonts w:ascii="Arial" w:hAnsi="Arial" w:cs="Arial"/>
          <w:sz w:val="24"/>
          <w:szCs w:val="24"/>
          <w:lang w:eastAsia="en-GB"/>
        </w:rPr>
        <w:t xml:space="preserve">April and June 2025. </w:t>
      </w:r>
      <w:r w:rsidRPr="000D756E">
        <w:rPr>
          <w:rFonts w:ascii="Arial" w:hAnsi="Arial" w:cs="Arial"/>
          <w:sz w:val="24"/>
          <w:szCs w:val="24"/>
          <w:lang w:eastAsia="en-GB"/>
        </w:rPr>
        <w:t>An Annual Governance Statement (AGS) Improvement Plan 202</w:t>
      </w:r>
      <w:r>
        <w:rPr>
          <w:rFonts w:ascii="Arial" w:hAnsi="Arial" w:cs="Arial"/>
          <w:sz w:val="24"/>
          <w:szCs w:val="24"/>
          <w:lang w:eastAsia="en-GB"/>
        </w:rPr>
        <w:t>5/26</w:t>
      </w:r>
      <w:r w:rsidRPr="000D756E">
        <w:rPr>
          <w:rFonts w:ascii="Arial" w:hAnsi="Arial" w:cs="Arial"/>
          <w:sz w:val="24"/>
          <w:szCs w:val="24"/>
          <w:lang w:eastAsia="en-GB"/>
        </w:rPr>
        <w:t xml:space="preserve"> has been produced, based on the findings from this process.  </w:t>
      </w:r>
    </w:p>
    <w:p w14:paraId="3D858B09"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4733B3D5"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A summary of the areas for further development, contained in the AGS Improvement Plan 202</w:t>
      </w:r>
      <w:r>
        <w:rPr>
          <w:rFonts w:ascii="Arial" w:hAnsi="Arial" w:cs="Arial"/>
          <w:sz w:val="24"/>
          <w:szCs w:val="24"/>
          <w:lang w:eastAsia="en-GB"/>
        </w:rPr>
        <w:t>5/26</w:t>
      </w:r>
      <w:r w:rsidRPr="000D756E">
        <w:rPr>
          <w:rFonts w:ascii="Arial" w:hAnsi="Arial" w:cs="Arial"/>
          <w:sz w:val="24"/>
          <w:szCs w:val="24"/>
          <w:lang w:eastAsia="en-GB"/>
        </w:rPr>
        <w:t>, is given below.  </w:t>
      </w:r>
    </w:p>
    <w:p w14:paraId="2586CADF"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3F219458"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b/>
          <w:bCs/>
          <w:sz w:val="24"/>
          <w:szCs w:val="24"/>
          <w:lang w:eastAsia="en-GB"/>
        </w:rPr>
        <w:t>People </w:t>
      </w:r>
      <w:r w:rsidRPr="000D756E">
        <w:rPr>
          <w:rFonts w:ascii="Arial" w:hAnsi="Arial" w:cs="Arial"/>
          <w:sz w:val="24"/>
          <w:szCs w:val="24"/>
          <w:lang w:eastAsia="en-GB"/>
        </w:rPr>
        <w:t> </w:t>
      </w:r>
    </w:p>
    <w:p w14:paraId="0644CAD1" w14:textId="77777777" w:rsidR="008276C3" w:rsidRPr="000D756E" w:rsidRDefault="008276C3" w:rsidP="008276C3">
      <w:pPr>
        <w:textAlignment w:val="baseline"/>
        <w:rPr>
          <w:rFonts w:ascii="Arial" w:hAnsi="Arial" w:cs="Arial"/>
          <w:sz w:val="24"/>
          <w:szCs w:val="24"/>
          <w:lang w:eastAsia="en-GB"/>
        </w:rPr>
      </w:pPr>
      <w:r w:rsidRPr="000D756E">
        <w:rPr>
          <w:rFonts w:ascii="Arial" w:hAnsi="Arial" w:cs="Arial"/>
          <w:sz w:val="24"/>
          <w:szCs w:val="24"/>
          <w:lang w:eastAsia="en-GB"/>
        </w:rPr>
        <w:t>  </w:t>
      </w:r>
    </w:p>
    <w:p w14:paraId="1825550C"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Complete a review of the efficiency of the Group Support Team</w:t>
      </w:r>
    </w:p>
    <w:p w14:paraId="6B3C6BC6"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07FF7089"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xml:space="preserve">Employ specialist officers to develop, enhance and embed data and improve monitoring and reporting to key stakeholders </w:t>
      </w:r>
    </w:p>
    <w:p w14:paraId="6D8CF6EE" w14:textId="77777777" w:rsidR="008276C3" w:rsidRPr="009C38B2" w:rsidRDefault="008276C3" w:rsidP="008276C3">
      <w:pPr>
        <w:textAlignment w:val="baseline"/>
        <w:rPr>
          <w:rFonts w:ascii="Arial" w:hAnsi="Arial" w:cs="Arial"/>
          <w:sz w:val="24"/>
          <w:szCs w:val="24"/>
          <w:lang w:eastAsia="en-GB"/>
        </w:rPr>
      </w:pPr>
    </w:p>
    <w:p w14:paraId="53EA0D62"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b/>
          <w:bCs/>
          <w:sz w:val="24"/>
          <w:szCs w:val="24"/>
          <w:lang w:eastAsia="en-GB"/>
        </w:rPr>
        <w:t>Processes</w:t>
      </w:r>
      <w:r w:rsidRPr="009C38B2">
        <w:rPr>
          <w:rFonts w:ascii="Arial" w:hAnsi="Arial" w:cs="Arial"/>
          <w:sz w:val="24"/>
          <w:szCs w:val="24"/>
          <w:lang w:eastAsia="en-GB"/>
        </w:rPr>
        <w:t> </w:t>
      </w:r>
    </w:p>
    <w:p w14:paraId="55104B6E"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6D2AAB33"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Review current performance measures and implement a revised suite to measure, monitor and manage performance.</w:t>
      </w:r>
    </w:p>
    <w:p w14:paraId="18F6C77B" w14:textId="77777777" w:rsidR="008276C3" w:rsidRPr="009C38B2" w:rsidRDefault="008276C3" w:rsidP="008276C3">
      <w:pPr>
        <w:textAlignment w:val="baseline"/>
        <w:rPr>
          <w:rFonts w:ascii="Arial" w:hAnsi="Arial" w:cs="Arial"/>
          <w:sz w:val="24"/>
          <w:szCs w:val="24"/>
          <w:lang w:eastAsia="en-GB"/>
        </w:rPr>
      </w:pPr>
    </w:p>
    <w:p w14:paraId="4E4F6837"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Through the Service Programme Board continue to replace paper-based processes with streamlined electronic workflows.   </w:t>
      </w:r>
    </w:p>
    <w:p w14:paraId="575DD81A" w14:textId="77777777" w:rsidR="008276C3" w:rsidRPr="009C38B2" w:rsidRDefault="008276C3" w:rsidP="008276C3">
      <w:pPr>
        <w:textAlignment w:val="baseline"/>
        <w:rPr>
          <w:rFonts w:ascii="Arial" w:hAnsi="Arial" w:cs="Arial"/>
          <w:sz w:val="24"/>
          <w:szCs w:val="24"/>
          <w:lang w:eastAsia="en-GB"/>
        </w:rPr>
      </w:pPr>
    </w:p>
    <w:p w14:paraId="46383A48"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b/>
          <w:bCs/>
          <w:sz w:val="24"/>
          <w:szCs w:val="24"/>
          <w:lang w:eastAsia="en-GB"/>
        </w:rPr>
        <w:t>Systems/IT Infrastructure</w:t>
      </w:r>
      <w:r w:rsidRPr="009C38B2">
        <w:rPr>
          <w:rFonts w:ascii="Arial" w:hAnsi="Arial" w:cs="Arial"/>
          <w:sz w:val="24"/>
          <w:szCs w:val="24"/>
          <w:lang w:eastAsia="en-GB"/>
        </w:rPr>
        <w:t> </w:t>
      </w:r>
    </w:p>
    <w:p w14:paraId="7620B804"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604065D1"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Review and enhance systems and cross team processes to improve reporting and monitoring.</w:t>
      </w:r>
    </w:p>
    <w:p w14:paraId="218EE037" w14:textId="77777777" w:rsidR="008276C3" w:rsidRPr="009C38B2" w:rsidRDefault="008276C3" w:rsidP="008276C3">
      <w:pPr>
        <w:textAlignment w:val="baseline"/>
        <w:rPr>
          <w:rFonts w:ascii="Arial" w:hAnsi="Arial" w:cs="Arial"/>
          <w:sz w:val="24"/>
          <w:szCs w:val="24"/>
          <w:lang w:eastAsia="en-GB"/>
        </w:rPr>
      </w:pPr>
    </w:p>
    <w:p w14:paraId="013C56EE"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Develop systems to identify efficiencies and productivity improvements.  </w:t>
      </w:r>
    </w:p>
    <w:p w14:paraId="02DF9DBD" w14:textId="77777777" w:rsidR="008276C3" w:rsidRPr="009C38B2" w:rsidRDefault="008276C3" w:rsidP="008276C3">
      <w:pPr>
        <w:rPr>
          <w:rFonts w:ascii="Arial" w:hAnsi="Arial" w:cs="Arial"/>
          <w:sz w:val="24"/>
          <w:szCs w:val="24"/>
          <w:lang w:eastAsia="en-GB"/>
        </w:rPr>
      </w:pPr>
      <w:r w:rsidRPr="009C38B2">
        <w:rPr>
          <w:rFonts w:ascii="Arial" w:hAnsi="Arial" w:cs="Arial"/>
          <w:sz w:val="24"/>
          <w:szCs w:val="24"/>
          <w:lang w:eastAsia="en-GB"/>
        </w:rPr>
        <w:t> </w:t>
      </w:r>
    </w:p>
    <w:p w14:paraId="57B314C1"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b/>
          <w:bCs/>
          <w:sz w:val="24"/>
          <w:szCs w:val="24"/>
          <w:lang w:eastAsia="en-GB"/>
        </w:rPr>
        <w:t>Building Facilities</w:t>
      </w:r>
      <w:r w:rsidRPr="009C38B2">
        <w:rPr>
          <w:rFonts w:ascii="Arial" w:hAnsi="Arial" w:cs="Arial"/>
          <w:sz w:val="24"/>
          <w:szCs w:val="24"/>
          <w:lang w:eastAsia="en-GB"/>
        </w:rPr>
        <w:t> </w:t>
      </w:r>
    </w:p>
    <w:p w14:paraId="0C302531"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2E0F7157"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Deliver the Authority’s property capital schemes and introduce improvements to station access and security at all SFRS sites.  </w:t>
      </w:r>
    </w:p>
    <w:p w14:paraId="217BD459"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268E2796"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Review training facilities across the estate and consider feasibility study outcomes. </w:t>
      </w:r>
    </w:p>
    <w:p w14:paraId="36916362"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029E81CB"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b/>
          <w:bCs/>
          <w:sz w:val="24"/>
          <w:szCs w:val="24"/>
          <w:lang w:eastAsia="en-GB"/>
        </w:rPr>
        <w:t>Appliances and Equipment</w:t>
      </w:r>
      <w:r w:rsidRPr="009C38B2">
        <w:rPr>
          <w:rFonts w:ascii="Arial" w:hAnsi="Arial" w:cs="Arial"/>
          <w:sz w:val="24"/>
          <w:szCs w:val="24"/>
          <w:lang w:eastAsia="en-GB"/>
        </w:rPr>
        <w:t>  </w:t>
      </w:r>
    </w:p>
    <w:p w14:paraId="15E5FE66"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335D44A2"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Deliver the fleet and equipment strategy to include the introduction of new pumping and specialist appliances.   </w:t>
      </w:r>
    </w:p>
    <w:p w14:paraId="1C1EC076"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62CA3EE4"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b/>
          <w:bCs/>
          <w:sz w:val="24"/>
          <w:szCs w:val="24"/>
          <w:lang w:eastAsia="en-GB"/>
        </w:rPr>
        <w:t>Collaboration</w:t>
      </w:r>
      <w:r w:rsidRPr="009C38B2">
        <w:rPr>
          <w:rFonts w:ascii="Arial" w:hAnsi="Arial" w:cs="Arial"/>
          <w:sz w:val="24"/>
          <w:szCs w:val="24"/>
          <w:lang w:eastAsia="en-GB"/>
        </w:rPr>
        <w:t>  </w:t>
      </w:r>
    </w:p>
    <w:p w14:paraId="03DB8A5F"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18581450"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lastRenderedPageBreak/>
        <w:t>Oversee the replacement of the new Command and Control system. </w:t>
      </w:r>
    </w:p>
    <w:p w14:paraId="06100494" w14:textId="77777777" w:rsidR="008276C3" w:rsidRPr="009C38B2" w:rsidRDefault="008276C3" w:rsidP="008276C3">
      <w:pPr>
        <w:textAlignment w:val="baseline"/>
        <w:rPr>
          <w:rFonts w:ascii="Arial" w:hAnsi="Arial" w:cs="Arial"/>
          <w:sz w:val="24"/>
          <w:szCs w:val="24"/>
          <w:lang w:eastAsia="en-GB"/>
        </w:rPr>
      </w:pPr>
    </w:p>
    <w:p w14:paraId="2F8C4821"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Improve National Operational Guidance through collaboration across Service teams.</w:t>
      </w:r>
    </w:p>
    <w:p w14:paraId="33B7F3D4" w14:textId="77777777" w:rsidR="008276C3" w:rsidRPr="009C38B2" w:rsidRDefault="008276C3" w:rsidP="008276C3">
      <w:pPr>
        <w:textAlignment w:val="baseline"/>
        <w:rPr>
          <w:rFonts w:ascii="Arial" w:hAnsi="Arial" w:cs="Arial"/>
          <w:sz w:val="24"/>
          <w:szCs w:val="24"/>
          <w:lang w:eastAsia="en-GB"/>
        </w:rPr>
      </w:pPr>
    </w:p>
    <w:p w14:paraId="3311DDB0"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b/>
          <w:bCs/>
          <w:sz w:val="24"/>
          <w:szCs w:val="24"/>
          <w:lang w:eastAsia="en-GB"/>
        </w:rPr>
        <w:t>Operations</w:t>
      </w:r>
      <w:r w:rsidRPr="009C38B2">
        <w:rPr>
          <w:rFonts w:ascii="Arial" w:hAnsi="Arial" w:cs="Arial"/>
          <w:sz w:val="24"/>
          <w:szCs w:val="24"/>
          <w:lang w:eastAsia="en-GB"/>
        </w:rPr>
        <w:t> </w:t>
      </w:r>
    </w:p>
    <w:p w14:paraId="4F728254"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 </w:t>
      </w:r>
    </w:p>
    <w:p w14:paraId="76FE9EBD"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Report progress made against the Community Risk Management Plan via the Programme Board, with regular progress reports to the Fire Authority’s Standards, Audit and Performance Committee and the Service’s Service Management Team.  </w:t>
      </w:r>
    </w:p>
    <w:p w14:paraId="211CAAC7" w14:textId="77777777" w:rsidR="008276C3" w:rsidRPr="009C38B2" w:rsidRDefault="008276C3" w:rsidP="008276C3">
      <w:pPr>
        <w:textAlignment w:val="baseline"/>
        <w:rPr>
          <w:rFonts w:ascii="Arial" w:hAnsi="Arial" w:cs="Arial"/>
          <w:sz w:val="24"/>
          <w:szCs w:val="24"/>
          <w:lang w:eastAsia="en-GB"/>
        </w:rPr>
      </w:pPr>
    </w:p>
    <w:p w14:paraId="63D06058"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Improve management of protracted incidents through establishment of significant incident room at Telford.</w:t>
      </w:r>
    </w:p>
    <w:p w14:paraId="4C0CF7D2" w14:textId="77777777" w:rsidR="008276C3" w:rsidRPr="009C38B2" w:rsidRDefault="008276C3" w:rsidP="008276C3">
      <w:pPr>
        <w:textAlignment w:val="baseline"/>
        <w:rPr>
          <w:rFonts w:ascii="Arial" w:hAnsi="Arial" w:cs="Arial"/>
          <w:sz w:val="24"/>
          <w:szCs w:val="24"/>
          <w:lang w:eastAsia="en-GB"/>
        </w:rPr>
      </w:pPr>
    </w:p>
    <w:p w14:paraId="288C03B0" w14:textId="77777777" w:rsidR="008276C3" w:rsidRPr="009C38B2" w:rsidRDefault="008276C3" w:rsidP="008276C3">
      <w:pPr>
        <w:textAlignment w:val="baseline"/>
        <w:rPr>
          <w:rFonts w:ascii="Arial" w:hAnsi="Arial" w:cs="Arial"/>
          <w:sz w:val="24"/>
          <w:szCs w:val="24"/>
          <w:lang w:eastAsia="en-GB"/>
        </w:rPr>
      </w:pPr>
      <w:r w:rsidRPr="009C38B2">
        <w:rPr>
          <w:rFonts w:ascii="Arial" w:hAnsi="Arial" w:cs="Arial"/>
          <w:sz w:val="24"/>
          <w:szCs w:val="24"/>
          <w:lang w:eastAsia="en-GB"/>
        </w:rPr>
        <w:t>Review current policies against Fire Standards.</w:t>
      </w:r>
    </w:p>
    <w:p w14:paraId="1E764CF5" w14:textId="77777777" w:rsidR="008276C3" w:rsidRPr="00E22CEC" w:rsidRDefault="008276C3" w:rsidP="008276C3">
      <w:pPr>
        <w:textAlignment w:val="baseline"/>
        <w:rPr>
          <w:rFonts w:ascii="Arial" w:hAnsi="Arial" w:cs="Arial"/>
          <w:sz w:val="24"/>
          <w:szCs w:val="24"/>
          <w:highlight w:val="yellow"/>
          <w:lang w:eastAsia="en-GB"/>
        </w:rPr>
      </w:pPr>
    </w:p>
    <w:p w14:paraId="3B731A90" w14:textId="77777777" w:rsidR="008276C3" w:rsidRPr="000D756E" w:rsidRDefault="008276C3" w:rsidP="008276C3">
      <w:pPr>
        <w:textAlignment w:val="baseline"/>
        <w:rPr>
          <w:rFonts w:ascii="Arial" w:hAnsi="Arial" w:cs="Arial"/>
          <w:sz w:val="24"/>
          <w:szCs w:val="24"/>
          <w:lang w:eastAsia="en-GB"/>
        </w:rPr>
      </w:pPr>
    </w:p>
    <w:p w14:paraId="49CECBB2" w14:textId="77777777" w:rsidR="008276C3" w:rsidRPr="000D756E" w:rsidRDefault="008276C3" w:rsidP="008276C3">
      <w:pPr>
        <w:textAlignment w:val="baseline"/>
        <w:rPr>
          <w:rFonts w:ascii="Arial" w:hAnsi="Arial" w:cs="Arial"/>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1"/>
        <w:gridCol w:w="3003"/>
        <w:gridCol w:w="2999"/>
      </w:tblGrid>
      <w:tr w:rsidR="008276C3" w:rsidRPr="000D756E" w14:paraId="776FEBB0" w14:textId="77777777" w:rsidTr="00E812DC">
        <w:trPr>
          <w:trHeight w:val="300"/>
        </w:trPr>
        <w:tc>
          <w:tcPr>
            <w:tcW w:w="3105" w:type="dxa"/>
            <w:tcBorders>
              <w:top w:val="single" w:sz="6" w:space="0" w:color="auto"/>
              <w:left w:val="single" w:sz="6" w:space="0" w:color="auto"/>
              <w:bottom w:val="single" w:sz="6" w:space="0" w:color="auto"/>
              <w:right w:val="single" w:sz="6" w:space="0" w:color="auto"/>
            </w:tcBorders>
            <w:hideMark/>
          </w:tcPr>
          <w:p w14:paraId="1D694D26"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Signed:  </w:t>
            </w:r>
          </w:p>
          <w:p w14:paraId="6BC16A57"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 </w:t>
            </w:r>
          </w:p>
          <w:p w14:paraId="76198D01"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 </w:t>
            </w:r>
          </w:p>
          <w:p w14:paraId="4D4353E0"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  </w:t>
            </w:r>
          </w:p>
        </w:tc>
        <w:tc>
          <w:tcPr>
            <w:tcW w:w="3105" w:type="dxa"/>
            <w:tcBorders>
              <w:top w:val="single" w:sz="6" w:space="0" w:color="auto"/>
              <w:left w:val="single" w:sz="6" w:space="0" w:color="auto"/>
              <w:bottom w:val="single" w:sz="6" w:space="0" w:color="auto"/>
              <w:right w:val="single" w:sz="6" w:space="0" w:color="auto"/>
            </w:tcBorders>
            <w:hideMark/>
          </w:tcPr>
          <w:p w14:paraId="2AF5A399"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  </w:t>
            </w:r>
          </w:p>
        </w:tc>
        <w:tc>
          <w:tcPr>
            <w:tcW w:w="3105" w:type="dxa"/>
            <w:tcBorders>
              <w:top w:val="single" w:sz="6" w:space="0" w:color="auto"/>
              <w:left w:val="single" w:sz="6" w:space="0" w:color="auto"/>
              <w:bottom w:val="single" w:sz="6" w:space="0" w:color="auto"/>
              <w:right w:val="single" w:sz="6" w:space="0" w:color="auto"/>
            </w:tcBorders>
            <w:hideMark/>
          </w:tcPr>
          <w:p w14:paraId="2C91FBA6"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  </w:t>
            </w:r>
          </w:p>
        </w:tc>
      </w:tr>
      <w:tr w:rsidR="008276C3" w:rsidRPr="000D756E" w14:paraId="39FC2374" w14:textId="77777777" w:rsidTr="00E812DC">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FFFFFF"/>
            <w:hideMark/>
          </w:tcPr>
          <w:p w14:paraId="1BB1BDB8"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 xml:space="preserve">Cllr </w:t>
            </w:r>
            <w:r>
              <w:rPr>
                <w:rFonts w:ascii="Arial" w:hAnsi="Arial" w:cs="Arial"/>
                <w:kern w:val="2"/>
                <w:sz w:val="24"/>
                <w:szCs w:val="24"/>
                <w:lang w:eastAsia="en-GB"/>
                <w14:ligatures w14:val="standardContextual"/>
              </w:rPr>
              <w:t>Stephen Handley</w:t>
            </w:r>
          </w:p>
        </w:tc>
        <w:tc>
          <w:tcPr>
            <w:tcW w:w="3105" w:type="dxa"/>
            <w:tcBorders>
              <w:top w:val="single" w:sz="6" w:space="0" w:color="auto"/>
              <w:left w:val="single" w:sz="6" w:space="0" w:color="auto"/>
              <w:bottom w:val="single" w:sz="6" w:space="0" w:color="auto"/>
              <w:right w:val="single" w:sz="6" w:space="0" w:color="auto"/>
            </w:tcBorders>
            <w:hideMark/>
          </w:tcPr>
          <w:p w14:paraId="0CC7FC36"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Simon Hardiman   </w:t>
            </w:r>
          </w:p>
        </w:tc>
        <w:tc>
          <w:tcPr>
            <w:tcW w:w="3105" w:type="dxa"/>
            <w:tcBorders>
              <w:top w:val="single" w:sz="6" w:space="0" w:color="auto"/>
              <w:left w:val="single" w:sz="6" w:space="0" w:color="auto"/>
              <w:bottom w:val="single" w:sz="6" w:space="0" w:color="auto"/>
              <w:right w:val="single" w:sz="6" w:space="0" w:color="auto"/>
            </w:tcBorders>
            <w:hideMark/>
          </w:tcPr>
          <w:p w14:paraId="6F235837"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James Walton    </w:t>
            </w:r>
          </w:p>
        </w:tc>
      </w:tr>
      <w:tr w:rsidR="008276C3" w:rsidRPr="000D756E" w14:paraId="595A2346" w14:textId="77777777" w:rsidTr="00E812DC">
        <w:trPr>
          <w:trHeight w:val="300"/>
        </w:trPr>
        <w:tc>
          <w:tcPr>
            <w:tcW w:w="3105" w:type="dxa"/>
            <w:tcBorders>
              <w:top w:val="single" w:sz="6" w:space="0" w:color="auto"/>
              <w:left w:val="single" w:sz="6" w:space="0" w:color="auto"/>
              <w:bottom w:val="single" w:sz="6" w:space="0" w:color="auto"/>
              <w:right w:val="single" w:sz="6" w:space="0" w:color="auto"/>
            </w:tcBorders>
            <w:hideMark/>
          </w:tcPr>
          <w:p w14:paraId="18E8DB28"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Chair of  </w:t>
            </w:r>
          </w:p>
          <w:p w14:paraId="382C41FB"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Standards, Audit and Performance Committee  </w:t>
            </w:r>
          </w:p>
        </w:tc>
        <w:tc>
          <w:tcPr>
            <w:tcW w:w="3105" w:type="dxa"/>
            <w:tcBorders>
              <w:top w:val="single" w:sz="6" w:space="0" w:color="auto"/>
              <w:left w:val="single" w:sz="6" w:space="0" w:color="auto"/>
              <w:bottom w:val="single" w:sz="6" w:space="0" w:color="auto"/>
              <w:right w:val="single" w:sz="6" w:space="0" w:color="auto"/>
            </w:tcBorders>
            <w:hideMark/>
          </w:tcPr>
          <w:p w14:paraId="14EC19B8"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Chief Fire Officer  </w:t>
            </w:r>
          </w:p>
        </w:tc>
        <w:tc>
          <w:tcPr>
            <w:tcW w:w="3105" w:type="dxa"/>
            <w:tcBorders>
              <w:top w:val="single" w:sz="6" w:space="0" w:color="auto"/>
              <w:left w:val="single" w:sz="6" w:space="0" w:color="auto"/>
              <w:bottom w:val="single" w:sz="6" w:space="0" w:color="auto"/>
              <w:right w:val="single" w:sz="6" w:space="0" w:color="auto"/>
            </w:tcBorders>
            <w:hideMark/>
          </w:tcPr>
          <w:p w14:paraId="40A37206" w14:textId="77777777" w:rsidR="008276C3" w:rsidRPr="000D756E" w:rsidRDefault="008276C3" w:rsidP="00E812DC">
            <w:pPr>
              <w:spacing w:line="256" w:lineRule="auto"/>
              <w:textAlignment w:val="baseline"/>
              <w:rPr>
                <w:rFonts w:ascii="Arial" w:hAnsi="Arial" w:cs="Arial"/>
                <w:kern w:val="2"/>
                <w:sz w:val="24"/>
                <w:szCs w:val="24"/>
                <w:lang w:eastAsia="en-GB"/>
                <w14:ligatures w14:val="standardContextual"/>
              </w:rPr>
            </w:pPr>
            <w:r w:rsidRPr="000D756E">
              <w:rPr>
                <w:rFonts w:ascii="Arial" w:hAnsi="Arial" w:cs="Arial"/>
                <w:kern w:val="2"/>
                <w:sz w:val="24"/>
                <w:szCs w:val="24"/>
                <w:lang w:eastAsia="en-GB"/>
                <w14:ligatures w14:val="standardContextual"/>
              </w:rPr>
              <w:t>Treasurer  </w:t>
            </w:r>
          </w:p>
        </w:tc>
      </w:tr>
    </w:tbl>
    <w:p w14:paraId="72081F20" w14:textId="77777777" w:rsidR="008276C3" w:rsidRPr="000D756E" w:rsidRDefault="008276C3" w:rsidP="008276C3">
      <w:pPr>
        <w:ind w:left="720"/>
        <w:textAlignment w:val="baseline"/>
        <w:rPr>
          <w:rFonts w:ascii="Arial" w:hAnsi="Arial" w:cs="Arial"/>
          <w:sz w:val="24"/>
          <w:szCs w:val="24"/>
          <w:lang w:eastAsia="en-GB"/>
        </w:rPr>
      </w:pPr>
      <w:r w:rsidRPr="000D756E">
        <w:rPr>
          <w:rFonts w:ascii="Arial" w:hAnsi="Arial" w:cs="Arial"/>
          <w:sz w:val="24"/>
          <w:szCs w:val="24"/>
          <w:lang w:eastAsia="en-GB"/>
        </w:rPr>
        <w:t> </w:t>
      </w:r>
    </w:p>
    <w:p w14:paraId="3C9F01A4" w14:textId="77777777" w:rsidR="008276C3" w:rsidRPr="000D756E" w:rsidRDefault="008276C3" w:rsidP="008276C3">
      <w:pPr>
        <w:spacing w:after="160" w:line="256" w:lineRule="auto"/>
        <w:rPr>
          <w:rFonts w:ascii="Arial" w:hAnsi="Arial" w:cs="Arial"/>
          <w:sz w:val="24"/>
          <w:szCs w:val="24"/>
        </w:rPr>
      </w:pPr>
    </w:p>
    <w:p w14:paraId="3B0EC386" w14:textId="77777777" w:rsidR="008276C3" w:rsidRDefault="008276C3" w:rsidP="008276C3"/>
    <w:p w14:paraId="14355B1B" w14:textId="406FC871" w:rsidR="002A7A9B" w:rsidRPr="000D756E" w:rsidRDefault="002A7A9B" w:rsidP="00772C8B">
      <w:pPr>
        <w:textAlignment w:val="baseline"/>
        <w:rPr>
          <w:rFonts w:ascii="Arial" w:hAnsi="Arial" w:cs="Arial"/>
          <w:sz w:val="24"/>
          <w:szCs w:val="24"/>
        </w:rPr>
      </w:pPr>
    </w:p>
    <w:p w14:paraId="2CAECF35" w14:textId="7B9ADB44" w:rsidR="002A7A9B" w:rsidRPr="000D756E" w:rsidRDefault="002A7A9B" w:rsidP="002A7A9B">
      <w:pPr>
        <w:spacing w:after="160" w:line="256" w:lineRule="auto"/>
        <w:rPr>
          <w:sz w:val="24"/>
          <w:szCs w:val="24"/>
          <w:lang w:eastAsia="en-GB"/>
        </w:rPr>
        <w:sectPr w:rsidR="002A7A9B" w:rsidRPr="000D756E" w:rsidSect="00540FFA">
          <w:headerReference w:type="default" r:id="rId26"/>
          <w:headerReference w:type="first" r:id="rId27"/>
          <w:pgSz w:w="11909" w:h="16834" w:code="9"/>
          <w:pgMar w:top="851" w:right="1440" w:bottom="851" w:left="1440" w:header="284" w:footer="737" w:gutter="0"/>
          <w:cols w:space="708"/>
          <w:titlePg/>
          <w:docGrid w:linePitch="360"/>
        </w:sectPr>
      </w:pPr>
    </w:p>
    <w:p w14:paraId="4FB83161" w14:textId="77777777" w:rsidR="00D84011" w:rsidRPr="000D756E" w:rsidRDefault="00D84011" w:rsidP="00D84011">
      <w:pPr>
        <w:rPr>
          <w:rFonts w:ascii="Arial" w:hAnsi="Arial" w:cs="Arial"/>
          <w:b/>
          <w:sz w:val="24"/>
          <w:szCs w:val="24"/>
        </w:rPr>
      </w:pPr>
      <w:r w:rsidRPr="000D756E">
        <w:rPr>
          <w:rFonts w:ascii="Arial" w:hAnsi="Arial" w:cs="Arial"/>
          <w:b/>
          <w:sz w:val="24"/>
          <w:szCs w:val="24"/>
        </w:rPr>
        <w:lastRenderedPageBreak/>
        <w:t>The Treasurer’s Responsibilities</w:t>
      </w:r>
    </w:p>
    <w:p w14:paraId="684B3C37" w14:textId="77777777" w:rsidR="00D84011" w:rsidRPr="000D756E" w:rsidRDefault="00D84011" w:rsidP="00D84011">
      <w:pPr>
        <w:jc w:val="both"/>
        <w:rPr>
          <w:rFonts w:ascii="Arial" w:hAnsi="Arial" w:cs="Arial"/>
          <w:b/>
          <w:sz w:val="24"/>
          <w:szCs w:val="24"/>
        </w:rPr>
      </w:pPr>
    </w:p>
    <w:p w14:paraId="2951EBFD" w14:textId="4629282F" w:rsidR="00D84011" w:rsidRPr="000D756E" w:rsidRDefault="00D84011" w:rsidP="00D84011">
      <w:pPr>
        <w:jc w:val="both"/>
        <w:rPr>
          <w:rFonts w:ascii="Arial" w:hAnsi="Arial" w:cs="Arial"/>
          <w:sz w:val="24"/>
          <w:szCs w:val="24"/>
        </w:rPr>
      </w:pPr>
      <w:r w:rsidRPr="000D756E">
        <w:rPr>
          <w:rFonts w:ascii="Arial" w:hAnsi="Arial" w:cs="Arial"/>
          <w:sz w:val="24"/>
          <w:szCs w:val="24"/>
        </w:rPr>
        <w:t>The Treasurer is responsible for the preparation of the Authority’s Statement of Accounts which, in terms of the CIPFA/LASAAC Code of Practice on Local Authority Accounting in the United Kingdom (‘the Code of Practice’) is required to present fairly the financial position of the Authority at the accounting date and its income and expenditure for the year (ended 31 March 202</w:t>
      </w:r>
      <w:r w:rsidR="00772C8B">
        <w:rPr>
          <w:rFonts w:ascii="Arial" w:hAnsi="Arial" w:cs="Arial"/>
          <w:sz w:val="24"/>
          <w:szCs w:val="24"/>
        </w:rPr>
        <w:t>5</w:t>
      </w:r>
      <w:r w:rsidRPr="000D756E">
        <w:rPr>
          <w:rFonts w:ascii="Arial" w:hAnsi="Arial" w:cs="Arial"/>
          <w:sz w:val="24"/>
          <w:szCs w:val="24"/>
        </w:rPr>
        <w:t>).</w:t>
      </w:r>
    </w:p>
    <w:p w14:paraId="46D712DD" w14:textId="77777777" w:rsidR="00D84011" w:rsidRPr="000D756E" w:rsidRDefault="00D84011" w:rsidP="00D84011">
      <w:pPr>
        <w:jc w:val="both"/>
        <w:rPr>
          <w:rFonts w:ascii="Arial" w:hAnsi="Arial" w:cs="Arial"/>
          <w:sz w:val="24"/>
          <w:szCs w:val="24"/>
        </w:rPr>
      </w:pPr>
    </w:p>
    <w:p w14:paraId="43FB8CD7" w14:textId="77777777" w:rsidR="00D84011" w:rsidRPr="000D756E" w:rsidRDefault="00D84011" w:rsidP="00D84011">
      <w:pPr>
        <w:jc w:val="both"/>
        <w:rPr>
          <w:rFonts w:ascii="Arial" w:hAnsi="Arial" w:cs="Arial"/>
          <w:sz w:val="24"/>
          <w:szCs w:val="24"/>
        </w:rPr>
      </w:pPr>
      <w:r w:rsidRPr="000D756E">
        <w:rPr>
          <w:rFonts w:ascii="Arial" w:hAnsi="Arial" w:cs="Arial"/>
          <w:sz w:val="24"/>
          <w:szCs w:val="24"/>
        </w:rPr>
        <w:t>In preparing this Statement of Accounts, the Treasurer has:</w:t>
      </w:r>
    </w:p>
    <w:p w14:paraId="2456E4CE" w14:textId="77777777" w:rsidR="00D84011" w:rsidRPr="000D756E" w:rsidRDefault="00D84011" w:rsidP="00BD1F50">
      <w:pPr>
        <w:numPr>
          <w:ilvl w:val="0"/>
          <w:numId w:val="34"/>
        </w:numPr>
        <w:jc w:val="both"/>
        <w:rPr>
          <w:rFonts w:ascii="Arial" w:hAnsi="Arial" w:cs="Arial"/>
          <w:sz w:val="24"/>
          <w:szCs w:val="24"/>
        </w:rPr>
      </w:pPr>
      <w:r w:rsidRPr="000D756E">
        <w:rPr>
          <w:rFonts w:ascii="Arial" w:hAnsi="Arial" w:cs="Arial"/>
          <w:sz w:val="24"/>
          <w:szCs w:val="24"/>
        </w:rPr>
        <w:t>selected suitable accounting policies and then applied them consistently</w:t>
      </w:r>
    </w:p>
    <w:p w14:paraId="34947E5D" w14:textId="77777777" w:rsidR="00D84011" w:rsidRPr="000D756E" w:rsidRDefault="00D84011" w:rsidP="00BD1F50">
      <w:pPr>
        <w:numPr>
          <w:ilvl w:val="0"/>
          <w:numId w:val="34"/>
        </w:numPr>
        <w:jc w:val="both"/>
        <w:rPr>
          <w:rFonts w:ascii="Arial" w:hAnsi="Arial" w:cs="Arial"/>
          <w:sz w:val="24"/>
          <w:szCs w:val="24"/>
        </w:rPr>
      </w:pPr>
      <w:r w:rsidRPr="000D756E">
        <w:rPr>
          <w:rFonts w:ascii="Arial" w:hAnsi="Arial" w:cs="Arial"/>
          <w:sz w:val="24"/>
          <w:szCs w:val="24"/>
        </w:rPr>
        <w:t>made judgements and estimates that were reasonable and prudent</w:t>
      </w:r>
    </w:p>
    <w:p w14:paraId="3FC09339" w14:textId="77777777" w:rsidR="00D84011" w:rsidRPr="000D756E" w:rsidRDefault="00D84011" w:rsidP="00BD1F50">
      <w:pPr>
        <w:numPr>
          <w:ilvl w:val="0"/>
          <w:numId w:val="34"/>
        </w:numPr>
        <w:jc w:val="both"/>
        <w:rPr>
          <w:rFonts w:ascii="Arial" w:hAnsi="Arial" w:cs="Arial"/>
          <w:sz w:val="24"/>
          <w:szCs w:val="24"/>
        </w:rPr>
      </w:pPr>
      <w:r w:rsidRPr="000D756E">
        <w:rPr>
          <w:rFonts w:ascii="Arial" w:hAnsi="Arial" w:cs="Arial"/>
          <w:sz w:val="24"/>
          <w:szCs w:val="24"/>
        </w:rPr>
        <w:t>complied with the Code of Practice and current regulations.</w:t>
      </w:r>
    </w:p>
    <w:p w14:paraId="59DCB897" w14:textId="77777777" w:rsidR="00D84011" w:rsidRPr="000D756E" w:rsidRDefault="00D84011" w:rsidP="00D84011">
      <w:pPr>
        <w:jc w:val="both"/>
        <w:rPr>
          <w:rFonts w:ascii="Arial" w:hAnsi="Arial" w:cs="Arial"/>
          <w:sz w:val="24"/>
          <w:szCs w:val="24"/>
        </w:rPr>
      </w:pPr>
    </w:p>
    <w:p w14:paraId="03A24C41" w14:textId="77777777" w:rsidR="00D84011" w:rsidRPr="000D756E" w:rsidRDefault="00D84011" w:rsidP="00D84011">
      <w:pPr>
        <w:jc w:val="both"/>
        <w:rPr>
          <w:rFonts w:ascii="Arial" w:hAnsi="Arial" w:cs="Arial"/>
          <w:sz w:val="24"/>
          <w:szCs w:val="24"/>
        </w:rPr>
      </w:pPr>
      <w:r w:rsidRPr="000D756E">
        <w:rPr>
          <w:rFonts w:ascii="Arial" w:hAnsi="Arial" w:cs="Arial"/>
          <w:sz w:val="24"/>
          <w:szCs w:val="24"/>
        </w:rPr>
        <w:t>The Treasurer has also:</w:t>
      </w:r>
    </w:p>
    <w:p w14:paraId="04541376" w14:textId="77777777" w:rsidR="00D84011" w:rsidRPr="000D756E" w:rsidRDefault="00D84011" w:rsidP="00BD1F50">
      <w:pPr>
        <w:numPr>
          <w:ilvl w:val="0"/>
          <w:numId w:val="35"/>
        </w:numPr>
        <w:jc w:val="both"/>
        <w:rPr>
          <w:rFonts w:ascii="Arial" w:hAnsi="Arial" w:cs="Arial"/>
          <w:sz w:val="24"/>
          <w:szCs w:val="24"/>
        </w:rPr>
      </w:pPr>
      <w:r w:rsidRPr="000D756E">
        <w:rPr>
          <w:rFonts w:ascii="Arial" w:hAnsi="Arial" w:cs="Arial"/>
          <w:sz w:val="24"/>
          <w:szCs w:val="24"/>
        </w:rPr>
        <w:t>kept proper accounting records which were up to date;</w:t>
      </w:r>
    </w:p>
    <w:p w14:paraId="287B5209" w14:textId="77777777" w:rsidR="00D84011" w:rsidRPr="000D756E" w:rsidRDefault="00D84011" w:rsidP="00BD1F50">
      <w:pPr>
        <w:numPr>
          <w:ilvl w:val="0"/>
          <w:numId w:val="35"/>
        </w:numPr>
        <w:jc w:val="both"/>
        <w:rPr>
          <w:rFonts w:ascii="Arial" w:hAnsi="Arial" w:cs="Arial"/>
          <w:sz w:val="24"/>
          <w:szCs w:val="24"/>
        </w:rPr>
      </w:pPr>
      <w:r w:rsidRPr="000D756E">
        <w:rPr>
          <w:rFonts w:ascii="Arial" w:hAnsi="Arial" w:cs="Arial"/>
          <w:sz w:val="24"/>
          <w:szCs w:val="24"/>
        </w:rPr>
        <w:t>taken reasonable steps for the prevention and detection of fraud and other irregularities.</w:t>
      </w:r>
    </w:p>
    <w:p w14:paraId="1E06F7A4" w14:textId="77777777" w:rsidR="00D84011" w:rsidRPr="000D756E" w:rsidRDefault="00D84011" w:rsidP="00D84011">
      <w:pPr>
        <w:jc w:val="both"/>
        <w:rPr>
          <w:rFonts w:ascii="Arial" w:hAnsi="Arial" w:cs="Arial"/>
          <w:sz w:val="24"/>
          <w:szCs w:val="24"/>
        </w:rPr>
      </w:pPr>
    </w:p>
    <w:p w14:paraId="0C57164A" w14:textId="77777777" w:rsidR="00D84011" w:rsidRPr="000D756E" w:rsidRDefault="00D84011" w:rsidP="00D84011">
      <w:pPr>
        <w:jc w:val="both"/>
        <w:rPr>
          <w:rFonts w:ascii="Arial" w:hAnsi="Arial" w:cs="Arial"/>
          <w:b/>
          <w:sz w:val="24"/>
          <w:szCs w:val="24"/>
        </w:rPr>
      </w:pPr>
      <w:r w:rsidRPr="000D756E">
        <w:rPr>
          <w:rFonts w:ascii="Arial" w:hAnsi="Arial" w:cs="Arial"/>
          <w:b/>
          <w:sz w:val="24"/>
          <w:szCs w:val="24"/>
        </w:rPr>
        <w:t>Certificate of the Treasurer</w:t>
      </w:r>
    </w:p>
    <w:p w14:paraId="03FEC1D8" w14:textId="77777777" w:rsidR="00D84011" w:rsidRPr="000D756E" w:rsidRDefault="00D84011" w:rsidP="00D84011">
      <w:pPr>
        <w:jc w:val="both"/>
        <w:rPr>
          <w:rFonts w:ascii="Arial" w:hAnsi="Arial" w:cs="Arial"/>
          <w:b/>
          <w:sz w:val="24"/>
          <w:szCs w:val="24"/>
        </w:rPr>
      </w:pPr>
    </w:p>
    <w:p w14:paraId="5F5F2E58" w14:textId="34A18F9F" w:rsidR="00D84011" w:rsidRPr="000D756E" w:rsidRDefault="00D84011" w:rsidP="00D84011">
      <w:pPr>
        <w:jc w:val="both"/>
        <w:rPr>
          <w:rFonts w:ascii="Arial" w:hAnsi="Arial" w:cs="Arial"/>
          <w:sz w:val="24"/>
          <w:szCs w:val="24"/>
        </w:rPr>
      </w:pPr>
      <w:r w:rsidRPr="000D756E">
        <w:rPr>
          <w:rFonts w:ascii="Arial" w:hAnsi="Arial" w:cs="Arial"/>
          <w:sz w:val="24"/>
          <w:szCs w:val="24"/>
        </w:rPr>
        <w:t>I certify that this Statement of Accounts gives a true and fair view of the financial position of the Authority at the reporting date and of its income and expenditure for the year ended 31 March 202</w:t>
      </w:r>
      <w:r w:rsidR="00772C8B">
        <w:rPr>
          <w:rFonts w:ascii="Arial" w:hAnsi="Arial" w:cs="Arial"/>
          <w:sz w:val="24"/>
          <w:szCs w:val="24"/>
        </w:rPr>
        <w:t>5</w:t>
      </w:r>
      <w:r w:rsidRPr="000D756E">
        <w:rPr>
          <w:rFonts w:ascii="Arial" w:hAnsi="Arial" w:cs="Arial"/>
          <w:sz w:val="24"/>
          <w:szCs w:val="24"/>
        </w:rPr>
        <w:t>.</w:t>
      </w:r>
    </w:p>
    <w:p w14:paraId="58ABFCBA" w14:textId="607A7DDE" w:rsidR="005F64D2" w:rsidRPr="000D756E" w:rsidRDefault="005F64D2" w:rsidP="00D84011">
      <w:pPr>
        <w:jc w:val="both"/>
        <w:rPr>
          <w:rFonts w:ascii="Arial" w:hAnsi="Arial" w:cs="Arial"/>
          <w:b/>
          <w:sz w:val="24"/>
          <w:szCs w:val="24"/>
        </w:rPr>
      </w:pPr>
    </w:p>
    <w:p w14:paraId="1B264552" w14:textId="57B25B06" w:rsidR="00D84011" w:rsidRPr="000D756E" w:rsidRDefault="00D84011" w:rsidP="00D84011">
      <w:pPr>
        <w:jc w:val="both"/>
      </w:pPr>
      <w:r w:rsidRPr="000D756E">
        <w:rPr>
          <w:rFonts w:ascii="Arial" w:hAnsi="Arial" w:cs="Arial"/>
          <w:b/>
          <w:sz w:val="24"/>
          <w:szCs w:val="24"/>
        </w:rPr>
        <w:t>TREASURER</w:t>
      </w:r>
      <w:r w:rsidRPr="000D756E">
        <w:rPr>
          <w:rFonts w:ascii="Arial" w:hAnsi="Arial" w:cs="Arial"/>
          <w:b/>
          <w:sz w:val="24"/>
          <w:szCs w:val="24"/>
        </w:rPr>
        <w:tab/>
      </w:r>
      <w:r w:rsidR="0053473E" w:rsidRPr="000D756E">
        <w:rPr>
          <w:rFonts w:ascii="Arial" w:hAnsi="Arial" w:cs="Arial"/>
          <w:b/>
          <w:sz w:val="24"/>
          <w:szCs w:val="24"/>
        </w:rPr>
        <w:t>James Walton</w:t>
      </w:r>
    </w:p>
    <w:p w14:paraId="263E0BDE" w14:textId="1ADD8BD0" w:rsidR="00D84011" w:rsidRPr="000D756E" w:rsidRDefault="00D84011" w:rsidP="00D84011">
      <w:pPr>
        <w:jc w:val="both"/>
        <w:rPr>
          <w:rFonts w:ascii="Arial" w:hAnsi="Arial" w:cs="Arial"/>
          <w:sz w:val="24"/>
          <w:szCs w:val="24"/>
        </w:rPr>
      </w:pPr>
      <w:r w:rsidRPr="000D756E">
        <w:rPr>
          <w:rFonts w:ascii="Arial" w:hAnsi="Arial" w:cs="Arial"/>
          <w:b/>
          <w:sz w:val="24"/>
          <w:szCs w:val="24"/>
        </w:rPr>
        <w:t xml:space="preserve">Dated: </w:t>
      </w:r>
      <w:r w:rsidR="0053473E" w:rsidRPr="000D756E">
        <w:rPr>
          <w:rFonts w:ascii="Arial" w:hAnsi="Arial" w:cs="Arial"/>
          <w:b/>
          <w:sz w:val="24"/>
          <w:szCs w:val="24"/>
        </w:rPr>
        <w:t>Ju</w:t>
      </w:r>
      <w:r w:rsidR="005A6048">
        <w:rPr>
          <w:rFonts w:ascii="Arial" w:hAnsi="Arial" w:cs="Arial"/>
          <w:b/>
          <w:sz w:val="24"/>
          <w:szCs w:val="24"/>
        </w:rPr>
        <w:t>ly</w:t>
      </w:r>
      <w:r w:rsidR="0053473E" w:rsidRPr="000D756E">
        <w:rPr>
          <w:rFonts w:ascii="Arial" w:hAnsi="Arial" w:cs="Arial"/>
          <w:b/>
          <w:sz w:val="24"/>
          <w:szCs w:val="24"/>
        </w:rPr>
        <w:t xml:space="preserve"> 202</w:t>
      </w:r>
      <w:r w:rsidR="00772C8B">
        <w:rPr>
          <w:rFonts w:ascii="Arial" w:hAnsi="Arial" w:cs="Arial"/>
          <w:b/>
          <w:sz w:val="24"/>
          <w:szCs w:val="24"/>
        </w:rPr>
        <w:t>5</w:t>
      </w:r>
    </w:p>
    <w:p w14:paraId="355A1C84" w14:textId="77777777" w:rsidR="00D84011" w:rsidRPr="000D756E" w:rsidRDefault="00D84011" w:rsidP="00D84011">
      <w:pPr>
        <w:jc w:val="both"/>
        <w:rPr>
          <w:rFonts w:ascii="Arial" w:hAnsi="Arial" w:cs="Arial"/>
          <w:b/>
          <w:sz w:val="24"/>
          <w:szCs w:val="24"/>
        </w:rPr>
      </w:pPr>
    </w:p>
    <w:p w14:paraId="5D04B7C3" w14:textId="77777777" w:rsidR="00D84011" w:rsidRPr="000D756E" w:rsidRDefault="00D84011" w:rsidP="00D84011">
      <w:pPr>
        <w:jc w:val="both"/>
        <w:rPr>
          <w:rFonts w:ascii="Arial" w:hAnsi="Arial" w:cs="Arial"/>
          <w:b/>
          <w:sz w:val="24"/>
          <w:szCs w:val="24"/>
        </w:rPr>
      </w:pPr>
      <w:r w:rsidRPr="000D756E">
        <w:rPr>
          <w:rFonts w:ascii="Arial" w:hAnsi="Arial" w:cs="Arial"/>
          <w:b/>
          <w:sz w:val="24"/>
          <w:szCs w:val="24"/>
        </w:rPr>
        <w:t>The Authority’s Responsibilities</w:t>
      </w:r>
    </w:p>
    <w:p w14:paraId="190A9C71" w14:textId="77777777" w:rsidR="00D84011" w:rsidRPr="000D756E" w:rsidRDefault="00D84011" w:rsidP="00D84011">
      <w:pPr>
        <w:jc w:val="both"/>
        <w:rPr>
          <w:rFonts w:ascii="Arial" w:hAnsi="Arial" w:cs="Arial"/>
          <w:b/>
          <w:sz w:val="24"/>
          <w:szCs w:val="24"/>
        </w:rPr>
      </w:pPr>
    </w:p>
    <w:p w14:paraId="47206468" w14:textId="77777777" w:rsidR="00D84011" w:rsidRPr="000D756E" w:rsidRDefault="00D84011" w:rsidP="00D84011">
      <w:pPr>
        <w:jc w:val="both"/>
        <w:rPr>
          <w:rFonts w:ascii="Arial" w:hAnsi="Arial" w:cs="Arial"/>
          <w:sz w:val="24"/>
          <w:szCs w:val="24"/>
        </w:rPr>
      </w:pPr>
      <w:r w:rsidRPr="000D756E">
        <w:rPr>
          <w:rFonts w:ascii="Arial" w:hAnsi="Arial" w:cs="Arial"/>
          <w:sz w:val="24"/>
          <w:szCs w:val="24"/>
        </w:rPr>
        <w:t>The Authority is required:</w:t>
      </w:r>
    </w:p>
    <w:p w14:paraId="40B8BCF4" w14:textId="77777777" w:rsidR="00D84011" w:rsidRPr="000D756E" w:rsidRDefault="00D84011" w:rsidP="00BD1F50">
      <w:pPr>
        <w:numPr>
          <w:ilvl w:val="0"/>
          <w:numId w:val="36"/>
        </w:numPr>
        <w:ind w:hanging="720"/>
        <w:jc w:val="both"/>
        <w:rPr>
          <w:rFonts w:ascii="Arial" w:hAnsi="Arial" w:cs="Arial"/>
          <w:sz w:val="24"/>
          <w:szCs w:val="24"/>
        </w:rPr>
      </w:pPr>
      <w:r w:rsidRPr="000D756E">
        <w:rPr>
          <w:rFonts w:ascii="Arial" w:hAnsi="Arial" w:cs="Arial"/>
          <w:sz w:val="24"/>
          <w:szCs w:val="24"/>
        </w:rPr>
        <w:t>to make arrangements for the proper administration of its financial affairs and to ensure that one of its officers has the responsibility for the administration of those affairs.  In this Authority that officer is the Treasurer;</w:t>
      </w:r>
    </w:p>
    <w:p w14:paraId="0A35A7F2" w14:textId="77777777" w:rsidR="00D84011" w:rsidRPr="000D756E" w:rsidRDefault="00D84011" w:rsidP="00BD1F50">
      <w:pPr>
        <w:numPr>
          <w:ilvl w:val="0"/>
          <w:numId w:val="36"/>
        </w:numPr>
        <w:ind w:hanging="720"/>
        <w:jc w:val="both"/>
        <w:rPr>
          <w:rFonts w:ascii="Arial" w:hAnsi="Arial" w:cs="Arial"/>
          <w:sz w:val="24"/>
          <w:szCs w:val="24"/>
        </w:rPr>
      </w:pPr>
      <w:r w:rsidRPr="000D756E">
        <w:rPr>
          <w:rFonts w:ascii="Arial" w:hAnsi="Arial" w:cs="Arial"/>
          <w:sz w:val="24"/>
          <w:szCs w:val="24"/>
        </w:rPr>
        <w:t>to manage its affairs to secure economic, efficient and effective use of resources and safeguard its assets.</w:t>
      </w:r>
    </w:p>
    <w:p w14:paraId="4778B772" w14:textId="77777777" w:rsidR="00D84011" w:rsidRPr="000D756E" w:rsidRDefault="00D84011" w:rsidP="00D84011">
      <w:pPr>
        <w:jc w:val="both"/>
        <w:rPr>
          <w:rFonts w:ascii="Arial" w:hAnsi="Arial" w:cs="Arial"/>
          <w:sz w:val="24"/>
          <w:szCs w:val="24"/>
        </w:rPr>
      </w:pPr>
    </w:p>
    <w:p w14:paraId="7D2263A8" w14:textId="77777777" w:rsidR="00D84011" w:rsidRPr="000D756E" w:rsidRDefault="00D84011" w:rsidP="00D84011">
      <w:pPr>
        <w:jc w:val="both"/>
        <w:rPr>
          <w:rFonts w:ascii="Arial" w:hAnsi="Arial" w:cs="Arial"/>
          <w:b/>
          <w:sz w:val="24"/>
          <w:szCs w:val="24"/>
        </w:rPr>
      </w:pPr>
      <w:r w:rsidRPr="000D756E">
        <w:rPr>
          <w:rFonts w:ascii="Arial" w:hAnsi="Arial" w:cs="Arial"/>
          <w:b/>
          <w:sz w:val="24"/>
          <w:szCs w:val="24"/>
        </w:rPr>
        <w:t>Approved by the Authority</w:t>
      </w:r>
    </w:p>
    <w:p w14:paraId="2B561CAB" w14:textId="77777777" w:rsidR="00D84011" w:rsidRPr="000D756E" w:rsidRDefault="00D84011" w:rsidP="00D84011">
      <w:pPr>
        <w:jc w:val="both"/>
        <w:rPr>
          <w:rFonts w:ascii="Arial" w:hAnsi="Arial" w:cs="Arial"/>
          <w:b/>
          <w:sz w:val="24"/>
          <w:szCs w:val="24"/>
        </w:rPr>
      </w:pPr>
    </w:p>
    <w:p w14:paraId="219690AF" w14:textId="121F64E6" w:rsidR="00D84011" w:rsidRPr="000D756E" w:rsidRDefault="00D84011" w:rsidP="00D84011">
      <w:pPr>
        <w:jc w:val="both"/>
        <w:rPr>
          <w:rFonts w:ascii="Arial" w:hAnsi="Arial" w:cs="Arial"/>
          <w:sz w:val="24"/>
          <w:szCs w:val="24"/>
        </w:rPr>
      </w:pPr>
      <w:r w:rsidRPr="000D756E">
        <w:rPr>
          <w:rFonts w:ascii="Arial" w:hAnsi="Arial" w:cs="Arial"/>
          <w:sz w:val="24"/>
          <w:szCs w:val="24"/>
        </w:rPr>
        <w:t xml:space="preserve">The Statement of Accounts was approved at a meeting of the Standards Audit and Performance Committee on. </w:t>
      </w:r>
    </w:p>
    <w:p w14:paraId="283944C5" w14:textId="563B8829" w:rsidR="00D84011" w:rsidRPr="000D756E" w:rsidRDefault="00D84011" w:rsidP="00D84011">
      <w:pPr>
        <w:jc w:val="both"/>
        <w:rPr>
          <w:rFonts w:ascii="Arial" w:hAnsi="Arial" w:cs="Arial"/>
          <w:sz w:val="24"/>
          <w:szCs w:val="24"/>
        </w:rPr>
      </w:pPr>
    </w:p>
    <w:p w14:paraId="58DFAFD1" w14:textId="09BDB216" w:rsidR="00D84011" w:rsidRPr="000D756E" w:rsidRDefault="00D84011" w:rsidP="00D84011">
      <w:pPr>
        <w:jc w:val="both"/>
        <w:rPr>
          <w:rFonts w:ascii="Arial" w:hAnsi="Arial" w:cs="Arial"/>
          <w:b/>
          <w:sz w:val="24"/>
          <w:szCs w:val="24"/>
        </w:rPr>
      </w:pPr>
      <w:r w:rsidRPr="000D756E">
        <w:rPr>
          <w:rFonts w:ascii="Arial" w:hAnsi="Arial" w:cs="Arial"/>
          <w:b/>
          <w:sz w:val="24"/>
          <w:szCs w:val="24"/>
        </w:rPr>
        <w:t xml:space="preserve">Chair of the </w:t>
      </w:r>
      <w:r w:rsidR="00304A1E" w:rsidRPr="000D756E">
        <w:rPr>
          <w:rFonts w:ascii="Arial" w:hAnsi="Arial" w:cs="Arial"/>
          <w:b/>
          <w:sz w:val="24"/>
          <w:szCs w:val="24"/>
        </w:rPr>
        <w:t xml:space="preserve">Standards </w:t>
      </w:r>
      <w:r w:rsidRPr="000D756E">
        <w:rPr>
          <w:rFonts w:ascii="Arial" w:hAnsi="Arial" w:cs="Arial"/>
          <w:b/>
          <w:sz w:val="24"/>
          <w:szCs w:val="24"/>
        </w:rPr>
        <w:t>Audit and Performance Committee</w:t>
      </w:r>
    </w:p>
    <w:p w14:paraId="1868D9BE" w14:textId="0FF09C69" w:rsidR="00D84011" w:rsidRPr="000D756E" w:rsidRDefault="00D84011" w:rsidP="00D84011">
      <w:pPr>
        <w:jc w:val="both"/>
        <w:rPr>
          <w:rFonts w:ascii="Arial" w:hAnsi="Arial" w:cs="Arial"/>
          <w:b/>
          <w:sz w:val="24"/>
          <w:szCs w:val="24"/>
        </w:rPr>
      </w:pPr>
      <w:r w:rsidRPr="000D756E">
        <w:rPr>
          <w:rFonts w:ascii="Arial" w:hAnsi="Arial" w:cs="Arial"/>
          <w:b/>
          <w:sz w:val="24"/>
          <w:szCs w:val="24"/>
        </w:rPr>
        <w:t xml:space="preserve">Dated: </w:t>
      </w:r>
    </w:p>
    <w:p w14:paraId="1029F168" w14:textId="77777777" w:rsidR="00D84011" w:rsidRPr="000D756E" w:rsidRDefault="00D84011" w:rsidP="00D84011">
      <w:pPr>
        <w:jc w:val="both"/>
        <w:rPr>
          <w:rFonts w:ascii="Arial" w:hAnsi="Arial" w:cs="Arial"/>
          <w:sz w:val="24"/>
          <w:szCs w:val="24"/>
        </w:rPr>
      </w:pPr>
      <w:r w:rsidRPr="000D756E">
        <w:rPr>
          <w:rFonts w:ascii="Arial" w:hAnsi="Arial" w:cs="Arial"/>
          <w:sz w:val="24"/>
          <w:szCs w:val="24"/>
        </w:rPr>
        <w:t>*A signed copy of the statement is held at Brigade Headquarters</w:t>
      </w:r>
    </w:p>
    <w:p w14:paraId="5A38BD71" w14:textId="09788A10" w:rsidR="00BD78A2" w:rsidRPr="000D756E" w:rsidRDefault="00BD78A2" w:rsidP="00F2050B">
      <w:pPr>
        <w:rPr>
          <w:rFonts w:ascii="Arial" w:hAnsi="Arial" w:cs="Arial"/>
          <w:sz w:val="24"/>
          <w:szCs w:val="24"/>
        </w:rPr>
        <w:sectPr w:rsidR="00BD78A2" w:rsidRPr="000D756E" w:rsidSect="00540FFA">
          <w:headerReference w:type="default" r:id="rId28"/>
          <w:pgSz w:w="11909" w:h="16834" w:code="9"/>
          <w:pgMar w:top="567" w:right="1185" w:bottom="992" w:left="1276" w:header="720" w:footer="720" w:gutter="0"/>
          <w:cols w:space="720"/>
        </w:sectPr>
      </w:pPr>
    </w:p>
    <w:p w14:paraId="69BC2BE5" w14:textId="77777777" w:rsidR="00101D20" w:rsidRPr="000D756E" w:rsidRDefault="00101D20">
      <w:pPr>
        <w:rPr>
          <w:rFonts w:ascii="Arial" w:hAnsi="Arial" w:cs="Arial"/>
          <w:kern w:val="32"/>
          <w:sz w:val="24"/>
          <w:szCs w:val="24"/>
        </w:rPr>
      </w:pPr>
    </w:p>
    <w:p w14:paraId="45C1D359" w14:textId="6CF1627C" w:rsidR="00E82978" w:rsidRPr="000D756E" w:rsidRDefault="00E82978">
      <w:pPr>
        <w:rPr>
          <w:rFonts w:ascii="Arial" w:hAnsi="Arial" w:cs="Arial"/>
          <w:kern w:val="32"/>
          <w:sz w:val="26"/>
          <w:szCs w:val="19"/>
        </w:rPr>
      </w:pPr>
    </w:p>
    <w:p w14:paraId="7BB32C08" w14:textId="77777777" w:rsidR="00E26705" w:rsidRPr="000D756E" w:rsidRDefault="00E26705" w:rsidP="004E14D0">
      <w:pPr>
        <w:rPr>
          <w:rFonts w:ascii="Arial" w:hAnsi="Arial" w:cs="Arial"/>
          <w:sz w:val="24"/>
          <w:szCs w:val="24"/>
        </w:rPr>
        <w:sectPr w:rsidR="00E26705" w:rsidRPr="000D756E" w:rsidSect="00540FFA">
          <w:headerReference w:type="default" r:id="rId29"/>
          <w:pgSz w:w="11909" w:h="16834" w:code="9"/>
          <w:pgMar w:top="1440" w:right="1440" w:bottom="1440" w:left="1440" w:header="720" w:footer="720" w:gutter="0"/>
          <w:cols w:space="720"/>
        </w:sectPr>
      </w:pPr>
    </w:p>
    <w:tbl>
      <w:tblPr>
        <w:tblW w:w="8990" w:type="dxa"/>
        <w:tblInd w:w="216" w:type="dxa"/>
        <w:tblLook w:val="01E0" w:firstRow="1" w:lastRow="1" w:firstColumn="1" w:lastColumn="1" w:noHBand="0" w:noVBand="0"/>
      </w:tblPr>
      <w:tblGrid>
        <w:gridCol w:w="493"/>
        <w:gridCol w:w="8497"/>
      </w:tblGrid>
      <w:tr w:rsidR="002E6862" w:rsidRPr="002E6862" w14:paraId="5106F579" w14:textId="77777777" w:rsidTr="00F67A92">
        <w:tc>
          <w:tcPr>
            <w:tcW w:w="493" w:type="dxa"/>
          </w:tcPr>
          <w:p w14:paraId="465BB72B" w14:textId="77777777" w:rsidR="002E6862" w:rsidRPr="002E6862" w:rsidRDefault="002E6862" w:rsidP="002E6862">
            <w:pPr>
              <w:rPr>
                <w:rFonts w:ascii="Arial" w:hAnsi="Arial" w:cs="Arial"/>
                <w:b/>
                <w:sz w:val="24"/>
                <w:szCs w:val="24"/>
              </w:rPr>
            </w:pPr>
            <w:r w:rsidRPr="002E6862">
              <w:rPr>
                <w:rFonts w:ascii="Arial" w:hAnsi="Arial" w:cs="Arial"/>
                <w:b/>
                <w:sz w:val="24"/>
                <w:szCs w:val="24"/>
              </w:rPr>
              <w:lastRenderedPageBreak/>
              <w:t>1</w:t>
            </w:r>
          </w:p>
        </w:tc>
        <w:tc>
          <w:tcPr>
            <w:tcW w:w="8497" w:type="dxa"/>
          </w:tcPr>
          <w:p w14:paraId="478EC2DD" w14:textId="77777777" w:rsidR="002E6862" w:rsidRPr="002E6862" w:rsidRDefault="002E6862" w:rsidP="002E6862">
            <w:pPr>
              <w:rPr>
                <w:rFonts w:ascii="Arial" w:hAnsi="Arial" w:cs="Arial"/>
                <w:b/>
                <w:sz w:val="24"/>
                <w:szCs w:val="24"/>
              </w:rPr>
            </w:pPr>
            <w:r w:rsidRPr="002E6862">
              <w:rPr>
                <w:rFonts w:ascii="Arial" w:hAnsi="Arial" w:cs="Arial"/>
                <w:b/>
                <w:sz w:val="24"/>
                <w:szCs w:val="24"/>
              </w:rPr>
              <w:t>General Principles</w:t>
            </w:r>
          </w:p>
          <w:p w14:paraId="4AD674BF" w14:textId="57D19966" w:rsidR="002E6862" w:rsidRPr="002E6862" w:rsidRDefault="002E6862" w:rsidP="002E6862">
            <w:pPr>
              <w:rPr>
                <w:rFonts w:ascii="Arial" w:hAnsi="Arial" w:cs="Arial"/>
                <w:sz w:val="24"/>
                <w:szCs w:val="24"/>
              </w:rPr>
            </w:pPr>
            <w:r w:rsidRPr="002E6862">
              <w:rPr>
                <w:rFonts w:ascii="Arial" w:hAnsi="Arial" w:cs="Arial"/>
                <w:sz w:val="24"/>
                <w:szCs w:val="24"/>
              </w:rPr>
              <w:t>The Statement of Accounts summarises the Fire Authority’s transactions for the 2024/25 financial year and its position at the year end of 31 March 2025. The Fire Authority is required to prepare an annual Statement of Accounts by the Accounts and Audit Regulations 2015, which require the statement to be prepared in accordance with proper accounting practices. These practices primarily comprise the Code of Practice on Local Authority Accounting in the United Kingdom</w:t>
            </w:r>
            <w:r>
              <w:rPr>
                <w:rFonts w:ascii="Arial" w:hAnsi="Arial" w:cs="Arial"/>
                <w:sz w:val="24"/>
                <w:szCs w:val="24"/>
              </w:rPr>
              <w:t xml:space="preserve"> </w:t>
            </w:r>
            <w:r w:rsidRPr="002E6862">
              <w:rPr>
                <w:rFonts w:ascii="Arial" w:hAnsi="Arial" w:cs="Arial"/>
                <w:sz w:val="24"/>
                <w:szCs w:val="24"/>
              </w:rPr>
              <w:t>2024/25, supported by International Financial Accounting Standards (IFRS).</w:t>
            </w:r>
          </w:p>
          <w:p w14:paraId="2049A2C6" w14:textId="77777777" w:rsidR="002E6862" w:rsidRPr="002E6862" w:rsidRDefault="002E6862" w:rsidP="002E6862">
            <w:pPr>
              <w:rPr>
                <w:rFonts w:ascii="Arial" w:hAnsi="Arial" w:cs="Arial"/>
                <w:b/>
                <w:bCs/>
                <w:i/>
                <w:iCs/>
                <w:sz w:val="24"/>
                <w:szCs w:val="24"/>
              </w:rPr>
            </w:pPr>
          </w:p>
          <w:p w14:paraId="43F6422C" w14:textId="5F6C9CF4" w:rsidR="002E6862" w:rsidRPr="002E6862" w:rsidRDefault="002E6862" w:rsidP="002E6862">
            <w:pPr>
              <w:rPr>
                <w:rFonts w:ascii="Arial" w:hAnsi="Arial" w:cs="Arial"/>
                <w:sz w:val="24"/>
                <w:szCs w:val="24"/>
              </w:rPr>
            </w:pPr>
            <w:r w:rsidRPr="002E6862">
              <w:rPr>
                <w:rFonts w:ascii="Arial" w:hAnsi="Arial" w:cs="Arial"/>
                <w:sz w:val="24"/>
                <w:szCs w:val="24"/>
              </w:rPr>
              <w:t>The draft Statement of Accounts for 2024/25 must be available for approval by 30 June 2025, and the audited accounts must be approved and published by 27 February 2026.</w:t>
            </w:r>
          </w:p>
          <w:p w14:paraId="59556D52" w14:textId="77777777" w:rsidR="002E6862" w:rsidRPr="002E6862" w:rsidRDefault="002E6862" w:rsidP="002E6862">
            <w:pPr>
              <w:rPr>
                <w:rFonts w:ascii="Arial" w:hAnsi="Arial" w:cs="Arial"/>
                <w:b/>
                <w:bCs/>
                <w:i/>
                <w:iCs/>
                <w:sz w:val="24"/>
                <w:szCs w:val="24"/>
              </w:rPr>
            </w:pPr>
          </w:p>
          <w:p w14:paraId="3D4FCCBD" w14:textId="77777777" w:rsidR="002E6862" w:rsidRPr="002E6862" w:rsidRDefault="002E6862" w:rsidP="002E6862">
            <w:pPr>
              <w:rPr>
                <w:rFonts w:ascii="Arial" w:hAnsi="Arial" w:cs="Arial"/>
                <w:sz w:val="24"/>
                <w:szCs w:val="24"/>
              </w:rPr>
            </w:pPr>
            <w:r w:rsidRPr="002E6862">
              <w:rPr>
                <w:rFonts w:ascii="Arial" w:hAnsi="Arial" w:cs="Arial"/>
                <w:sz w:val="24"/>
                <w:szCs w:val="24"/>
              </w:rPr>
              <w:t>The accounting convention adopted in the Statement of Accounts is principally historical cost, modified by the revaluation of certain categories of non-current assets and financial instruments.</w:t>
            </w:r>
          </w:p>
          <w:p w14:paraId="396E425B" w14:textId="77777777" w:rsidR="002E6862" w:rsidRPr="002E6862" w:rsidRDefault="002E6862" w:rsidP="002E6862">
            <w:pPr>
              <w:rPr>
                <w:rFonts w:ascii="Arial" w:hAnsi="Arial" w:cs="Arial"/>
                <w:sz w:val="24"/>
                <w:szCs w:val="24"/>
              </w:rPr>
            </w:pPr>
          </w:p>
          <w:p w14:paraId="55F472C7" w14:textId="77777777" w:rsidR="002E6862" w:rsidRPr="002E6862" w:rsidRDefault="002E6862" w:rsidP="002E6862">
            <w:pPr>
              <w:rPr>
                <w:rFonts w:ascii="Arial" w:hAnsi="Arial" w:cs="Arial"/>
                <w:sz w:val="24"/>
                <w:szCs w:val="24"/>
              </w:rPr>
            </w:pPr>
            <w:r w:rsidRPr="002E6862">
              <w:rPr>
                <w:rFonts w:ascii="Arial" w:hAnsi="Arial" w:cs="Arial"/>
                <w:sz w:val="24"/>
                <w:szCs w:val="24"/>
              </w:rPr>
              <w:t>The Statement of Accounts have been produced on a going concern basis; this assumes that the Fire Authority’s functions and services will continue in operational existence for the foreseeable future.</w:t>
            </w:r>
          </w:p>
          <w:p w14:paraId="1DE40E58" w14:textId="77777777" w:rsidR="002E6862" w:rsidRPr="002E6862" w:rsidRDefault="002E6862" w:rsidP="002E6862">
            <w:pPr>
              <w:rPr>
                <w:rFonts w:ascii="Arial" w:hAnsi="Arial" w:cs="Arial"/>
                <w:sz w:val="24"/>
                <w:szCs w:val="24"/>
              </w:rPr>
            </w:pPr>
          </w:p>
        </w:tc>
      </w:tr>
      <w:tr w:rsidR="002E6862" w:rsidRPr="002E6862" w14:paraId="351C3C31" w14:textId="77777777" w:rsidTr="00F67A92">
        <w:tc>
          <w:tcPr>
            <w:tcW w:w="493" w:type="dxa"/>
          </w:tcPr>
          <w:p w14:paraId="130402F1" w14:textId="77777777" w:rsidR="002E6862" w:rsidRPr="002E6862" w:rsidRDefault="002E6862" w:rsidP="002E6862">
            <w:pPr>
              <w:rPr>
                <w:rFonts w:ascii="Arial" w:hAnsi="Arial" w:cs="Arial"/>
                <w:b/>
                <w:sz w:val="24"/>
                <w:szCs w:val="24"/>
              </w:rPr>
            </w:pPr>
            <w:r w:rsidRPr="002E6862">
              <w:rPr>
                <w:rFonts w:ascii="Arial" w:hAnsi="Arial" w:cs="Arial"/>
                <w:b/>
                <w:sz w:val="24"/>
                <w:szCs w:val="24"/>
              </w:rPr>
              <w:t>2</w:t>
            </w:r>
          </w:p>
        </w:tc>
        <w:tc>
          <w:tcPr>
            <w:tcW w:w="8497" w:type="dxa"/>
          </w:tcPr>
          <w:p w14:paraId="1BF1A52E" w14:textId="77777777" w:rsidR="002E6862" w:rsidRPr="002E6862" w:rsidRDefault="002E6862" w:rsidP="002E6862">
            <w:pPr>
              <w:rPr>
                <w:rFonts w:ascii="Arial" w:hAnsi="Arial" w:cs="Arial"/>
                <w:b/>
                <w:sz w:val="24"/>
                <w:szCs w:val="24"/>
              </w:rPr>
            </w:pPr>
            <w:r w:rsidRPr="002E6862">
              <w:rPr>
                <w:rFonts w:ascii="Arial" w:hAnsi="Arial" w:cs="Arial"/>
                <w:b/>
                <w:sz w:val="24"/>
                <w:szCs w:val="24"/>
              </w:rPr>
              <w:t>Cash and Cash Equivalents</w:t>
            </w:r>
          </w:p>
          <w:p w14:paraId="205A9015" w14:textId="77777777" w:rsidR="002E6862" w:rsidRPr="002E6862" w:rsidRDefault="002E6862" w:rsidP="002E6862">
            <w:pPr>
              <w:rPr>
                <w:rFonts w:ascii="Arial" w:hAnsi="Arial" w:cs="Arial"/>
                <w:sz w:val="24"/>
                <w:szCs w:val="24"/>
              </w:rPr>
            </w:pPr>
            <w:r w:rsidRPr="002E6862">
              <w:rPr>
                <w:rFonts w:ascii="Arial" w:hAnsi="Arial" w:cs="Arial"/>
                <w:sz w:val="24"/>
                <w:szCs w:val="24"/>
              </w:rPr>
              <w:t>Cash is represented by cash in hand and deposits with financial institutions repayable without penalty on notice of not more than 24 hours. Cash equivalents are investments that mature in three months or less from the date of acquisition and that are readily convertible to known amounts of cash with insignificant risk of change in value.</w:t>
            </w:r>
          </w:p>
          <w:p w14:paraId="4D563C36" w14:textId="77777777" w:rsidR="002E6862" w:rsidRPr="002E6862" w:rsidRDefault="002E6862" w:rsidP="002E6862">
            <w:pPr>
              <w:rPr>
                <w:rFonts w:ascii="Arial" w:hAnsi="Arial" w:cs="Arial"/>
                <w:sz w:val="24"/>
                <w:szCs w:val="24"/>
              </w:rPr>
            </w:pPr>
            <w:r w:rsidRPr="002E6862">
              <w:rPr>
                <w:rFonts w:ascii="Arial" w:hAnsi="Arial" w:cs="Arial"/>
                <w:sz w:val="24"/>
                <w:szCs w:val="24"/>
              </w:rPr>
              <w:t>In the Cash Flow Statement, cash and cash equivalents are shown net of bank overdrafts that are repayable on demand and form an integral part of the Fire Authority’s cash management.</w:t>
            </w:r>
          </w:p>
          <w:p w14:paraId="0050C182" w14:textId="77777777" w:rsidR="002E6862" w:rsidRPr="002E6862" w:rsidRDefault="002E6862" w:rsidP="002E6862">
            <w:pPr>
              <w:rPr>
                <w:rFonts w:ascii="Arial" w:hAnsi="Arial" w:cs="Arial"/>
                <w:sz w:val="24"/>
                <w:szCs w:val="24"/>
              </w:rPr>
            </w:pPr>
          </w:p>
        </w:tc>
      </w:tr>
      <w:tr w:rsidR="002E6862" w:rsidRPr="002E6862" w14:paraId="670A47F1" w14:textId="77777777" w:rsidTr="00F67A92">
        <w:tc>
          <w:tcPr>
            <w:tcW w:w="493" w:type="dxa"/>
          </w:tcPr>
          <w:p w14:paraId="173E04D6" w14:textId="77777777" w:rsidR="002E6862" w:rsidRPr="002E6862" w:rsidRDefault="002E6862" w:rsidP="002E6862">
            <w:pPr>
              <w:rPr>
                <w:rFonts w:ascii="Arial" w:hAnsi="Arial" w:cs="Arial"/>
                <w:b/>
                <w:sz w:val="24"/>
                <w:szCs w:val="24"/>
              </w:rPr>
            </w:pPr>
            <w:r w:rsidRPr="002E6862">
              <w:rPr>
                <w:rFonts w:ascii="Arial" w:hAnsi="Arial" w:cs="Arial"/>
                <w:b/>
                <w:sz w:val="24"/>
                <w:szCs w:val="24"/>
              </w:rPr>
              <w:t>3</w:t>
            </w:r>
          </w:p>
        </w:tc>
        <w:tc>
          <w:tcPr>
            <w:tcW w:w="8497" w:type="dxa"/>
          </w:tcPr>
          <w:p w14:paraId="414C5039" w14:textId="77777777" w:rsidR="002E6862" w:rsidRPr="002E6862" w:rsidRDefault="002E6862" w:rsidP="002E6862">
            <w:pPr>
              <w:rPr>
                <w:rFonts w:ascii="Arial" w:hAnsi="Arial" w:cs="Arial"/>
                <w:b/>
                <w:sz w:val="24"/>
                <w:szCs w:val="24"/>
              </w:rPr>
            </w:pPr>
            <w:r w:rsidRPr="002E6862">
              <w:rPr>
                <w:rFonts w:ascii="Arial" w:hAnsi="Arial" w:cs="Arial"/>
                <w:b/>
                <w:sz w:val="24"/>
                <w:szCs w:val="24"/>
              </w:rPr>
              <w:t>Provisions</w:t>
            </w:r>
          </w:p>
          <w:p w14:paraId="27AE6350" w14:textId="77777777" w:rsidR="002E6862" w:rsidRPr="002E6862" w:rsidRDefault="002E6862" w:rsidP="002E6862">
            <w:pPr>
              <w:rPr>
                <w:rFonts w:ascii="Arial" w:hAnsi="Arial" w:cs="Arial"/>
                <w:sz w:val="24"/>
                <w:szCs w:val="24"/>
              </w:rPr>
            </w:pPr>
            <w:r w:rsidRPr="002E6862">
              <w:rPr>
                <w:rFonts w:ascii="Arial" w:hAnsi="Arial" w:cs="Arial"/>
                <w:sz w:val="24"/>
                <w:szCs w:val="24"/>
              </w:rPr>
              <w:t>Provisions are made when an event has taken place that gives the Fire Authority an obligation that probably requires payment, but where the timing of the payment is uncertain. Provisions are charged to the appropriate service line in the Comprehensive Income and Expenditure Statement in the year that the Fire Authority becomes aware of the obligation, based on the best estimate of the likely payment. When payments are eventually made, they are charged to the provision set up in the Balance Sheet. Estimated settlements are reviewed at the end of the financial year, and where it is likely that payment does not need to be made, the provision is reversed and credited back to the relevant service.</w:t>
            </w:r>
          </w:p>
          <w:p w14:paraId="6824CE46" w14:textId="77777777" w:rsidR="002E6862" w:rsidRPr="002E6862" w:rsidRDefault="002E6862" w:rsidP="002E6862">
            <w:pPr>
              <w:rPr>
                <w:rFonts w:ascii="Arial" w:hAnsi="Arial" w:cs="Arial"/>
                <w:strike/>
                <w:sz w:val="24"/>
                <w:szCs w:val="24"/>
              </w:rPr>
            </w:pPr>
          </w:p>
        </w:tc>
      </w:tr>
      <w:tr w:rsidR="002E6862" w:rsidRPr="002E6862" w14:paraId="71511194" w14:textId="77777777" w:rsidTr="00F67A92">
        <w:tc>
          <w:tcPr>
            <w:tcW w:w="493" w:type="dxa"/>
          </w:tcPr>
          <w:p w14:paraId="1076D3B4" w14:textId="77777777" w:rsidR="002E6862" w:rsidRPr="002E6862" w:rsidRDefault="002E6862" w:rsidP="002E6862">
            <w:pPr>
              <w:rPr>
                <w:rFonts w:ascii="Arial" w:hAnsi="Arial" w:cs="Arial"/>
                <w:b/>
                <w:sz w:val="24"/>
                <w:szCs w:val="24"/>
              </w:rPr>
            </w:pPr>
            <w:r w:rsidRPr="002E6862">
              <w:rPr>
                <w:rFonts w:ascii="Arial" w:hAnsi="Arial" w:cs="Arial"/>
                <w:b/>
                <w:sz w:val="24"/>
                <w:szCs w:val="24"/>
              </w:rPr>
              <w:t>4</w:t>
            </w:r>
          </w:p>
        </w:tc>
        <w:tc>
          <w:tcPr>
            <w:tcW w:w="8497" w:type="dxa"/>
          </w:tcPr>
          <w:p w14:paraId="39A44A20" w14:textId="77777777" w:rsidR="002E6862" w:rsidRPr="002E6862" w:rsidRDefault="002E6862" w:rsidP="002E6862">
            <w:pPr>
              <w:rPr>
                <w:rFonts w:ascii="Arial" w:hAnsi="Arial" w:cs="Arial"/>
                <w:b/>
                <w:sz w:val="24"/>
                <w:szCs w:val="24"/>
              </w:rPr>
            </w:pPr>
            <w:r w:rsidRPr="002E6862">
              <w:rPr>
                <w:rFonts w:ascii="Arial" w:hAnsi="Arial" w:cs="Arial"/>
                <w:b/>
                <w:sz w:val="24"/>
                <w:szCs w:val="24"/>
              </w:rPr>
              <w:t>Council Tax and Non Domestic Rates (NDR)</w:t>
            </w:r>
          </w:p>
          <w:p w14:paraId="6EBC8E21" w14:textId="77777777" w:rsidR="002E6862" w:rsidRPr="002E6862" w:rsidRDefault="002E6862" w:rsidP="002E6862">
            <w:pPr>
              <w:rPr>
                <w:rFonts w:ascii="Arial" w:hAnsi="Arial" w:cs="Arial"/>
                <w:sz w:val="24"/>
                <w:szCs w:val="24"/>
              </w:rPr>
            </w:pPr>
            <w:r w:rsidRPr="002E6862">
              <w:rPr>
                <w:rFonts w:ascii="Arial" w:hAnsi="Arial" w:cs="Arial"/>
                <w:sz w:val="24"/>
                <w:szCs w:val="24"/>
              </w:rPr>
              <w:t xml:space="preserve">The council tax and NDR income included in the Comprehensive Income and Expenditure Statement is the authority’s share of accrued income for the year. However, regulations determine the amount of council tax and NDR that must be included in the authority’s General Fund. Therefore, the difference </w:t>
            </w:r>
            <w:r w:rsidRPr="002E6862">
              <w:rPr>
                <w:rFonts w:ascii="Arial" w:hAnsi="Arial" w:cs="Arial"/>
                <w:sz w:val="24"/>
                <w:szCs w:val="24"/>
              </w:rPr>
              <w:lastRenderedPageBreak/>
              <w:t>between the income included in the Comprehensive Income and Expenditure Statement and the amount required by regulation to be credited to the General Fund is taken to the Council Tax Adjustment Account and included as a reconciling item in the Movement in Reserves Statement.</w:t>
            </w:r>
          </w:p>
          <w:p w14:paraId="52A58664" w14:textId="77777777" w:rsidR="002E6862" w:rsidRPr="002E6862" w:rsidRDefault="002E6862" w:rsidP="002E6862">
            <w:pPr>
              <w:rPr>
                <w:rFonts w:ascii="Arial" w:hAnsi="Arial" w:cs="Arial"/>
                <w:sz w:val="24"/>
                <w:szCs w:val="24"/>
              </w:rPr>
            </w:pPr>
          </w:p>
          <w:p w14:paraId="332194A7" w14:textId="77777777" w:rsidR="002E6862" w:rsidRPr="002E6862" w:rsidRDefault="002E6862" w:rsidP="002E6862">
            <w:pPr>
              <w:rPr>
                <w:rFonts w:ascii="Arial" w:hAnsi="Arial" w:cs="Arial"/>
                <w:sz w:val="24"/>
                <w:szCs w:val="24"/>
              </w:rPr>
            </w:pPr>
            <w:r w:rsidRPr="002E6862">
              <w:rPr>
                <w:rFonts w:ascii="Arial" w:hAnsi="Arial" w:cs="Arial"/>
                <w:sz w:val="24"/>
                <w:szCs w:val="24"/>
              </w:rPr>
              <w:t>The Balance Sheet includes the authority’s share of the end of year balances in respect of council tax and NDR relating to arrears, impairment allowances for doubtful debts, overpayments and prepayments and appeals.</w:t>
            </w:r>
          </w:p>
          <w:p w14:paraId="2A509AD8" w14:textId="77777777" w:rsidR="002E6862" w:rsidRPr="002E6862" w:rsidRDefault="002E6862" w:rsidP="002E6862">
            <w:pPr>
              <w:rPr>
                <w:rFonts w:ascii="Arial" w:hAnsi="Arial" w:cs="Arial"/>
                <w:sz w:val="24"/>
                <w:szCs w:val="24"/>
              </w:rPr>
            </w:pPr>
          </w:p>
        </w:tc>
      </w:tr>
      <w:tr w:rsidR="002E6862" w:rsidRPr="002E6862" w14:paraId="4E5AB9FE" w14:textId="77777777" w:rsidTr="00F67A92">
        <w:tc>
          <w:tcPr>
            <w:tcW w:w="493" w:type="dxa"/>
          </w:tcPr>
          <w:p w14:paraId="4E1C550C" w14:textId="77777777" w:rsidR="002E6862" w:rsidRPr="002E6862" w:rsidRDefault="002E6862" w:rsidP="002E6862">
            <w:pPr>
              <w:rPr>
                <w:rFonts w:ascii="Arial" w:hAnsi="Arial" w:cs="Arial"/>
                <w:b/>
                <w:sz w:val="24"/>
                <w:szCs w:val="24"/>
              </w:rPr>
            </w:pPr>
            <w:r w:rsidRPr="002E6862">
              <w:rPr>
                <w:rFonts w:ascii="Arial" w:hAnsi="Arial" w:cs="Arial"/>
                <w:b/>
                <w:sz w:val="24"/>
                <w:szCs w:val="24"/>
              </w:rPr>
              <w:lastRenderedPageBreak/>
              <w:t>5</w:t>
            </w:r>
          </w:p>
        </w:tc>
        <w:tc>
          <w:tcPr>
            <w:tcW w:w="8497" w:type="dxa"/>
          </w:tcPr>
          <w:p w14:paraId="2FF797FC" w14:textId="77777777" w:rsidR="002E6862" w:rsidRPr="002E6862" w:rsidRDefault="002E6862" w:rsidP="002E6862">
            <w:pPr>
              <w:rPr>
                <w:rFonts w:ascii="Arial" w:hAnsi="Arial" w:cs="Arial"/>
                <w:b/>
                <w:sz w:val="24"/>
                <w:szCs w:val="24"/>
              </w:rPr>
            </w:pPr>
            <w:r w:rsidRPr="002E6862">
              <w:rPr>
                <w:rFonts w:ascii="Arial" w:hAnsi="Arial" w:cs="Arial"/>
                <w:b/>
                <w:sz w:val="24"/>
                <w:szCs w:val="24"/>
              </w:rPr>
              <w:t>Contingent Liabilities</w:t>
            </w:r>
          </w:p>
          <w:p w14:paraId="488E643B" w14:textId="77777777" w:rsidR="002E6862" w:rsidRPr="002E6862" w:rsidRDefault="002E6862" w:rsidP="002E6862">
            <w:pPr>
              <w:rPr>
                <w:rFonts w:ascii="Arial" w:hAnsi="Arial" w:cs="Arial"/>
                <w:sz w:val="24"/>
                <w:szCs w:val="24"/>
              </w:rPr>
            </w:pPr>
            <w:r w:rsidRPr="002E6862">
              <w:rPr>
                <w:rFonts w:ascii="Arial" w:hAnsi="Arial" w:cs="Arial"/>
                <w:sz w:val="24"/>
                <w:szCs w:val="24"/>
              </w:rPr>
              <w:t>A contingent liability arises where an event has taken place that gives the Fire Authority a possible obligation whose existence will only be confirmed by the occurrence or otherwise of uncertain future events not wholly within the control of the Fire Authority. Contingent liabilities also arise in circumstances where a provision would otherwise be made but either it is not probable that an outflow of resources will be required or the amount of the obligation cannot be measured reliably.</w:t>
            </w:r>
          </w:p>
          <w:p w14:paraId="19A8026E" w14:textId="77777777" w:rsidR="002E6862" w:rsidRPr="002E6862" w:rsidRDefault="002E6862" w:rsidP="002E6862">
            <w:pPr>
              <w:rPr>
                <w:rFonts w:ascii="Arial" w:hAnsi="Arial" w:cs="Arial"/>
                <w:sz w:val="24"/>
                <w:szCs w:val="24"/>
              </w:rPr>
            </w:pPr>
            <w:r w:rsidRPr="002E6862">
              <w:rPr>
                <w:rFonts w:ascii="Arial" w:hAnsi="Arial" w:cs="Arial"/>
                <w:sz w:val="24"/>
                <w:szCs w:val="24"/>
              </w:rPr>
              <w:t>Contingent liabilities are not recognised in the Balance Sheet but disclosed in a note to the financial statements.</w:t>
            </w:r>
          </w:p>
          <w:p w14:paraId="5D71E504" w14:textId="77777777" w:rsidR="002E6862" w:rsidRPr="002E6862" w:rsidRDefault="002E6862" w:rsidP="002E6862">
            <w:pPr>
              <w:rPr>
                <w:rFonts w:ascii="Arial" w:hAnsi="Arial" w:cs="Arial"/>
                <w:sz w:val="24"/>
                <w:szCs w:val="24"/>
              </w:rPr>
            </w:pPr>
          </w:p>
          <w:p w14:paraId="756BA6FD" w14:textId="77777777" w:rsidR="002E6862" w:rsidRPr="002E6862" w:rsidRDefault="002E6862" w:rsidP="002E6862">
            <w:pPr>
              <w:rPr>
                <w:rFonts w:ascii="Arial" w:hAnsi="Arial" w:cs="Arial"/>
                <w:b/>
                <w:bCs/>
                <w:sz w:val="24"/>
                <w:szCs w:val="24"/>
              </w:rPr>
            </w:pPr>
            <w:r w:rsidRPr="002E6862">
              <w:rPr>
                <w:rFonts w:ascii="Arial" w:hAnsi="Arial" w:cs="Arial"/>
                <w:b/>
                <w:bCs/>
                <w:sz w:val="24"/>
                <w:szCs w:val="24"/>
              </w:rPr>
              <w:t>Contingent Assets</w:t>
            </w:r>
          </w:p>
          <w:p w14:paraId="3DF21E43" w14:textId="77777777" w:rsidR="002E6862" w:rsidRPr="002E6862" w:rsidRDefault="002E6862" w:rsidP="002E6862">
            <w:pPr>
              <w:rPr>
                <w:rFonts w:ascii="Arial" w:hAnsi="Arial" w:cs="Arial"/>
                <w:sz w:val="24"/>
                <w:szCs w:val="24"/>
              </w:rPr>
            </w:pPr>
            <w:r w:rsidRPr="002E6862">
              <w:rPr>
                <w:rFonts w:ascii="Arial" w:hAnsi="Arial" w:cs="Arial"/>
                <w:sz w:val="24"/>
                <w:szCs w:val="24"/>
              </w:rPr>
              <w:t>A contingent asset arises where an event has taken place that gives the Authority a possible asset whose existence will only be confirmed by the occurrence or otherwise of uncertain future events not wholly within the control of the Authority.</w:t>
            </w:r>
          </w:p>
          <w:p w14:paraId="0C7FCEFA" w14:textId="77777777" w:rsidR="002E6862" w:rsidRPr="002E6862" w:rsidRDefault="002E6862" w:rsidP="002E6862">
            <w:pPr>
              <w:rPr>
                <w:rFonts w:ascii="Arial" w:hAnsi="Arial" w:cs="Arial"/>
                <w:sz w:val="24"/>
                <w:szCs w:val="24"/>
              </w:rPr>
            </w:pPr>
            <w:r w:rsidRPr="002E6862">
              <w:rPr>
                <w:rFonts w:ascii="Arial" w:hAnsi="Arial" w:cs="Arial"/>
                <w:sz w:val="24"/>
                <w:szCs w:val="24"/>
              </w:rPr>
              <w:t xml:space="preserve">Contingent assets are not recognised in the Balance Sheet but disclosed as a note to the financial statements where it is probable that there will be an inflow of economic benefits or service potential. </w:t>
            </w:r>
          </w:p>
          <w:p w14:paraId="1E34101C" w14:textId="77777777" w:rsidR="002E6862" w:rsidRPr="002E6862" w:rsidRDefault="002E6862" w:rsidP="002E6862">
            <w:pPr>
              <w:rPr>
                <w:rFonts w:ascii="Arial" w:hAnsi="Arial" w:cs="Arial"/>
                <w:sz w:val="24"/>
                <w:szCs w:val="24"/>
              </w:rPr>
            </w:pPr>
          </w:p>
        </w:tc>
      </w:tr>
      <w:tr w:rsidR="002E6862" w:rsidRPr="002E6862" w14:paraId="4823352E" w14:textId="77777777" w:rsidTr="00F67A92">
        <w:tc>
          <w:tcPr>
            <w:tcW w:w="493" w:type="dxa"/>
          </w:tcPr>
          <w:p w14:paraId="099E2B7B" w14:textId="77777777" w:rsidR="002E6862" w:rsidRPr="002E6862" w:rsidRDefault="002E6862" w:rsidP="002E6862">
            <w:pPr>
              <w:rPr>
                <w:rFonts w:ascii="Arial" w:hAnsi="Arial" w:cs="Arial"/>
                <w:b/>
                <w:sz w:val="24"/>
                <w:szCs w:val="24"/>
              </w:rPr>
            </w:pPr>
            <w:r w:rsidRPr="002E6862">
              <w:rPr>
                <w:rFonts w:ascii="Arial" w:hAnsi="Arial" w:cs="Arial"/>
                <w:b/>
                <w:sz w:val="24"/>
                <w:szCs w:val="24"/>
              </w:rPr>
              <w:t>6</w:t>
            </w:r>
          </w:p>
        </w:tc>
        <w:tc>
          <w:tcPr>
            <w:tcW w:w="8497" w:type="dxa"/>
          </w:tcPr>
          <w:p w14:paraId="13F6B7DF" w14:textId="77777777" w:rsidR="002E6862" w:rsidRPr="002E6862" w:rsidRDefault="002E6862" w:rsidP="002E6862">
            <w:pPr>
              <w:rPr>
                <w:rFonts w:ascii="Arial" w:hAnsi="Arial" w:cs="Arial"/>
                <w:b/>
                <w:sz w:val="24"/>
                <w:szCs w:val="24"/>
              </w:rPr>
            </w:pPr>
            <w:r w:rsidRPr="002E6862">
              <w:rPr>
                <w:rFonts w:ascii="Arial" w:hAnsi="Arial" w:cs="Arial"/>
                <w:b/>
                <w:sz w:val="24"/>
                <w:szCs w:val="24"/>
              </w:rPr>
              <w:t>Reserves</w:t>
            </w:r>
          </w:p>
          <w:p w14:paraId="7AF8A399" w14:textId="77777777" w:rsidR="002E6862" w:rsidRPr="002E6862" w:rsidRDefault="002E6862" w:rsidP="002E6862">
            <w:pPr>
              <w:rPr>
                <w:rFonts w:ascii="Arial" w:hAnsi="Arial" w:cs="Arial"/>
                <w:sz w:val="24"/>
                <w:szCs w:val="24"/>
              </w:rPr>
            </w:pPr>
            <w:r w:rsidRPr="002E6862">
              <w:rPr>
                <w:rFonts w:ascii="Arial" w:hAnsi="Arial" w:cs="Arial"/>
                <w:sz w:val="24"/>
                <w:szCs w:val="24"/>
              </w:rPr>
              <w:t>The Fire Authority sets aside specific amounts as reserves for future policy purposes or to cover contingencies. Reserves are created by appropriating amounts out of the General Fund Balance in the Movement in Reserves Statement. When expenditure to be financed from a reserve is incurred, it is charged to the appropriate service line in the Comprehensive Income and Expenditure Statement in that year, to score against the Surplus or Deficit on the Provision of Services in the Comprehensive Income and Expenditure Statement. The reserve is then appropriated back into the General Fund Balance in the Movement in Reserves Statement so there is no net charge against council tax for the expenditure.</w:t>
            </w:r>
          </w:p>
          <w:p w14:paraId="2FA930A0" w14:textId="77777777" w:rsidR="002E6862" w:rsidRPr="002E6862" w:rsidRDefault="002E6862" w:rsidP="002E6862">
            <w:pPr>
              <w:rPr>
                <w:rFonts w:ascii="Arial" w:hAnsi="Arial" w:cs="Arial"/>
                <w:sz w:val="24"/>
                <w:szCs w:val="24"/>
              </w:rPr>
            </w:pPr>
            <w:r w:rsidRPr="002E6862">
              <w:rPr>
                <w:rFonts w:ascii="Arial" w:hAnsi="Arial" w:cs="Arial"/>
                <w:sz w:val="24"/>
                <w:szCs w:val="24"/>
              </w:rPr>
              <w:t>The Authority holds the following reserves:</w:t>
            </w:r>
          </w:p>
          <w:p w14:paraId="08BB3056" w14:textId="77777777" w:rsidR="002E6862" w:rsidRPr="002E6862" w:rsidRDefault="002E6862" w:rsidP="002E6862">
            <w:pPr>
              <w:rPr>
                <w:rFonts w:ascii="Arial" w:hAnsi="Arial" w:cs="Arial"/>
                <w:lang w:eastAsia="en-GB"/>
              </w:rPr>
            </w:pPr>
          </w:p>
          <w:p w14:paraId="103A0E4A" w14:textId="77777777" w:rsidR="002E6862" w:rsidRPr="002E6862" w:rsidRDefault="002E6862" w:rsidP="002E6862">
            <w:pPr>
              <w:numPr>
                <w:ilvl w:val="0"/>
                <w:numId w:val="7"/>
              </w:numPr>
              <w:tabs>
                <w:tab w:val="num" w:pos="284"/>
              </w:tabs>
              <w:spacing w:after="160" w:line="259" w:lineRule="auto"/>
              <w:ind w:left="284" w:hanging="284"/>
              <w:rPr>
                <w:rFonts w:ascii="Arial" w:hAnsi="Arial" w:cs="Arial"/>
                <w:sz w:val="24"/>
                <w:szCs w:val="24"/>
              </w:rPr>
            </w:pPr>
            <w:r w:rsidRPr="002E6862">
              <w:rPr>
                <w:rFonts w:ascii="Arial" w:hAnsi="Arial" w:cs="Arial"/>
                <w:b/>
                <w:bCs/>
                <w:sz w:val="24"/>
                <w:szCs w:val="24"/>
                <w:lang w:eastAsia="en-GB"/>
              </w:rPr>
              <w:t>General Fund</w:t>
            </w:r>
            <w:r w:rsidRPr="002E6862">
              <w:rPr>
                <w:rFonts w:ascii="Arial" w:hAnsi="Arial" w:cs="Arial"/>
                <w:sz w:val="24"/>
                <w:szCs w:val="24"/>
                <w:lang w:eastAsia="en-GB"/>
              </w:rPr>
              <w:t xml:space="preserve"> – this is the statutory fund into which all the receipts of an authority are required to be paid and out of which all liabilities of the Authority are to be met, except to the extent that statutory rules might provide otherwise. Any balance of funds at the end of the year is held as a General Fund balance</w:t>
            </w:r>
            <w:r w:rsidRPr="002E6862">
              <w:rPr>
                <w:rFonts w:ascii="Arial" w:hAnsi="Arial" w:cs="Arial"/>
                <w:sz w:val="24"/>
                <w:szCs w:val="24"/>
              </w:rPr>
              <w:t>.</w:t>
            </w:r>
          </w:p>
          <w:p w14:paraId="1E42E575" w14:textId="77777777" w:rsidR="002E6862" w:rsidRPr="002E6862" w:rsidRDefault="002E6862" w:rsidP="002E6862">
            <w:pPr>
              <w:ind w:left="284"/>
              <w:rPr>
                <w:rFonts w:ascii="Arial" w:hAnsi="Arial" w:cs="Arial"/>
                <w:sz w:val="24"/>
                <w:szCs w:val="24"/>
              </w:rPr>
            </w:pPr>
          </w:p>
          <w:p w14:paraId="0769724E" w14:textId="77777777" w:rsidR="002E6862" w:rsidRPr="002E6862" w:rsidRDefault="002E6862" w:rsidP="002E6862">
            <w:pPr>
              <w:numPr>
                <w:ilvl w:val="0"/>
                <w:numId w:val="7"/>
              </w:numPr>
              <w:tabs>
                <w:tab w:val="num" w:pos="284"/>
              </w:tabs>
              <w:spacing w:after="160" w:line="259" w:lineRule="auto"/>
              <w:ind w:left="284" w:hanging="284"/>
              <w:rPr>
                <w:rFonts w:ascii="Arial" w:hAnsi="Arial" w:cs="Arial"/>
                <w:sz w:val="24"/>
                <w:szCs w:val="24"/>
              </w:rPr>
            </w:pPr>
            <w:r w:rsidRPr="002E6862">
              <w:rPr>
                <w:rFonts w:ascii="Arial" w:hAnsi="Arial" w:cs="Arial"/>
                <w:b/>
                <w:sz w:val="24"/>
                <w:szCs w:val="24"/>
              </w:rPr>
              <w:lastRenderedPageBreak/>
              <w:t>General Reserve</w:t>
            </w:r>
            <w:r w:rsidRPr="002E6862">
              <w:rPr>
                <w:rFonts w:ascii="Arial" w:hAnsi="Arial" w:cs="Arial"/>
                <w:sz w:val="24"/>
                <w:szCs w:val="24"/>
              </w:rPr>
              <w:t xml:space="preserve"> – A risk assessment of the pressures likely to face the Authority is undertaken, and the current balance on this reserve represents those identified risks, in proportion to the probability of their occurrence.</w:t>
            </w:r>
          </w:p>
          <w:p w14:paraId="7352C1AC" w14:textId="77777777" w:rsidR="002E6862" w:rsidRPr="002E6862" w:rsidRDefault="002E6862" w:rsidP="002E6862">
            <w:pPr>
              <w:ind w:left="284"/>
              <w:rPr>
                <w:rFonts w:ascii="Arial" w:hAnsi="Arial" w:cs="Arial"/>
                <w:sz w:val="24"/>
                <w:szCs w:val="24"/>
              </w:rPr>
            </w:pPr>
          </w:p>
          <w:p w14:paraId="48DCCB2F" w14:textId="77777777" w:rsidR="002E6862" w:rsidRPr="002E6862" w:rsidRDefault="002E6862" w:rsidP="002E6862">
            <w:pPr>
              <w:numPr>
                <w:ilvl w:val="1"/>
                <w:numId w:val="4"/>
              </w:numPr>
              <w:tabs>
                <w:tab w:val="num" w:pos="284"/>
              </w:tabs>
              <w:spacing w:after="160" w:line="259" w:lineRule="auto"/>
              <w:ind w:left="284" w:hanging="284"/>
              <w:rPr>
                <w:rFonts w:ascii="Arial" w:hAnsi="Arial" w:cs="Arial"/>
                <w:sz w:val="24"/>
                <w:szCs w:val="24"/>
              </w:rPr>
            </w:pPr>
            <w:r w:rsidRPr="002E6862">
              <w:rPr>
                <w:rFonts w:ascii="Arial" w:hAnsi="Arial" w:cs="Arial"/>
                <w:b/>
                <w:sz w:val="24"/>
                <w:szCs w:val="24"/>
              </w:rPr>
              <w:t>Pensions and Other Staff Issues Reserve</w:t>
            </w:r>
            <w:r w:rsidRPr="002E6862">
              <w:rPr>
                <w:rFonts w:ascii="Arial" w:hAnsi="Arial" w:cs="Arial"/>
                <w:sz w:val="24"/>
                <w:szCs w:val="24"/>
              </w:rPr>
              <w:t xml:space="preserve"> – set up as a result of the introduction of the new Firefighters Pension Scheme on 1 April 2006, the original reserve was required to pay for unexpected sickness retirements and other payments, which remain the responsibility of the Authority’s revenue account. In 2008/09, the reserve was expanded to cover other staff matters, including the costs following the Retained Firefighters &amp; Part Time Regulations Tribunal.</w:t>
            </w:r>
          </w:p>
          <w:p w14:paraId="596BB2E6" w14:textId="77777777" w:rsidR="002E6862" w:rsidRPr="002E6862" w:rsidRDefault="002E6862" w:rsidP="002E6862">
            <w:pPr>
              <w:tabs>
                <w:tab w:val="num" w:pos="1440"/>
              </w:tabs>
              <w:ind w:left="284"/>
              <w:rPr>
                <w:rFonts w:ascii="Arial" w:hAnsi="Arial" w:cs="Arial"/>
                <w:sz w:val="24"/>
                <w:szCs w:val="24"/>
              </w:rPr>
            </w:pPr>
          </w:p>
          <w:p w14:paraId="13BAFFD1"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sz w:val="24"/>
                <w:szCs w:val="24"/>
              </w:rPr>
              <w:t>Extreme Weather Reserve</w:t>
            </w:r>
            <w:r w:rsidRPr="002E6862">
              <w:rPr>
                <w:rFonts w:ascii="Arial" w:hAnsi="Arial" w:cs="Arial"/>
                <w:sz w:val="24"/>
                <w:szCs w:val="24"/>
              </w:rPr>
              <w:t xml:space="preserve"> – costs for incidents attended by retained firefighters have now been budgeted for at average levels in the revenue account; this reserve will cover the costs of increased activity incurred as a result of adverse weather conditions.</w:t>
            </w:r>
          </w:p>
          <w:p w14:paraId="07F4BBBD" w14:textId="77777777" w:rsidR="002E6862" w:rsidRPr="002E6862" w:rsidRDefault="002E6862" w:rsidP="002E6862">
            <w:pPr>
              <w:ind w:left="284"/>
              <w:rPr>
                <w:rFonts w:ascii="Arial" w:hAnsi="Arial" w:cs="Arial"/>
                <w:sz w:val="24"/>
                <w:szCs w:val="24"/>
              </w:rPr>
            </w:pPr>
          </w:p>
          <w:p w14:paraId="52D2E7B9" w14:textId="77777777" w:rsidR="002E6862" w:rsidRPr="002E6862" w:rsidRDefault="002E6862" w:rsidP="002E6862">
            <w:pPr>
              <w:numPr>
                <w:ilvl w:val="0"/>
                <w:numId w:val="4"/>
              </w:numPr>
              <w:tabs>
                <w:tab w:val="left" w:pos="284"/>
              </w:tabs>
              <w:spacing w:after="160" w:line="259" w:lineRule="auto"/>
              <w:ind w:left="284" w:hanging="284"/>
              <w:rPr>
                <w:rFonts w:ascii="Arial" w:hAnsi="Arial" w:cs="Arial"/>
                <w:sz w:val="24"/>
                <w:szCs w:val="24"/>
              </w:rPr>
            </w:pPr>
            <w:r w:rsidRPr="002E6862">
              <w:rPr>
                <w:rFonts w:ascii="Arial" w:hAnsi="Arial" w:cs="Arial"/>
                <w:b/>
                <w:sz w:val="24"/>
                <w:szCs w:val="24"/>
              </w:rPr>
              <w:t xml:space="preserve">Major Projects Capital Reserve </w:t>
            </w:r>
            <w:r w:rsidRPr="002E6862">
              <w:rPr>
                <w:rFonts w:ascii="Arial" w:hAnsi="Arial" w:cs="Arial"/>
                <w:sz w:val="24"/>
                <w:szCs w:val="24"/>
              </w:rPr>
              <w:t>– this reserve is made up of budgeted contributions and unspent balances from previous years. It was used to part fund the Authority’s refurbishment of the headquarters, workshop and fire station at Shrewsbury, with the balance remaining to be used against future major building projects, notably the Stafford Park site in Telford.</w:t>
            </w:r>
          </w:p>
          <w:p w14:paraId="0010888A" w14:textId="77777777" w:rsidR="002E6862" w:rsidRPr="002E6862" w:rsidRDefault="002E6862" w:rsidP="002E6862">
            <w:pPr>
              <w:tabs>
                <w:tab w:val="left" w:pos="284"/>
              </w:tabs>
              <w:rPr>
                <w:rFonts w:ascii="Arial" w:hAnsi="Arial" w:cs="Arial"/>
                <w:sz w:val="24"/>
                <w:szCs w:val="24"/>
              </w:rPr>
            </w:pPr>
          </w:p>
          <w:p w14:paraId="1552D1EE"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sz w:val="24"/>
                <w:szCs w:val="24"/>
              </w:rPr>
              <w:t>Earmarked Capital Reserve</w:t>
            </w:r>
            <w:r w:rsidRPr="002E6862">
              <w:rPr>
                <w:rFonts w:ascii="Arial" w:hAnsi="Arial" w:cs="Arial"/>
                <w:sz w:val="24"/>
                <w:szCs w:val="24"/>
              </w:rPr>
              <w:t xml:space="preserve"> – this reserve is used to fund smaller capital projects, therefore reducing the need to borrow. It is currently depleted.</w:t>
            </w:r>
          </w:p>
          <w:p w14:paraId="254C48FE" w14:textId="77777777" w:rsidR="002E6862" w:rsidRPr="002E6862" w:rsidRDefault="002E6862" w:rsidP="002E6862">
            <w:pPr>
              <w:rPr>
                <w:rFonts w:ascii="Arial" w:hAnsi="Arial" w:cs="Arial"/>
                <w:sz w:val="24"/>
                <w:szCs w:val="24"/>
              </w:rPr>
            </w:pPr>
          </w:p>
          <w:p w14:paraId="7A98FBE0"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sz w:val="24"/>
                <w:szCs w:val="24"/>
              </w:rPr>
              <w:t xml:space="preserve">ICT Reserve - </w:t>
            </w:r>
            <w:r w:rsidRPr="002E6862">
              <w:rPr>
                <w:rFonts w:ascii="Arial" w:hAnsi="Arial" w:cs="Arial"/>
                <w:sz w:val="24"/>
                <w:szCs w:val="24"/>
              </w:rPr>
              <w:t xml:space="preserve">this reserve was established using unspent balances from 2010/11 and approved budgets for ICT projects. It is intended that this reserve will be used to manage information technology and communications issues as they arise, and ensure a consistent and managed approach to ICT investment. </w:t>
            </w:r>
          </w:p>
          <w:p w14:paraId="5A03B290" w14:textId="77777777" w:rsidR="002E6862" w:rsidRPr="002E6862" w:rsidRDefault="002E6862" w:rsidP="002E6862">
            <w:pPr>
              <w:ind w:left="720"/>
              <w:rPr>
                <w:rFonts w:ascii="Arial" w:hAnsi="Arial" w:cs="Arial"/>
                <w:b/>
                <w:sz w:val="24"/>
                <w:szCs w:val="24"/>
              </w:rPr>
            </w:pPr>
          </w:p>
          <w:p w14:paraId="5AE6379F"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sz w:val="24"/>
                <w:szCs w:val="24"/>
              </w:rPr>
              <w:t>Capital Grants Unapplied Reserve –</w:t>
            </w:r>
            <w:r w:rsidRPr="002E6862">
              <w:rPr>
                <w:rFonts w:ascii="Arial" w:hAnsi="Arial" w:cs="Arial"/>
                <w:sz w:val="24"/>
                <w:szCs w:val="24"/>
              </w:rPr>
              <w:t xml:space="preserve"> this reserve holds grants and contributions paid to the Fire Authority, for which conditions for use have not been met, or expenditure has not been incurred</w:t>
            </w:r>
          </w:p>
          <w:p w14:paraId="4CF0AB86" w14:textId="77777777" w:rsidR="002E6862" w:rsidRPr="002E6862" w:rsidRDefault="002E6862" w:rsidP="002E6862">
            <w:pPr>
              <w:rPr>
                <w:rFonts w:ascii="Arial" w:hAnsi="Arial" w:cs="Arial"/>
                <w:sz w:val="24"/>
                <w:szCs w:val="24"/>
              </w:rPr>
            </w:pPr>
          </w:p>
          <w:p w14:paraId="47F10893"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sz w:val="24"/>
                <w:szCs w:val="24"/>
              </w:rPr>
              <w:t>Service Transformation Programme (STP) Staff Reserve</w:t>
            </w:r>
            <w:r w:rsidRPr="002E6862">
              <w:rPr>
                <w:rFonts w:ascii="Arial" w:hAnsi="Arial" w:cs="Arial"/>
                <w:sz w:val="24"/>
                <w:szCs w:val="24"/>
              </w:rPr>
              <w:t xml:space="preserve"> – the STP is a high level programme of activities, which will be completed to ensure that the Service is best placed to meet the challenges it is likely to face over the coming years. Funding for projects identified as part of the programme have been taken into account in the revenue budget and the capital </w:t>
            </w:r>
            <w:r w:rsidRPr="002E6862">
              <w:rPr>
                <w:rFonts w:ascii="Arial" w:hAnsi="Arial" w:cs="Arial"/>
                <w:sz w:val="24"/>
                <w:szCs w:val="24"/>
              </w:rPr>
              <w:lastRenderedPageBreak/>
              <w:t>programme. This reserve was set up to cover the staff elements of the projects.</w:t>
            </w:r>
          </w:p>
          <w:p w14:paraId="04E2C187" w14:textId="77777777" w:rsidR="002E6862" w:rsidRPr="002E6862" w:rsidRDefault="002E6862" w:rsidP="002E6862">
            <w:pPr>
              <w:rPr>
                <w:rFonts w:ascii="Arial" w:hAnsi="Arial" w:cs="Arial"/>
                <w:sz w:val="24"/>
                <w:szCs w:val="24"/>
              </w:rPr>
            </w:pPr>
          </w:p>
          <w:p w14:paraId="0A270E85"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sz w:val="24"/>
                <w:szCs w:val="24"/>
              </w:rPr>
              <w:t>Income Volatility Reserve</w:t>
            </w:r>
            <w:r w:rsidRPr="002E6862">
              <w:rPr>
                <w:rFonts w:ascii="Arial" w:hAnsi="Arial" w:cs="Arial"/>
                <w:sz w:val="24"/>
                <w:szCs w:val="24"/>
              </w:rPr>
              <w:t xml:space="preserve"> – A number of changes were introduced in 2013/14 which affected the way in which the Fire Authority is funded, and the levels of funding that will be achieved. This reserve was set up to smooth any volatility or fluctuations in the funding received against estimates in the Service Plan. </w:t>
            </w:r>
          </w:p>
          <w:p w14:paraId="1764B9D1" w14:textId="77777777" w:rsidR="002E6862" w:rsidRPr="002E6862" w:rsidRDefault="002E6862" w:rsidP="002E6862">
            <w:pPr>
              <w:rPr>
                <w:rFonts w:ascii="Arial" w:hAnsi="Arial" w:cs="Arial"/>
                <w:sz w:val="24"/>
                <w:szCs w:val="24"/>
              </w:rPr>
            </w:pPr>
          </w:p>
          <w:p w14:paraId="0E3954EE"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sz w:val="24"/>
                <w:szCs w:val="24"/>
              </w:rPr>
              <w:t>Service Delivery Reserve</w:t>
            </w:r>
            <w:r w:rsidRPr="002E6862">
              <w:rPr>
                <w:rFonts w:ascii="Arial" w:hAnsi="Arial" w:cs="Arial"/>
                <w:sz w:val="24"/>
                <w:szCs w:val="24"/>
              </w:rPr>
              <w:t xml:space="preserve"> – this reserve was set up to fund initiatives in service delivery and prevention.</w:t>
            </w:r>
          </w:p>
          <w:p w14:paraId="487BE54F" w14:textId="77777777" w:rsidR="002E6862" w:rsidRPr="002E6862" w:rsidRDefault="002E6862" w:rsidP="002E6862">
            <w:pPr>
              <w:rPr>
                <w:rFonts w:ascii="Arial" w:hAnsi="Arial" w:cs="Arial"/>
                <w:sz w:val="24"/>
                <w:szCs w:val="24"/>
              </w:rPr>
            </w:pPr>
          </w:p>
          <w:p w14:paraId="5418E00A"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snapToGrid w:val="0"/>
                <w:sz w:val="24"/>
                <w:szCs w:val="24"/>
              </w:rPr>
              <w:t>Training Reserve -</w:t>
            </w:r>
            <w:r w:rsidRPr="002E6862">
              <w:rPr>
                <w:rFonts w:ascii="Arial" w:hAnsi="Arial" w:cs="Arial"/>
                <w:sz w:val="24"/>
                <w:szCs w:val="24"/>
              </w:rPr>
              <w:t xml:space="preserve"> t</w:t>
            </w:r>
            <w:r w:rsidRPr="002E6862">
              <w:rPr>
                <w:rFonts w:ascii="Arial" w:hAnsi="Arial" w:cs="Arial"/>
                <w:sz w:val="24"/>
                <w:szCs w:val="24"/>
                <w:lang w:eastAsia="en-GB"/>
              </w:rPr>
              <w:t>here have been, and will continue to be, movements and changes in the structure of the Service, which will inevitably require additional training and development of staff. This reserve was created to enable this training and development to be carried out, without adding additional pressure to the revenue budget.</w:t>
            </w:r>
          </w:p>
          <w:p w14:paraId="5957BF64" w14:textId="77777777" w:rsidR="002E6862" w:rsidRPr="002E6862" w:rsidRDefault="002E6862" w:rsidP="002E6862">
            <w:pPr>
              <w:rPr>
                <w:rFonts w:ascii="Arial" w:hAnsi="Arial" w:cs="Arial"/>
                <w:sz w:val="24"/>
                <w:szCs w:val="24"/>
              </w:rPr>
            </w:pPr>
          </w:p>
          <w:p w14:paraId="16563E6A"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bCs/>
                <w:sz w:val="24"/>
                <w:szCs w:val="24"/>
                <w:lang w:eastAsia="en-GB"/>
              </w:rPr>
              <w:t xml:space="preserve">Operational Equipment Reserve - </w:t>
            </w:r>
            <w:r w:rsidRPr="002E6862">
              <w:rPr>
                <w:rFonts w:ascii="Arial" w:hAnsi="Arial" w:cs="Arial"/>
                <w:bCs/>
                <w:sz w:val="24"/>
                <w:szCs w:val="24"/>
                <w:lang w:eastAsia="en-GB"/>
              </w:rPr>
              <w:t>t</w:t>
            </w:r>
            <w:r w:rsidRPr="002E6862">
              <w:rPr>
                <w:rFonts w:ascii="Arial" w:hAnsi="Arial" w:cs="Arial"/>
                <w:sz w:val="24"/>
                <w:szCs w:val="24"/>
                <w:lang w:eastAsia="en-GB"/>
              </w:rPr>
              <w:t xml:space="preserve">his reserve was established to help provide some stability in this area of the revenue budget.  Where a need for new equipment is identified, contributions can be made from the reserve, and any ongoing requirements for the equipment can be established.  </w:t>
            </w:r>
          </w:p>
          <w:p w14:paraId="05A52F3E" w14:textId="77777777" w:rsidR="002E6862" w:rsidRPr="002E6862" w:rsidRDefault="002E6862" w:rsidP="002E6862">
            <w:pPr>
              <w:rPr>
                <w:rFonts w:ascii="Arial" w:hAnsi="Arial" w:cs="Arial"/>
                <w:sz w:val="24"/>
                <w:szCs w:val="24"/>
              </w:rPr>
            </w:pPr>
          </w:p>
          <w:p w14:paraId="2D1222FC" w14:textId="77777777" w:rsidR="002E6862" w:rsidRPr="002E6862" w:rsidRDefault="002E6862" w:rsidP="002E6862">
            <w:pPr>
              <w:numPr>
                <w:ilvl w:val="0"/>
                <w:numId w:val="4"/>
              </w:numPr>
              <w:spacing w:after="160" w:line="259" w:lineRule="auto"/>
              <w:ind w:left="284" w:hanging="284"/>
              <w:rPr>
                <w:rFonts w:ascii="Arial" w:hAnsi="Arial" w:cs="Arial"/>
                <w:sz w:val="24"/>
                <w:szCs w:val="24"/>
              </w:rPr>
            </w:pPr>
            <w:r w:rsidRPr="002E6862">
              <w:rPr>
                <w:rFonts w:ascii="Arial" w:hAnsi="Arial" w:cs="Arial"/>
                <w:b/>
                <w:bCs/>
                <w:sz w:val="24"/>
                <w:szCs w:val="24"/>
                <w:lang w:eastAsia="en-GB"/>
              </w:rPr>
              <w:t xml:space="preserve">Building Maintenance Reserve - </w:t>
            </w:r>
            <w:r w:rsidRPr="002E6862">
              <w:rPr>
                <w:rFonts w:ascii="Arial" w:hAnsi="Arial" w:cs="Arial"/>
                <w:sz w:val="24"/>
                <w:szCs w:val="24"/>
                <w:lang w:eastAsia="en-GB"/>
              </w:rPr>
              <w:t xml:space="preserve">The revenue budget in this area is used to fund preventative or controlled maintenance in line with the Authority’s Asset Management Plan and also covers unexpected reactive maintenance. This reserve was created to deal with exceptional, unexpected repairs that do not require a regular revenue budget. </w:t>
            </w:r>
          </w:p>
          <w:p w14:paraId="2BD4DFA3" w14:textId="77777777" w:rsidR="002E6862" w:rsidRPr="002E6862" w:rsidRDefault="002E6862" w:rsidP="002E6862">
            <w:pPr>
              <w:rPr>
                <w:rFonts w:ascii="Arial" w:hAnsi="Arial" w:cs="Arial"/>
                <w:i/>
                <w:sz w:val="24"/>
                <w:szCs w:val="24"/>
              </w:rPr>
            </w:pPr>
          </w:p>
          <w:p w14:paraId="20942BA3" w14:textId="77777777" w:rsidR="002E6862" w:rsidRPr="002E6862" w:rsidRDefault="002E6862" w:rsidP="002E6862">
            <w:pPr>
              <w:rPr>
                <w:rFonts w:ascii="Arial" w:hAnsi="Arial" w:cs="Arial"/>
                <w:sz w:val="24"/>
                <w:szCs w:val="24"/>
              </w:rPr>
            </w:pPr>
            <w:r w:rsidRPr="002E6862">
              <w:rPr>
                <w:rFonts w:ascii="Arial" w:hAnsi="Arial" w:cs="Arial"/>
                <w:sz w:val="24"/>
                <w:szCs w:val="24"/>
              </w:rPr>
              <w:t>Certain reserves are kept to manage the accounting processes for Property Plant and Equipment and other adjustments and do not represent usable resources for the Authority:</w:t>
            </w:r>
          </w:p>
          <w:p w14:paraId="6F5AC143" w14:textId="77777777" w:rsidR="002E6862" w:rsidRPr="002E6862" w:rsidRDefault="002E6862" w:rsidP="002E6862">
            <w:pPr>
              <w:numPr>
                <w:ilvl w:val="0"/>
                <w:numId w:val="5"/>
              </w:numPr>
              <w:tabs>
                <w:tab w:val="left" w:pos="284"/>
              </w:tabs>
              <w:spacing w:after="160" w:line="259" w:lineRule="auto"/>
              <w:ind w:left="284" w:hanging="284"/>
              <w:rPr>
                <w:rFonts w:ascii="Arial" w:hAnsi="Arial" w:cs="Arial"/>
                <w:sz w:val="24"/>
                <w:szCs w:val="24"/>
              </w:rPr>
            </w:pPr>
            <w:r w:rsidRPr="002E6862">
              <w:rPr>
                <w:rFonts w:ascii="Arial" w:hAnsi="Arial" w:cs="Arial"/>
                <w:b/>
                <w:sz w:val="24"/>
                <w:szCs w:val="24"/>
              </w:rPr>
              <w:t>Revaluation Reserve</w:t>
            </w:r>
            <w:r w:rsidRPr="002E6862">
              <w:rPr>
                <w:rFonts w:ascii="Arial" w:hAnsi="Arial" w:cs="Arial"/>
                <w:sz w:val="24"/>
                <w:szCs w:val="24"/>
              </w:rPr>
              <w:t xml:space="preserve"> – this replaced the Fixed Asset Replacement Account (FARA), and represents net gains on assets that have been revalued after 1 April 2007.</w:t>
            </w:r>
          </w:p>
          <w:p w14:paraId="07B51843" w14:textId="77777777" w:rsidR="002E6862" w:rsidRPr="002E6862" w:rsidRDefault="002E6862" w:rsidP="002E6862">
            <w:pPr>
              <w:numPr>
                <w:ilvl w:val="0"/>
                <w:numId w:val="5"/>
              </w:numPr>
              <w:spacing w:after="160" w:line="259" w:lineRule="auto"/>
              <w:ind w:left="284" w:hanging="284"/>
              <w:rPr>
                <w:rFonts w:ascii="Arial" w:hAnsi="Arial" w:cs="Arial"/>
                <w:sz w:val="24"/>
                <w:szCs w:val="24"/>
              </w:rPr>
            </w:pPr>
            <w:r w:rsidRPr="002E6862">
              <w:rPr>
                <w:rFonts w:ascii="Arial" w:hAnsi="Arial" w:cs="Arial"/>
                <w:b/>
                <w:sz w:val="24"/>
                <w:szCs w:val="24"/>
              </w:rPr>
              <w:t xml:space="preserve">Capital Adjustment Account </w:t>
            </w:r>
            <w:r w:rsidRPr="002E6862">
              <w:rPr>
                <w:rFonts w:ascii="Arial" w:hAnsi="Arial" w:cs="Arial"/>
                <w:sz w:val="24"/>
                <w:szCs w:val="24"/>
              </w:rPr>
              <w:t>– the opening balance on this account was created from the balances on the FARA and the Capital Financing Account. It reflects the difference between the cost of fixed assets consumed and the capital financing set aside to pay for them.</w:t>
            </w:r>
          </w:p>
          <w:p w14:paraId="49706BA0" w14:textId="77777777" w:rsidR="002E6862" w:rsidRPr="002E6862" w:rsidRDefault="002E6862" w:rsidP="002E6862">
            <w:pPr>
              <w:numPr>
                <w:ilvl w:val="0"/>
                <w:numId w:val="5"/>
              </w:numPr>
              <w:spacing w:after="160" w:line="259" w:lineRule="auto"/>
              <w:ind w:left="284" w:hanging="284"/>
              <w:rPr>
                <w:rFonts w:ascii="Arial" w:hAnsi="Arial" w:cs="Arial"/>
                <w:sz w:val="24"/>
                <w:szCs w:val="24"/>
              </w:rPr>
            </w:pPr>
            <w:r w:rsidRPr="002E6862">
              <w:rPr>
                <w:rFonts w:ascii="Arial" w:hAnsi="Arial" w:cs="Arial"/>
                <w:b/>
                <w:sz w:val="24"/>
                <w:szCs w:val="24"/>
              </w:rPr>
              <w:t xml:space="preserve">Collection Fund Adjustment Account – </w:t>
            </w:r>
            <w:r w:rsidRPr="002E6862">
              <w:rPr>
                <w:rFonts w:ascii="Arial" w:hAnsi="Arial" w:cs="Arial"/>
                <w:bCs/>
                <w:sz w:val="24"/>
                <w:szCs w:val="24"/>
              </w:rPr>
              <w:t xml:space="preserve">This account manages the differences arising from the recognition of income in the Comprehensive </w:t>
            </w:r>
            <w:r w:rsidRPr="002E6862">
              <w:rPr>
                <w:rFonts w:ascii="Arial" w:hAnsi="Arial" w:cs="Arial"/>
                <w:bCs/>
                <w:sz w:val="24"/>
                <w:szCs w:val="24"/>
              </w:rPr>
              <w:lastRenderedPageBreak/>
              <w:t>Income and Expenditure Statement as it falls due from the council tax payers and business rates payers, compared with the statutory arrangements for paying across amounts to the General Fund from the Collection Funds.</w:t>
            </w:r>
          </w:p>
          <w:p w14:paraId="78DDB62F" w14:textId="77777777" w:rsidR="002E6862" w:rsidRPr="002E6862" w:rsidRDefault="002E6862" w:rsidP="002E6862">
            <w:pPr>
              <w:numPr>
                <w:ilvl w:val="0"/>
                <w:numId w:val="5"/>
              </w:numPr>
              <w:spacing w:after="160" w:line="259" w:lineRule="auto"/>
              <w:ind w:left="284" w:hanging="284"/>
              <w:rPr>
                <w:rFonts w:ascii="Arial" w:hAnsi="Arial" w:cs="Arial"/>
                <w:sz w:val="24"/>
                <w:szCs w:val="24"/>
              </w:rPr>
            </w:pPr>
            <w:r w:rsidRPr="002E6862">
              <w:rPr>
                <w:rFonts w:ascii="Arial" w:hAnsi="Arial" w:cs="Arial"/>
                <w:b/>
                <w:sz w:val="24"/>
                <w:szCs w:val="24"/>
              </w:rPr>
              <w:t xml:space="preserve">Accumulated Absences Account – </w:t>
            </w:r>
            <w:r w:rsidRPr="002E6862">
              <w:rPr>
                <w:rFonts w:ascii="Arial" w:hAnsi="Arial" w:cs="Arial"/>
                <w:bCs/>
                <w:sz w:val="24"/>
                <w:szCs w:val="24"/>
              </w:rPr>
              <w:t>This account absorbs the differences that would otherwise arise on the General Fund balance from accruing for compensated absences earned but not yet taken in the year, eg annual leave entitlement carried forward at 31 March. Statutory arrangements require that the impact on the General Fund balance is neutralised by transfers to and from the account.</w:t>
            </w:r>
          </w:p>
          <w:p w14:paraId="6CA319D7" w14:textId="77777777" w:rsidR="002E6862" w:rsidRPr="002E6862" w:rsidRDefault="002E6862" w:rsidP="002E6862">
            <w:pPr>
              <w:rPr>
                <w:rFonts w:ascii="Arial" w:hAnsi="Arial" w:cs="Arial"/>
                <w:sz w:val="24"/>
                <w:szCs w:val="24"/>
              </w:rPr>
            </w:pPr>
          </w:p>
        </w:tc>
      </w:tr>
      <w:tr w:rsidR="002E6862" w:rsidRPr="002E6862" w14:paraId="462E783B" w14:textId="77777777" w:rsidTr="00F67A92">
        <w:tc>
          <w:tcPr>
            <w:tcW w:w="493" w:type="dxa"/>
          </w:tcPr>
          <w:p w14:paraId="09BC0B18" w14:textId="77777777" w:rsidR="002E6862" w:rsidRPr="002E6862" w:rsidRDefault="002E6862" w:rsidP="002E6862">
            <w:pPr>
              <w:rPr>
                <w:rFonts w:ascii="Arial" w:hAnsi="Arial" w:cs="Arial"/>
                <w:b/>
                <w:sz w:val="24"/>
                <w:szCs w:val="24"/>
              </w:rPr>
            </w:pPr>
            <w:r w:rsidRPr="002E6862">
              <w:rPr>
                <w:rFonts w:ascii="Arial" w:hAnsi="Arial" w:cs="Arial"/>
                <w:b/>
                <w:sz w:val="24"/>
                <w:szCs w:val="24"/>
              </w:rPr>
              <w:lastRenderedPageBreak/>
              <w:t>7</w:t>
            </w:r>
          </w:p>
        </w:tc>
        <w:tc>
          <w:tcPr>
            <w:tcW w:w="8497" w:type="dxa"/>
          </w:tcPr>
          <w:p w14:paraId="0E0241FB" w14:textId="77777777" w:rsidR="002E6862" w:rsidRPr="002E6862" w:rsidRDefault="002E6862" w:rsidP="002E6862">
            <w:pPr>
              <w:rPr>
                <w:rFonts w:ascii="Arial" w:hAnsi="Arial" w:cs="Arial"/>
                <w:b/>
                <w:sz w:val="24"/>
                <w:szCs w:val="24"/>
              </w:rPr>
            </w:pPr>
            <w:r w:rsidRPr="002E6862">
              <w:rPr>
                <w:rFonts w:ascii="Arial" w:hAnsi="Arial" w:cs="Arial"/>
                <w:b/>
                <w:sz w:val="24"/>
                <w:szCs w:val="24"/>
              </w:rPr>
              <w:t>Employee Benefits</w:t>
            </w:r>
          </w:p>
          <w:p w14:paraId="07A9FEBF" w14:textId="77777777" w:rsidR="002E6862" w:rsidRPr="002E6862" w:rsidRDefault="002E6862" w:rsidP="002E6862">
            <w:pPr>
              <w:rPr>
                <w:rFonts w:ascii="Arial" w:hAnsi="Arial" w:cs="Arial"/>
                <w:b/>
                <w:sz w:val="24"/>
                <w:szCs w:val="24"/>
              </w:rPr>
            </w:pPr>
            <w:r w:rsidRPr="002E6862">
              <w:rPr>
                <w:rFonts w:ascii="Arial" w:hAnsi="Arial" w:cs="Arial"/>
                <w:b/>
                <w:sz w:val="24"/>
                <w:szCs w:val="24"/>
              </w:rPr>
              <w:t>Benefits Payable During Employment</w:t>
            </w:r>
          </w:p>
          <w:p w14:paraId="1F9EA095" w14:textId="77777777" w:rsidR="002E6862" w:rsidRPr="002E6862" w:rsidRDefault="002E6862" w:rsidP="002E6862">
            <w:pPr>
              <w:rPr>
                <w:rFonts w:ascii="Arial" w:hAnsi="Arial" w:cs="Arial"/>
                <w:sz w:val="24"/>
                <w:szCs w:val="24"/>
              </w:rPr>
            </w:pPr>
            <w:r w:rsidRPr="002E6862">
              <w:rPr>
                <w:rFonts w:ascii="Arial" w:hAnsi="Arial" w:cs="Arial"/>
                <w:sz w:val="24"/>
                <w:szCs w:val="24"/>
              </w:rPr>
              <w:t>Short term employee benefits are those due to be settled within 12 months of the year end. They include such benefits as wages and salaries, paid annual leave, paid sick leave and non monetary benefits such as cars, and are recognised as an expense for services in the year in which employees render service to the Fire Authority.</w:t>
            </w:r>
          </w:p>
          <w:p w14:paraId="23833AA3" w14:textId="77777777" w:rsidR="002E6862" w:rsidRPr="002E6862" w:rsidRDefault="002E6862" w:rsidP="002E6862">
            <w:pPr>
              <w:rPr>
                <w:rFonts w:ascii="Arial" w:hAnsi="Arial" w:cs="Arial"/>
                <w:sz w:val="24"/>
                <w:szCs w:val="24"/>
              </w:rPr>
            </w:pPr>
            <w:r w:rsidRPr="002E6862">
              <w:rPr>
                <w:rFonts w:ascii="Arial" w:hAnsi="Arial" w:cs="Arial"/>
                <w:sz w:val="24"/>
                <w:szCs w:val="24"/>
              </w:rPr>
              <w:t>An accrual is made for the cost of the holiday entitlements earned by employees but not taken before the year end which employees can carry forward into the next financial year. The accrual is charged to Surplus or Deficit on the Provision of Services, but then reversed out through the Movements in Reserves Statement so that holiday benefits are charged to revenue in the year in which the holiday absence occurs.</w:t>
            </w:r>
          </w:p>
          <w:p w14:paraId="7C6D5621" w14:textId="77777777" w:rsidR="002E6862" w:rsidRPr="002E6862" w:rsidRDefault="002E6862" w:rsidP="002E6862">
            <w:pPr>
              <w:rPr>
                <w:rFonts w:ascii="Arial" w:hAnsi="Arial" w:cs="Arial"/>
                <w:sz w:val="24"/>
                <w:szCs w:val="24"/>
              </w:rPr>
            </w:pPr>
            <w:r w:rsidRPr="002E6862">
              <w:rPr>
                <w:rFonts w:ascii="Arial" w:hAnsi="Arial" w:cs="Arial"/>
                <w:sz w:val="24"/>
                <w:szCs w:val="24"/>
              </w:rPr>
              <w:t>The accrual is made at the wage and salary rates applicable in the following accounting year, being the period in which the employee takes the benefit.</w:t>
            </w:r>
          </w:p>
          <w:p w14:paraId="098E24CE" w14:textId="77777777" w:rsidR="002E6862" w:rsidRPr="002E6862" w:rsidRDefault="002E6862" w:rsidP="002E6862">
            <w:pPr>
              <w:rPr>
                <w:rFonts w:ascii="Arial" w:hAnsi="Arial" w:cs="Arial"/>
                <w:sz w:val="24"/>
                <w:szCs w:val="24"/>
              </w:rPr>
            </w:pPr>
          </w:p>
          <w:p w14:paraId="2D26AD35" w14:textId="77777777" w:rsidR="002E6862" w:rsidRPr="002E6862" w:rsidRDefault="002E6862" w:rsidP="002E6862">
            <w:pPr>
              <w:rPr>
                <w:rFonts w:ascii="Arial" w:hAnsi="Arial" w:cs="Arial"/>
                <w:b/>
                <w:sz w:val="24"/>
                <w:szCs w:val="24"/>
              </w:rPr>
            </w:pPr>
            <w:r w:rsidRPr="002E6862">
              <w:rPr>
                <w:rFonts w:ascii="Arial" w:hAnsi="Arial" w:cs="Arial"/>
                <w:b/>
                <w:sz w:val="24"/>
                <w:szCs w:val="24"/>
              </w:rPr>
              <w:t>Termination Benefits</w:t>
            </w:r>
          </w:p>
          <w:p w14:paraId="3FCF90D6" w14:textId="77777777" w:rsidR="002E6862" w:rsidRPr="002E6862" w:rsidRDefault="002E6862" w:rsidP="002E6862">
            <w:pPr>
              <w:rPr>
                <w:rFonts w:ascii="Arial" w:hAnsi="Arial" w:cs="Arial"/>
                <w:sz w:val="24"/>
                <w:szCs w:val="24"/>
              </w:rPr>
            </w:pPr>
            <w:r w:rsidRPr="002E6862">
              <w:rPr>
                <w:rFonts w:ascii="Arial" w:hAnsi="Arial" w:cs="Arial"/>
                <w:sz w:val="24"/>
                <w:szCs w:val="24"/>
              </w:rPr>
              <w:t>Termination benefits are amounts payable as a result of a decision made by the Authority to terminate an officer’s employment before the normal retirement date, or an officer’s decision to accept voluntary redundancy, and are charged on an accruals basis to the appropriate service in the Comprehensive Income and Expenditure Statement when the Authority is demonstrably committed to the termination of the employment of an officer or group of officers or making an offer to encourage voluntary redundancy.</w:t>
            </w:r>
          </w:p>
          <w:p w14:paraId="18F43FA1" w14:textId="77777777" w:rsidR="002E6862" w:rsidRDefault="002E6862" w:rsidP="002E6862">
            <w:pPr>
              <w:rPr>
                <w:rFonts w:ascii="Arial" w:hAnsi="Arial" w:cs="Arial"/>
                <w:sz w:val="24"/>
                <w:szCs w:val="24"/>
              </w:rPr>
            </w:pPr>
          </w:p>
          <w:p w14:paraId="5429BCDC" w14:textId="77777777" w:rsidR="002E6862" w:rsidRDefault="002E6862" w:rsidP="002E6862">
            <w:pPr>
              <w:rPr>
                <w:rFonts w:ascii="Arial" w:hAnsi="Arial" w:cs="Arial"/>
                <w:sz w:val="24"/>
                <w:szCs w:val="24"/>
              </w:rPr>
            </w:pPr>
          </w:p>
          <w:p w14:paraId="7159E884" w14:textId="77777777" w:rsidR="002E6862" w:rsidRPr="002E6862" w:rsidRDefault="002E6862" w:rsidP="002E6862">
            <w:pPr>
              <w:rPr>
                <w:rFonts w:ascii="Arial" w:hAnsi="Arial" w:cs="Arial"/>
                <w:sz w:val="24"/>
                <w:szCs w:val="24"/>
              </w:rPr>
            </w:pPr>
          </w:p>
          <w:p w14:paraId="6D39CDD1" w14:textId="77777777" w:rsidR="002E6862" w:rsidRPr="002E6862" w:rsidRDefault="002E6862" w:rsidP="002E6862">
            <w:pPr>
              <w:rPr>
                <w:rFonts w:ascii="Arial" w:hAnsi="Arial" w:cs="Arial"/>
                <w:b/>
                <w:sz w:val="24"/>
                <w:szCs w:val="24"/>
              </w:rPr>
            </w:pPr>
            <w:r w:rsidRPr="002E6862">
              <w:rPr>
                <w:rFonts w:ascii="Arial" w:hAnsi="Arial" w:cs="Arial"/>
                <w:b/>
                <w:sz w:val="24"/>
                <w:szCs w:val="24"/>
              </w:rPr>
              <w:t>Post Employment Benefits</w:t>
            </w:r>
          </w:p>
          <w:p w14:paraId="5D99ABF5" w14:textId="77777777" w:rsidR="002E6862" w:rsidRPr="002E6862" w:rsidRDefault="002E6862" w:rsidP="002E6862">
            <w:pPr>
              <w:rPr>
                <w:rFonts w:ascii="Arial" w:hAnsi="Arial" w:cs="Arial"/>
                <w:sz w:val="24"/>
                <w:szCs w:val="24"/>
              </w:rPr>
            </w:pPr>
            <w:r w:rsidRPr="002E6862">
              <w:rPr>
                <w:rFonts w:ascii="Arial" w:hAnsi="Arial" w:cs="Arial"/>
                <w:sz w:val="24"/>
                <w:szCs w:val="24"/>
              </w:rPr>
              <w:t>Employees of the Fire Authority are members of five</w:t>
            </w:r>
            <w:r w:rsidRPr="002E6862">
              <w:rPr>
                <w:rFonts w:ascii="Arial" w:hAnsi="Arial" w:cs="Arial"/>
                <w:b/>
                <w:i/>
                <w:sz w:val="24"/>
                <w:szCs w:val="24"/>
              </w:rPr>
              <w:t xml:space="preserve"> </w:t>
            </w:r>
            <w:r w:rsidRPr="002E6862">
              <w:rPr>
                <w:rFonts w:ascii="Arial" w:hAnsi="Arial" w:cs="Arial"/>
                <w:sz w:val="24"/>
                <w:szCs w:val="24"/>
              </w:rPr>
              <w:t>separate pension schemes:</w:t>
            </w:r>
          </w:p>
          <w:p w14:paraId="6B66B888" w14:textId="77777777" w:rsidR="002E6862" w:rsidRPr="002E6862" w:rsidRDefault="002E6862" w:rsidP="002E6862">
            <w:pPr>
              <w:rPr>
                <w:rFonts w:ascii="Arial" w:hAnsi="Arial" w:cs="Arial"/>
                <w:sz w:val="24"/>
                <w:szCs w:val="24"/>
              </w:rPr>
            </w:pPr>
          </w:p>
          <w:p w14:paraId="5EC23423" w14:textId="77777777" w:rsidR="002E6862" w:rsidRPr="002E6862" w:rsidRDefault="002E6862" w:rsidP="002E6862">
            <w:pPr>
              <w:tabs>
                <w:tab w:val="left" w:pos="284"/>
              </w:tabs>
              <w:rPr>
                <w:rFonts w:ascii="Arial" w:hAnsi="Arial" w:cs="Arial"/>
                <w:b/>
                <w:sz w:val="24"/>
                <w:szCs w:val="24"/>
              </w:rPr>
            </w:pPr>
            <w:r w:rsidRPr="002E6862">
              <w:rPr>
                <w:rFonts w:ascii="Arial" w:hAnsi="Arial" w:cs="Arial"/>
                <w:b/>
                <w:sz w:val="24"/>
                <w:szCs w:val="24"/>
              </w:rPr>
              <w:t>Firefighters Pension Schemes</w:t>
            </w:r>
          </w:p>
          <w:p w14:paraId="5B5710EF" w14:textId="77777777" w:rsidR="002E6862" w:rsidRPr="002E6862" w:rsidRDefault="002E6862" w:rsidP="002E6862">
            <w:pPr>
              <w:tabs>
                <w:tab w:val="left" w:pos="284"/>
              </w:tabs>
              <w:rPr>
                <w:rFonts w:ascii="Arial" w:hAnsi="Arial" w:cs="Arial"/>
                <w:b/>
                <w:sz w:val="24"/>
                <w:szCs w:val="24"/>
              </w:rPr>
            </w:pPr>
          </w:p>
          <w:p w14:paraId="36318215" w14:textId="77777777" w:rsidR="002E6862" w:rsidRPr="002E6862" w:rsidRDefault="002E6862" w:rsidP="002E6862">
            <w:pPr>
              <w:spacing w:after="200"/>
              <w:rPr>
                <w:rFonts w:ascii="Arial" w:hAnsi="Arial" w:cs="Arial"/>
                <w:sz w:val="24"/>
                <w:szCs w:val="24"/>
              </w:rPr>
            </w:pPr>
            <w:r w:rsidRPr="002E6862">
              <w:rPr>
                <w:rFonts w:ascii="Arial" w:hAnsi="Arial" w:cs="Arial"/>
                <w:b/>
                <w:bCs/>
                <w:sz w:val="24"/>
                <w:szCs w:val="24"/>
              </w:rPr>
              <w:t>Firefighters Pension Scheme 1992</w:t>
            </w:r>
            <w:r w:rsidRPr="002E6862">
              <w:rPr>
                <w:rFonts w:ascii="Arial" w:hAnsi="Arial" w:cs="Arial"/>
                <w:sz w:val="24"/>
                <w:szCs w:val="24"/>
              </w:rPr>
              <w:t xml:space="preserve"> - this is a statutory un-funded defined benefit final salary scheme and has been closed to new entrants since 6 April 2006. </w:t>
            </w:r>
          </w:p>
          <w:p w14:paraId="245830A1" w14:textId="77777777" w:rsidR="002E6862" w:rsidRPr="002E6862" w:rsidRDefault="002E6862" w:rsidP="002E6862">
            <w:pPr>
              <w:spacing w:after="200"/>
              <w:rPr>
                <w:rFonts w:ascii="Arial" w:hAnsi="Arial" w:cs="Arial"/>
                <w:sz w:val="24"/>
                <w:szCs w:val="24"/>
              </w:rPr>
            </w:pPr>
            <w:r w:rsidRPr="002E6862">
              <w:rPr>
                <w:rFonts w:ascii="Arial" w:hAnsi="Arial" w:cs="Arial"/>
                <w:b/>
                <w:bCs/>
                <w:sz w:val="24"/>
                <w:szCs w:val="24"/>
              </w:rPr>
              <w:lastRenderedPageBreak/>
              <w:t>New Firefighters’ Pension Scheme 2006</w:t>
            </w:r>
            <w:r w:rsidRPr="002E6862">
              <w:rPr>
                <w:rFonts w:ascii="Arial" w:hAnsi="Arial" w:cs="Arial"/>
                <w:sz w:val="24"/>
                <w:szCs w:val="24"/>
              </w:rPr>
              <w:t xml:space="preserve"> – this is also a statutory un-funded defined benefit final salary scheme.    </w:t>
            </w:r>
          </w:p>
          <w:p w14:paraId="664E5186" w14:textId="77777777" w:rsidR="002E6862" w:rsidRPr="002E6862" w:rsidRDefault="002E6862" w:rsidP="002E6862">
            <w:pPr>
              <w:tabs>
                <w:tab w:val="left" w:pos="284"/>
              </w:tabs>
              <w:rPr>
                <w:rFonts w:ascii="Arial" w:hAnsi="Arial" w:cs="Arial"/>
                <w:b/>
                <w:sz w:val="24"/>
                <w:szCs w:val="24"/>
              </w:rPr>
            </w:pPr>
            <w:r w:rsidRPr="002E6862">
              <w:rPr>
                <w:rFonts w:ascii="Arial" w:hAnsi="Arial" w:cs="Arial"/>
                <w:sz w:val="24"/>
                <w:szCs w:val="24"/>
              </w:rPr>
              <w:t>On 1 April 2006, new financial arrangements were introduced for both the 1992 and the 2006 Pension Firefighter Pension Schemes.</w:t>
            </w:r>
          </w:p>
          <w:p w14:paraId="659A74FE" w14:textId="77777777" w:rsidR="002E6862" w:rsidRPr="002E6862" w:rsidRDefault="002E6862" w:rsidP="002E6862">
            <w:pPr>
              <w:rPr>
                <w:rFonts w:ascii="Arial" w:hAnsi="Arial" w:cs="Arial"/>
                <w:b/>
                <w:sz w:val="24"/>
                <w:szCs w:val="24"/>
              </w:rPr>
            </w:pPr>
            <w:r w:rsidRPr="002E6862">
              <w:rPr>
                <w:rFonts w:ascii="Arial" w:hAnsi="Arial" w:cs="Arial"/>
                <w:sz w:val="24"/>
                <w:szCs w:val="24"/>
              </w:rPr>
              <w:t>Both schemes are regulated by the Home Office. Contributions to the schemes are made by firefighters and employers, which are paid into a separate Pension Fund Account, from which most commutations and pension payments are made. Any deficit on this account will be met by the Home Office, and any surplus at the end of the year must be paid back to the Home Office.</w:t>
            </w:r>
          </w:p>
          <w:p w14:paraId="71872304" w14:textId="77777777" w:rsidR="002E6862" w:rsidRPr="002E6862" w:rsidRDefault="002E6862" w:rsidP="002E6862">
            <w:pPr>
              <w:rPr>
                <w:rFonts w:ascii="Arial" w:hAnsi="Arial" w:cs="Arial"/>
                <w:sz w:val="24"/>
                <w:szCs w:val="24"/>
              </w:rPr>
            </w:pPr>
            <w:r w:rsidRPr="002E6862">
              <w:rPr>
                <w:rFonts w:ascii="Arial" w:hAnsi="Arial" w:cs="Arial"/>
                <w:sz w:val="24"/>
                <w:szCs w:val="24"/>
              </w:rPr>
              <w:t>The introduction of the 2006 scheme enabled firefighters on the Retained Duty System to contribute to a pension scheme, although those who choose not to join will still be eligible to receive a payment following an injury whilst on duty.</w:t>
            </w:r>
          </w:p>
          <w:p w14:paraId="68573C1F" w14:textId="77777777" w:rsidR="002E6862" w:rsidRPr="002E6862" w:rsidRDefault="002E6862" w:rsidP="002E6862">
            <w:pPr>
              <w:spacing w:before="100" w:beforeAutospacing="1" w:after="100" w:afterAutospacing="1"/>
              <w:outlineLvl w:val="0"/>
              <w:rPr>
                <w:rFonts w:ascii="Arial" w:hAnsi="Arial" w:cs="Arial"/>
                <w:bCs/>
                <w:kern w:val="36"/>
                <w:sz w:val="24"/>
                <w:szCs w:val="24"/>
                <w:lang w:val="en-US" w:eastAsia="en-GB"/>
              </w:rPr>
            </w:pPr>
            <w:r w:rsidRPr="002E6862">
              <w:rPr>
                <w:rFonts w:ascii="Arial" w:hAnsi="Arial" w:cs="Arial"/>
                <w:b/>
                <w:bCs/>
                <w:kern w:val="36"/>
                <w:sz w:val="24"/>
                <w:szCs w:val="24"/>
                <w:lang w:val="en-US" w:eastAsia="en-GB"/>
              </w:rPr>
              <w:t>Retained Modified Scheme</w:t>
            </w:r>
            <w:r w:rsidRPr="002E6862">
              <w:rPr>
                <w:rFonts w:ascii="Arial" w:hAnsi="Arial" w:cs="Arial"/>
                <w:b/>
                <w:bCs/>
                <w:i/>
                <w:kern w:val="36"/>
                <w:sz w:val="24"/>
                <w:szCs w:val="24"/>
                <w:lang w:val="en-US" w:eastAsia="en-GB"/>
              </w:rPr>
              <w:t xml:space="preserve"> </w:t>
            </w:r>
            <w:r w:rsidRPr="002E6862">
              <w:rPr>
                <w:rFonts w:ascii="Arial" w:hAnsi="Arial" w:cs="Arial"/>
                <w:bCs/>
                <w:kern w:val="36"/>
                <w:sz w:val="24"/>
                <w:szCs w:val="24"/>
                <w:lang w:val="en-US" w:eastAsia="en-GB"/>
              </w:rPr>
              <w:t>- t</w:t>
            </w:r>
            <w:r w:rsidRPr="002E6862">
              <w:rPr>
                <w:rFonts w:ascii="Arial" w:hAnsi="Arial" w:cs="Arial"/>
                <w:sz w:val="24"/>
                <w:szCs w:val="24"/>
                <w:lang w:val="en-US" w:eastAsia="en-GB"/>
              </w:rPr>
              <w:t>he exclusion of retained firefighters from the Firefighters Pension Scheme 1992 was challenged under the Part-Time Workers (Prevention of Less Favourable Treatment) Regulations 2000. As a result a settlement was reached allowing retained firefighters, with service between 1 July 2000 and 6 April 2006, to have “special” membership of Firefighters Pension Scheme 2006 based on their employment during this time period.</w:t>
            </w:r>
          </w:p>
          <w:p w14:paraId="75AA7236" w14:textId="77777777" w:rsidR="002E6862" w:rsidRPr="002E6862" w:rsidRDefault="002E6862" w:rsidP="002E6862">
            <w:pPr>
              <w:spacing w:before="100" w:beforeAutospacing="1" w:after="100" w:afterAutospacing="1"/>
              <w:rPr>
                <w:rFonts w:ascii="Arial" w:hAnsi="Arial" w:cs="Arial"/>
                <w:sz w:val="24"/>
                <w:szCs w:val="24"/>
                <w:lang w:val="en-US" w:eastAsia="en-GB"/>
              </w:rPr>
            </w:pPr>
            <w:r w:rsidRPr="002E6862">
              <w:rPr>
                <w:rFonts w:ascii="Arial" w:hAnsi="Arial" w:cs="Arial"/>
                <w:sz w:val="24"/>
                <w:szCs w:val="24"/>
                <w:lang w:val="en-US" w:eastAsia="en-GB"/>
              </w:rPr>
              <w:t>To implement this settlement the Modified Scheme was created providing retrospective benefits for those eligible to join who elect for special membership, and who pay the appropriate contributions.</w:t>
            </w:r>
          </w:p>
          <w:p w14:paraId="26EC729C" w14:textId="77777777" w:rsidR="002E6862" w:rsidRPr="002E6862" w:rsidRDefault="002E6862" w:rsidP="002E6862">
            <w:pPr>
              <w:rPr>
                <w:rFonts w:ascii="Arial" w:hAnsi="Arial" w:cs="Arial"/>
                <w:sz w:val="24"/>
                <w:szCs w:val="24"/>
              </w:rPr>
            </w:pPr>
          </w:p>
          <w:p w14:paraId="57F5A137" w14:textId="77777777" w:rsidR="002E6862" w:rsidRPr="002E6862" w:rsidRDefault="002E6862" w:rsidP="002E6862">
            <w:pPr>
              <w:rPr>
                <w:rFonts w:ascii="Arial" w:hAnsi="Arial" w:cs="Arial"/>
                <w:sz w:val="24"/>
                <w:szCs w:val="24"/>
              </w:rPr>
            </w:pPr>
            <w:r w:rsidRPr="002E6862">
              <w:rPr>
                <w:rFonts w:ascii="Arial" w:hAnsi="Arial" w:cs="Arial"/>
                <w:b/>
                <w:sz w:val="24"/>
                <w:szCs w:val="24"/>
              </w:rPr>
              <w:t>Firefighters Pension Scheme 2015</w:t>
            </w:r>
            <w:r w:rsidRPr="002E6862">
              <w:rPr>
                <w:rFonts w:ascii="Arial" w:hAnsi="Arial" w:cs="Arial"/>
                <w:b/>
                <w:i/>
                <w:sz w:val="24"/>
                <w:szCs w:val="24"/>
              </w:rPr>
              <w:t xml:space="preserve"> </w:t>
            </w:r>
            <w:r w:rsidRPr="002E6862">
              <w:rPr>
                <w:rFonts w:ascii="Arial" w:hAnsi="Arial" w:cs="Arial"/>
                <w:sz w:val="24"/>
                <w:szCs w:val="24"/>
              </w:rPr>
              <w:t>– this is a career average scheme, and is available to operational firefighters appointed on or after 1 April 2015. Serving firefighters will also have been transferred into the scheme, unless they have protected status under one of the existing schemes. The scheme is regulated by the Home Office.</w:t>
            </w:r>
          </w:p>
          <w:p w14:paraId="05368CF5" w14:textId="77777777" w:rsidR="002E6862" w:rsidRPr="002E6862" w:rsidRDefault="002E6862" w:rsidP="002E6862">
            <w:pPr>
              <w:rPr>
                <w:rFonts w:ascii="Arial" w:hAnsi="Arial" w:cs="Arial"/>
                <w:sz w:val="24"/>
                <w:szCs w:val="24"/>
              </w:rPr>
            </w:pPr>
          </w:p>
          <w:p w14:paraId="18CA3B8B" w14:textId="77777777" w:rsidR="002E6862" w:rsidRPr="002E6862" w:rsidRDefault="002E6862" w:rsidP="002E6862">
            <w:pPr>
              <w:rPr>
                <w:rFonts w:ascii="Arial" w:hAnsi="Arial" w:cs="Arial"/>
                <w:sz w:val="24"/>
                <w:szCs w:val="24"/>
              </w:rPr>
            </w:pPr>
            <w:r w:rsidRPr="002E6862">
              <w:rPr>
                <w:rFonts w:ascii="Arial" w:hAnsi="Arial" w:cs="Arial"/>
                <w:sz w:val="24"/>
                <w:szCs w:val="24"/>
              </w:rPr>
              <w:t>From 1 April 2022, all remaining members of the 1992 scheme and the 2006 scheme were transferred to the 2015 career average scheme.</w:t>
            </w:r>
          </w:p>
          <w:p w14:paraId="215B013D" w14:textId="77777777" w:rsidR="002E6862" w:rsidRPr="002E6862" w:rsidRDefault="002E6862" w:rsidP="002E6862">
            <w:pPr>
              <w:rPr>
                <w:rFonts w:ascii="Arial" w:hAnsi="Arial" w:cs="Arial"/>
                <w:sz w:val="24"/>
                <w:szCs w:val="24"/>
              </w:rPr>
            </w:pPr>
          </w:p>
          <w:p w14:paraId="3B4B4E69" w14:textId="77777777" w:rsidR="002E6862" w:rsidRPr="002E6862" w:rsidRDefault="002E6862" w:rsidP="002E6862">
            <w:pPr>
              <w:tabs>
                <w:tab w:val="left" w:pos="284"/>
              </w:tabs>
              <w:rPr>
                <w:rFonts w:ascii="Arial" w:hAnsi="Arial" w:cs="Arial"/>
                <w:sz w:val="24"/>
                <w:szCs w:val="24"/>
              </w:rPr>
            </w:pPr>
            <w:r w:rsidRPr="002E6862">
              <w:rPr>
                <w:rFonts w:ascii="Arial" w:hAnsi="Arial" w:cs="Arial"/>
                <w:b/>
                <w:sz w:val="24"/>
                <w:szCs w:val="24"/>
              </w:rPr>
              <w:t>Local Government Pension Scheme</w:t>
            </w:r>
            <w:r w:rsidRPr="002E6862">
              <w:rPr>
                <w:rFonts w:ascii="Arial" w:hAnsi="Arial" w:cs="Arial"/>
                <w:sz w:val="24"/>
                <w:szCs w:val="24"/>
              </w:rPr>
              <w:t xml:space="preserve"> – non operational staff are eligible for membership of the Shropshire County Pension Fund, which is administered by Shropshire Council. The pension costs charged to the Authority’s accounts in respect of support staff are equal to the contributions paid to the funded scheme for those employees. The amount of these contributions is determined by regular actuarial valuations. Further costs arise in respect of certain pensions paid to retired employees on an unfunded basis.</w:t>
            </w:r>
          </w:p>
          <w:p w14:paraId="530BF666" w14:textId="77777777" w:rsidR="002E6862" w:rsidRPr="002E6862" w:rsidRDefault="002E6862" w:rsidP="002E6862">
            <w:pPr>
              <w:tabs>
                <w:tab w:val="left" w:pos="284"/>
              </w:tabs>
              <w:rPr>
                <w:rFonts w:ascii="Arial" w:hAnsi="Arial" w:cs="Arial"/>
                <w:sz w:val="24"/>
                <w:szCs w:val="24"/>
              </w:rPr>
            </w:pPr>
            <w:r w:rsidRPr="002E6862">
              <w:rPr>
                <w:rFonts w:ascii="Arial" w:hAnsi="Arial" w:cs="Arial"/>
                <w:sz w:val="24"/>
                <w:szCs w:val="24"/>
              </w:rPr>
              <w:t>The Local Government Pension Scheme is accounted for as a defined benefits scheme:</w:t>
            </w:r>
          </w:p>
          <w:p w14:paraId="0CF8823F" w14:textId="77777777" w:rsidR="002E6862" w:rsidRPr="002E6862" w:rsidRDefault="002E6862" w:rsidP="002E6862">
            <w:pPr>
              <w:numPr>
                <w:ilvl w:val="0"/>
                <w:numId w:val="24"/>
              </w:numPr>
              <w:tabs>
                <w:tab w:val="left" w:pos="284"/>
              </w:tabs>
              <w:spacing w:after="160" w:line="259" w:lineRule="auto"/>
              <w:rPr>
                <w:rFonts w:ascii="Arial" w:hAnsi="Arial" w:cs="Arial"/>
                <w:sz w:val="24"/>
                <w:szCs w:val="24"/>
              </w:rPr>
            </w:pPr>
            <w:r w:rsidRPr="002E6862">
              <w:rPr>
                <w:rFonts w:ascii="Arial" w:hAnsi="Arial" w:cs="Arial"/>
                <w:sz w:val="24"/>
                <w:szCs w:val="24"/>
              </w:rPr>
              <w:t xml:space="preserve">The liabilities of the Shropshire County Pension Fund attributable to the Authority are included in the Balance Sheet on an actuarial basis using the projected unit method – ie an assessment of the future payments that will be made in relation to retirement benefits earned to </w:t>
            </w:r>
            <w:r w:rsidRPr="002E6862">
              <w:rPr>
                <w:rFonts w:ascii="Arial" w:hAnsi="Arial" w:cs="Arial"/>
                <w:sz w:val="24"/>
                <w:szCs w:val="24"/>
              </w:rPr>
              <w:lastRenderedPageBreak/>
              <w:t>date by employees, based on assumptions about mortality rates, employee turnover rates etc, and projections of projected earnings for current employees.</w:t>
            </w:r>
          </w:p>
          <w:p w14:paraId="34A96089" w14:textId="77777777" w:rsidR="002E6862" w:rsidRPr="002E6862" w:rsidRDefault="002E6862" w:rsidP="002E6862">
            <w:pPr>
              <w:numPr>
                <w:ilvl w:val="0"/>
                <w:numId w:val="24"/>
              </w:numPr>
              <w:tabs>
                <w:tab w:val="left" w:pos="284"/>
              </w:tabs>
              <w:spacing w:after="160" w:line="259" w:lineRule="auto"/>
              <w:jc w:val="center"/>
              <w:rPr>
                <w:rFonts w:ascii="Arial" w:hAnsi="Arial" w:cs="Arial"/>
                <w:sz w:val="24"/>
                <w:szCs w:val="24"/>
              </w:rPr>
            </w:pPr>
            <w:r w:rsidRPr="002E6862">
              <w:rPr>
                <w:rFonts w:ascii="Arial" w:hAnsi="Arial" w:cs="Arial"/>
                <w:sz w:val="24"/>
                <w:szCs w:val="24"/>
              </w:rPr>
              <w:t>Liabilities are discounted to their value at current prices, using a discount rate detailed in a note to the accounts (based on the indicative rate of return on high quality corporate bonds).</w:t>
            </w:r>
          </w:p>
          <w:p w14:paraId="60E943B4" w14:textId="77777777" w:rsidR="002E6862" w:rsidRPr="002E6862" w:rsidRDefault="002E6862" w:rsidP="002E6862">
            <w:pPr>
              <w:numPr>
                <w:ilvl w:val="0"/>
                <w:numId w:val="24"/>
              </w:numPr>
              <w:tabs>
                <w:tab w:val="left" w:pos="284"/>
              </w:tabs>
              <w:spacing w:after="160" w:line="259" w:lineRule="auto"/>
              <w:rPr>
                <w:rFonts w:ascii="Arial" w:hAnsi="Arial" w:cs="Arial"/>
                <w:sz w:val="24"/>
                <w:szCs w:val="24"/>
              </w:rPr>
            </w:pPr>
            <w:r w:rsidRPr="002E6862">
              <w:rPr>
                <w:rFonts w:ascii="Arial" w:hAnsi="Arial" w:cs="Arial"/>
                <w:sz w:val="24"/>
                <w:szCs w:val="24"/>
              </w:rPr>
              <w:t>The assets of Shropshire County Pension Fund attributable to the Authority are included in the Balance Sheet at their fair value:</w:t>
            </w:r>
          </w:p>
          <w:p w14:paraId="6FD74BB8" w14:textId="77777777" w:rsidR="002E6862" w:rsidRPr="002E6862" w:rsidRDefault="002E6862" w:rsidP="002E6862">
            <w:pPr>
              <w:numPr>
                <w:ilvl w:val="1"/>
                <w:numId w:val="24"/>
              </w:numPr>
              <w:tabs>
                <w:tab w:val="left" w:pos="284"/>
              </w:tabs>
              <w:spacing w:after="160" w:line="259" w:lineRule="auto"/>
              <w:rPr>
                <w:rFonts w:ascii="Arial" w:hAnsi="Arial" w:cs="Arial"/>
                <w:sz w:val="24"/>
                <w:szCs w:val="24"/>
              </w:rPr>
            </w:pPr>
            <w:r w:rsidRPr="002E6862">
              <w:rPr>
                <w:rFonts w:ascii="Arial" w:hAnsi="Arial" w:cs="Arial"/>
                <w:sz w:val="24"/>
                <w:szCs w:val="24"/>
              </w:rPr>
              <w:t>quoted securities – current bid price</w:t>
            </w:r>
          </w:p>
          <w:p w14:paraId="3180D14C" w14:textId="77777777" w:rsidR="002E6862" w:rsidRPr="002E6862" w:rsidRDefault="002E6862" w:rsidP="002E6862">
            <w:pPr>
              <w:numPr>
                <w:ilvl w:val="1"/>
                <w:numId w:val="24"/>
              </w:numPr>
              <w:tabs>
                <w:tab w:val="left" w:pos="284"/>
              </w:tabs>
              <w:spacing w:after="160" w:line="259" w:lineRule="auto"/>
              <w:rPr>
                <w:rFonts w:ascii="Arial" w:hAnsi="Arial" w:cs="Arial"/>
                <w:sz w:val="24"/>
                <w:szCs w:val="24"/>
              </w:rPr>
            </w:pPr>
            <w:r w:rsidRPr="002E6862">
              <w:rPr>
                <w:rFonts w:ascii="Arial" w:hAnsi="Arial" w:cs="Arial"/>
                <w:sz w:val="24"/>
                <w:szCs w:val="24"/>
              </w:rPr>
              <w:t>unquoted securities – professional estimate</w:t>
            </w:r>
          </w:p>
          <w:p w14:paraId="35EA2966" w14:textId="77777777" w:rsidR="002E6862" w:rsidRPr="002E6862" w:rsidRDefault="002E6862" w:rsidP="002E6862">
            <w:pPr>
              <w:numPr>
                <w:ilvl w:val="1"/>
                <w:numId w:val="24"/>
              </w:numPr>
              <w:tabs>
                <w:tab w:val="left" w:pos="284"/>
              </w:tabs>
              <w:spacing w:after="160" w:line="259" w:lineRule="auto"/>
              <w:rPr>
                <w:rFonts w:ascii="Arial" w:hAnsi="Arial" w:cs="Arial"/>
                <w:sz w:val="24"/>
                <w:szCs w:val="24"/>
              </w:rPr>
            </w:pPr>
            <w:r w:rsidRPr="002E6862">
              <w:rPr>
                <w:rFonts w:ascii="Arial" w:hAnsi="Arial" w:cs="Arial"/>
                <w:sz w:val="24"/>
                <w:szCs w:val="24"/>
              </w:rPr>
              <w:t>unitised securities – current bid price</w:t>
            </w:r>
          </w:p>
          <w:p w14:paraId="73431142" w14:textId="77777777" w:rsidR="002E6862" w:rsidRPr="002E6862" w:rsidRDefault="002E6862" w:rsidP="002E6862">
            <w:pPr>
              <w:numPr>
                <w:ilvl w:val="1"/>
                <w:numId w:val="24"/>
              </w:numPr>
              <w:tabs>
                <w:tab w:val="left" w:pos="284"/>
              </w:tabs>
              <w:spacing w:after="160" w:line="259" w:lineRule="auto"/>
              <w:rPr>
                <w:rFonts w:ascii="Arial" w:hAnsi="Arial" w:cs="Arial"/>
                <w:sz w:val="24"/>
                <w:szCs w:val="24"/>
              </w:rPr>
            </w:pPr>
            <w:r w:rsidRPr="002E6862">
              <w:rPr>
                <w:rFonts w:ascii="Arial" w:hAnsi="Arial" w:cs="Arial"/>
                <w:sz w:val="24"/>
                <w:szCs w:val="24"/>
              </w:rPr>
              <w:t>property – market value.</w:t>
            </w:r>
          </w:p>
          <w:p w14:paraId="6EF9FDB2" w14:textId="77777777" w:rsidR="002E6862" w:rsidRPr="002E6862" w:rsidRDefault="002E6862" w:rsidP="002E6862">
            <w:pPr>
              <w:ind w:left="720"/>
              <w:rPr>
                <w:rFonts w:ascii="Arial" w:hAnsi="Arial" w:cs="Arial"/>
                <w:sz w:val="24"/>
                <w:szCs w:val="24"/>
              </w:rPr>
            </w:pPr>
          </w:p>
          <w:p w14:paraId="07868516" w14:textId="77777777" w:rsidR="002E6862" w:rsidRPr="002E6862" w:rsidRDefault="002E6862" w:rsidP="002E6862">
            <w:pPr>
              <w:ind w:left="720" w:hanging="720"/>
              <w:rPr>
                <w:rFonts w:ascii="Arial" w:hAnsi="Arial" w:cs="Arial"/>
                <w:b/>
                <w:sz w:val="24"/>
                <w:szCs w:val="24"/>
              </w:rPr>
            </w:pPr>
            <w:r w:rsidRPr="002E6862">
              <w:rPr>
                <w:rFonts w:ascii="Arial" w:hAnsi="Arial" w:cs="Arial"/>
                <w:b/>
                <w:sz w:val="24"/>
                <w:szCs w:val="24"/>
              </w:rPr>
              <w:t>Accounting for Pensions</w:t>
            </w:r>
          </w:p>
          <w:p w14:paraId="4EAC545D" w14:textId="77777777" w:rsidR="002E6862" w:rsidRPr="002E6862" w:rsidRDefault="002E6862" w:rsidP="002E6862">
            <w:pPr>
              <w:rPr>
                <w:rFonts w:ascii="Arial" w:hAnsi="Arial" w:cs="Arial"/>
                <w:sz w:val="24"/>
                <w:szCs w:val="24"/>
              </w:rPr>
            </w:pPr>
            <w:r w:rsidRPr="002E6862">
              <w:rPr>
                <w:rFonts w:ascii="Arial" w:hAnsi="Arial" w:cs="Arial"/>
                <w:sz w:val="24"/>
                <w:szCs w:val="24"/>
              </w:rPr>
              <w:t>The change in the net pensions liability is analysed into the following components:</w:t>
            </w:r>
          </w:p>
          <w:p w14:paraId="442D568A" w14:textId="77777777" w:rsidR="002E6862" w:rsidRPr="002E6862" w:rsidRDefault="002E6862" w:rsidP="002E6862">
            <w:pPr>
              <w:numPr>
                <w:ilvl w:val="0"/>
                <w:numId w:val="6"/>
              </w:numPr>
              <w:tabs>
                <w:tab w:val="num" w:pos="284"/>
              </w:tabs>
              <w:spacing w:after="160" w:line="259" w:lineRule="auto"/>
              <w:ind w:left="284" w:hanging="284"/>
              <w:rPr>
                <w:rFonts w:ascii="Arial" w:hAnsi="Arial" w:cs="Arial"/>
                <w:sz w:val="24"/>
                <w:szCs w:val="24"/>
              </w:rPr>
            </w:pPr>
            <w:r w:rsidRPr="002E6862">
              <w:rPr>
                <w:rFonts w:ascii="Arial" w:hAnsi="Arial" w:cs="Arial"/>
                <w:b/>
                <w:sz w:val="24"/>
                <w:szCs w:val="24"/>
              </w:rPr>
              <w:t>Current service cost</w:t>
            </w:r>
            <w:r w:rsidRPr="002E6862">
              <w:rPr>
                <w:rFonts w:ascii="Arial" w:hAnsi="Arial" w:cs="Arial"/>
                <w:sz w:val="24"/>
                <w:szCs w:val="24"/>
              </w:rPr>
              <w:t xml:space="preserve"> – the increase in liabilities as a result of years of service earned this year – allocated in the Comprehensive Income and Expenditure Statement to the revenue accounts of services for which the employees worked.</w:t>
            </w:r>
          </w:p>
          <w:p w14:paraId="1A5DD569" w14:textId="77777777" w:rsidR="002E6862" w:rsidRPr="002E6862" w:rsidRDefault="002E6862" w:rsidP="002E6862">
            <w:pPr>
              <w:numPr>
                <w:ilvl w:val="0"/>
                <w:numId w:val="6"/>
              </w:numPr>
              <w:tabs>
                <w:tab w:val="left" w:pos="284"/>
              </w:tabs>
              <w:spacing w:after="160" w:line="259" w:lineRule="auto"/>
              <w:ind w:left="284" w:hanging="284"/>
              <w:rPr>
                <w:rFonts w:ascii="Arial" w:hAnsi="Arial" w:cs="Arial"/>
                <w:sz w:val="24"/>
                <w:szCs w:val="24"/>
              </w:rPr>
            </w:pPr>
            <w:r w:rsidRPr="002E6862">
              <w:rPr>
                <w:rFonts w:ascii="Arial" w:hAnsi="Arial" w:cs="Arial"/>
                <w:b/>
                <w:sz w:val="24"/>
                <w:szCs w:val="24"/>
              </w:rPr>
              <w:t>Past service cost</w:t>
            </w:r>
            <w:r w:rsidRPr="002E6862">
              <w:rPr>
                <w:rFonts w:ascii="Arial" w:hAnsi="Arial" w:cs="Arial"/>
                <w:sz w:val="24"/>
                <w:szCs w:val="24"/>
              </w:rPr>
              <w:t xml:space="preserve"> – the increase in liabilities as a result of a scheme amendment or curtailment whose effect relates to years of service earned in earlier years – debited to the Surplus or Deficit on the Provision of Services in the Comprehensive Income and Expenditure Statement as part of Non Distributable Costs.</w:t>
            </w:r>
          </w:p>
          <w:p w14:paraId="1CD0D87D" w14:textId="77777777" w:rsidR="002E6862" w:rsidRPr="002E6862" w:rsidRDefault="002E6862" w:rsidP="002E6862">
            <w:pPr>
              <w:numPr>
                <w:ilvl w:val="0"/>
                <w:numId w:val="6"/>
              </w:numPr>
              <w:tabs>
                <w:tab w:val="num" w:pos="284"/>
              </w:tabs>
              <w:spacing w:after="160" w:line="259" w:lineRule="auto"/>
              <w:ind w:left="284" w:hanging="284"/>
              <w:rPr>
                <w:rFonts w:ascii="Arial" w:hAnsi="Arial" w:cs="Arial"/>
                <w:sz w:val="24"/>
                <w:szCs w:val="24"/>
              </w:rPr>
            </w:pPr>
            <w:r w:rsidRPr="002E6862">
              <w:rPr>
                <w:rFonts w:ascii="Arial" w:hAnsi="Arial" w:cs="Arial"/>
                <w:b/>
                <w:sz w:val="24"/>
                <w:szCs w:val="24"/>
              </w:rPr>
              <w:t xml:space="preserve">Net Interest on the defined liability (asset) </w:t>
            </w:r>
            <w:r w:rsidRPr="002E6862">
              <w:rPr>
                <w:rFonts w:ascii="Arial" w:hAnsi="Arial" w:cs="Arial"/>
                <w:sz w:val="24"/>
                <w:szCs w:val="24"/>
              </w:rPr>
              <w:t>– ie net interest expense for the Authority – the change during the period in the net defined benefit liability (asset) that arises from the passage of time charged to the Financing and Investment Income and Expenditure line of the Comprehensive Income and Expenditure Statement. This is calculated by applying the discount rate used to measure the defined benefit obligation at the beginning of the period to the net defined benefit liability (asset) at the beginning of the period – taking into account any changes in the net defined benefit liability (asset) during the period as a result of contribution and benefit payments.</w:t>
            </w:r>
          </w:p>
          <w:p w14:paraId="130E07DB" w14:textId="77777777" w:rsidR="002E6862" w:rsidRPr="002E6862" w:rsidRDefault="002E6862" w:rsidP="002E6862">
            <w:pPr>
              <w:numPr>
                <w:ilvl w:val="0"/>
                <w:numId w:val="6"/>
              </w:numPr>
              <w:tabs>
                <w:tab w:val="num" w:pos="284"/>
              </w:tabs>
              <w:spacing w:after="160" w:line="259" w:lineRule="auto"/>
              <w:ind w:left="284" w:hanging="284"/>
              <w:rPr>
                <w:rFonts w:ascii="Arial" w:hAnsi="Arial" w:cs="Arial"/>
                <w:sz w:val="24"/>
                <w:szCs w:val="24"/>
              </w:rPr>
            </w:pPr>
            <w:r w:rsidRPr="002E6862">
              <w:rPr>
                <w:rFonts w:ascii="Arial" w:hAnsi="Arial" w:cs="Arial"/>
                <w:b/>
                <w:sz w:val="24"/>
                <w:szCs w:val="24"/>
              </w:rPr>
              <w:t>Remeasurements</w:t>
            </w:r>
            <w:r w:rsidRPr="002E6862">
              <w:rPr>
                <w:rFonts w:ascii="Arial" w:hAnsi="Arial" w:cs="Arial"/>
                <w:sz w:val="24"/>
                <w:szCs w:val="24"/>
              </w:rPr>
              <w:t xml:space="preserve"> comprising:</w:t>
            </w:r>
          </w:p>
          <w:p w14:paraId="1C502B3C" w14:textId="77777777" w:rsidR="002E6862" w:rsidRPr="002E6862" w:rsidRDefault="002E6862" w:rsidP="002E6862">
            <w:pPr>
              <w:numPr>
                <w:ilvl w:val="0"/>
                <w:numId w:val="26"/>
              </w:numPr>
              <w:spacing w:after="160" w:line="259" w:lineRule="auto"/>
              <w:rPr>
                <w:rFonts w:ascii="Arial" w:hAnsi="Arial" w:cs="Arial"/>
                <w:sz w:val="24"/>
                <w:szCs w:val="24"/>
              </w:rPr>
            </w:pPr>
            <w:r w:rsidRPr="002E6862">
              <w:rPr>
                <w:rFonts w:ascii="Arial" w:hAnsi="Arial" w:cs="Arial"/>
                <w:sz w:val="24"/>
                <w:szCs w:val="24"/>
              </w:rPr>
              <w:t>The return on plan assets – excluding amounts included in net interest on the defined benefit liability (asset) – charged to the Pensions Reserve.</w:t>
            </w:r>
          </w:p>
          <w:p w14:paraId="4A976BFF" w14:textId="77777777" w:rsidR="002E6862" w:rsidRPr="002E6862" w:rsidRDefault="002E6862" w:rsidP="002E6862">
            <w:pPr>
              <w:numPr>
                <w:ilvl w:val="0"/>
                <w:numId w:val="26"/>
              </w:numPr>
              <w:spacing w:after="160" w:line="259" w:lineRule="auto"/>
              <w:rPr>
                <w:rFonts w:ascii="Arial" w:hAnsi="Arial" w:cs="Arial"/>
                <w:sz w:val="24"/>
                <w:szCs w:val="24"/>
              </w:rPr>
            </w:pPr>
            <w:r w:rsidRPr="002E6862">
              <w:rPr>
                <w:rFonts w:ascii="Arial" w:hAnsi="Arial" w:cs="Arial"/>
                <w:sz w:val="24"/>
                <w:szCs w:val="24"/>
              </w:rPr>
              <w:lastRenderedPageBreak/>
              <w:t>Actuarial gains and losses – changes in the net pensions liability that arise because events have not coincided with assumptions made at the last actuarial valuation or because the actuaries have updated their assumptions – charged to the Pensions Reserve.</w:t>
            </w:r>
          </w:p>
          <w:p w14:paraId="2E16EF41" w14:textId="77777777" w:rsidR="002E6862" w:rsidRPr="002E6862" w:rsidRDefault="002E6862" w:rsidP="002E6862">
            <w:pPr>
              <w:numPr>
                <w:ilvl w:val="0"/>
                <w:numId w:val="6"/>
              </w:numPr>
              <w:tabs>
                <w:tab w:val="num" w:pos="284"/>
              </w:tabs>
              <w:spacing w:after="160" w:line="259" w:lineRule="auto"/>
              <w:ind w:left="284" w:hanging="284"/>
              <w:rPr>
                <w:rFonts w:ascii="Arial" w:hAnsi="Arial" w:cs="Arial"/>
                <w:sz w:val="24"/>
                <w:szCs w:val="24"/>
              </w:rPr>
            </w:pPr>
            <w:r w:rsidRPr="002E6862">
              <w:rPr>
                <w:rFonts w:ascii="Arial" w:hAnsi="Arial" w:cs="Arial"/>
                <w:b/>
                <w:sz w:val="24"/>
                <w:szCs w:val="24"/>
              </w:rPr>
              <w:t>Contributions paid to the pension funds</w:t>
            </w:r>
            <w:r w:rsidRPr="002E6862">
              <w:rPr>
                <w:rFonts w:ascii="Arial" w:hAnsi="Arial" w:cs="Arial"/>
                <w:sz w:val="24"/>
                <w:szCs w:val="24"/>
              </w:rPr>
              <w:t xml:space="preserve"> – cash paid as employer’s contributions to the pension schemes.</w:t>
            </w:r>
          </w:p>
          <w:p w14:paraId="40E54D61" w14:textId="77777777" w:rsidR="002E6862" w:rsidRPr="002E6862" w:rsidRDefault="002E6862" w:rsidP="002E6862">
            <w:pPr>
              <w:ind w:left="284"/>
              <w:rPr>
                <w:rFonts w:ascii="Arial" w:hAnsi="Arial" w:cs="Arial"/>
                <w:sz w:val="24"/>
                <w:szCs w:val="24"/>
              </w:rPr>
            </w:pPr>
          </w:p>
          <w:p w14:paraId="37D667FE" w14:textId="77777777" w:rsidR="002E6862" w:rsidRPr="002E6862" w:rsidRDefault="002E6862" w:rsidP="002E6862">
            <w:pPr>
              <w:rPr>
                <w:rFonts w:ascii="Arial" w:hAnsi="Arial" w:cs="Arial"/>
                <w:sz w:val="24"/>
                <w:szCs w:val="24"/>
              </w:rPr>
            </w:pPr>
            <w:r w:rsidRPr="002E6862">
              <w:rPr>
                <w:rFonts w:ascii="Arial" w:hAnsi="Arial" w:cs="Arial"/>
                <w:sz w:val="24"/>
                <w:szCs w:val="24"/>
              </w:rPr>
              <w:t xml:space="preserve">In relation to retirement benefits, statutory provisions require the General Fund balance to be charged with the amount payable by the Authority to the pension schemes in the year, not the amount calculated according to the relevant accounting standard. In the Movement in Reserves Statement, this means there are appropriations to and from the Pensions Reserve to remove the notional debits and credits for retirement benefits and replace them with debits for the cash paid to the pension schemes and any amounts payable to schemes but unpaid at the year end. </w:t>
            </w:r>
          </w:p>
          <w:p w14:paraId="37604860" w14:textId="77777777" w:rsidR="002E6862" w:rsidRPr="002E6862" w:rsidRDefault="002E6862" w:rsidP="002E6862">
            <w:pPr>
              <w:rPr>
                <w:rFonts w:ascii="Arial" w:hAnsi="Arial" w:cs="Arial"/>
                <w:sz w:val="24"/>
                <w:szCs w:val="24"/>
              </w:rPr>
            </w:pPr>
            <w:r w:rsidRPr="002E6862">
              <w:rPr>
                <w:rFonts w:ascii="Arial" w:hAnsi="Arial" w:cs="Arial"/>
                <w:sz w:val="24"/>
                <w:szCs w:val="24"/>
              </w:rPr>
              <w:t>The negative balances that arise on the Pension Reserves thereby measure the beneficial impact to the General Fund of being required to account for retirement benefits on the basis of cash flows rather than as benefits earned by employees.</w:t>
            </w:r>
          </w:p>
          <w:p w14:paraId="03C56132" w14:textId="77777777" w:rsidR="002E6862" w:rsidRPr="002E6862" w:rsidRDefault="002E6862" w:rsidP="002E6862">
            <w:pPr>
              <w:rPr>
                <w:rFonts w:ascii="Arial" w:hAnsi="Arial" w:cs="Arial"/>
                <w:sz w:val="24"/>
                <w:szCs w:val="24"/>
              </w:rPr>
            </w:pPr>
          </w:p>
        </w:tc>
      </w:tr>
      <w:tr w:rsidR="002E6862" w:rsidRPr="002E6862" w14:paraId="6CEB79ED" w14:textId="77777777" w:rsidTr="00F67A92">
        <w:tc>
          <w:tcPr>
            <w:tcW w:w="493" w:type="dxa"/>
          </w:tcPr>
          <w:p w14:paraId="7FC74AB1" w14:textId="77777777" w:rsidR="002E6862" w:rsidRPr="002E6862" w:rsidRDefault="002E6862" w:rsidP="002E6862">
            <w:pPr>
              <w:rPr>
                <w:rFonts w:ascii="Arial" w:hAnsi="Arial" w:cs="Arial"/>
                <w:b/>
                <w:sz w:val="24"/>
                <w:szCs w:val="24"/>
              </w:rPr>
            </w:pPr>
            <w:r w:rsidRPr="002E6862">
              <w:rPr>
                <w:rFonts w:ascii="Arial" w:hAnsi="Arial" w:cs="Arial"/>
                <w:b/>
                <w:sz w:val="24"/>
                <w:szCs w:val="24"/>
              </w:rPr>
              <w:lastRenderedPageBreak/>
              <w:t>8</w:t>
            </w:r>
          </w:p>
        </w:tc>
        <w:tc>
          <w:tcPr>
            <w:tcW w:w="8497" w:type="dxa"/>
          </w:tcPr>
          <w:p w14:paraId="1B8971A6" w14:textId="77777777" w:rsidR="002E6862" w:rsidRPr="002E6862" w:rsidRDefault="002E6862" w:rsidP="002E6862">
            <w:pPr>
              <w:rPr>
                <w:rFonts w:ascii="Arial" w:hAnsi="Arial" w:cs="Arial"/>
                <w:b/>
                <w:sz w:val="24"/>
                <w:szCs w:val="24"/>
              </w:rPr>
            </w:pPr>
            <w:r w:rsidRPr="002E6862">
              <w:rPr>
                <w:rFonts w:ascii="Arial" w:hAnsi="Arial" w:cs="Arial"/>
                <w:b/>
                <w:sz w:val="24"/>
                <w:szCs w:val="24"/>
              </w:rPr>
              <w:t>Property Plant and Equipment</w:t>
            </w:r>
          </w:p>
          <w:p w14:paraId="02D99ED6" w14:textId="77777777" w:rsidR="002E6862" w:rsidRPr="002E6862" w:rsidRDefault="002E6862" w:rsidP="002E6862">
            <w:pPr>
              <w:rPr>
                <w:rFonts w:ascii="Arial" w:hAnsi="Arial" w:cs="Arial"/>
                <w:sz w:val="24"/>
                <w:szCs w:val="24"/>
              </w:rPr>
            </w:pPr>
            <w:r w:rsidRPr="002E6862">
              <w:rPr>
                <w:rFonts w:ascii="Arial" w:hAnsi="Arial" w:cs="Arial"/>
                <w:sz w:val="24"/>
                <w:szCs w:val="24"/>
              </w:rPr>
              <w:t>Assets that have physical substance are held for use in the production or supply of goods or services, for rental to others, or administration purposes and that are expected to be used during more than one financial year are classified as Property Plant and Equipment.</w:t>
            </w:r>
          </w:p>
          <w:p w14:paraId="71AF2DB0" w14:textId="77777777" w:rsidR="002E6862" w:rsidRPr="002E6862" w:rsidRDefault="002E6862" w:rsidP="002E6862">
            <w:pPr>
              <w:rPr>
                <w:rFonts w:ascii="Arial" w:hAnsi="Arial" w:cs="Arial"/>
                <w:sz w:val="24"/>
                <w:szCs w:val="24"/>
              </w:rPr>
            </w:pPr>
          </w:p>
          <w:p w14:paraId="6878B0BF" w14:textId="77777777" w:rsidR="002E6862" w:rsidRPr="002E6862" w:rsidRDefault="002E6862" w:rsidP="002E6862">
            <w:pPr>
              <w:rPr>
                <w:rFonts w:ascii="Arial" w:hAnsi="Arial" w:cs="Arial"/>
                <w:b/>
                <w:sz w:val="24"/>
                <w:szCs w:val="24"/>
              </w:rPr>
            </w:pPr>
            <w:r w:rsidRPr="002E6862">
              <w:rPr>
                <w:rFonts w:ascii="Arial" w:hAnsi="Arial" w:cs="Arial"/>
                <w:b/>
                <w:sz w:val="24"/>
                <w:szCs w:val="24"/>
              </w:rPr>
              <w:t>Recognition</w:t>
            </w:r>
          </w:p>
          <w:p w14:paraId="7921913C" w14:textId="77777777" w:rsidR="002E6862" w:rsidRPr="002E6862" w:rsidRDefault="002E6862" w:rsidP="002E6862">
            <w:pPr>
              <w:rPr>
                <w:rFonts w:ascii="Arial" w:hAnsi="Arial" w:cs="Arial"/>
                <w:sz w:val="24"/>
                <w:szCs w:val="24"/>
              </w:rPr>
            </w:pPr>
            <w:r w:rsidRPr="002E6862">
              <w:rPr>
                <w:rFonts w:ascii="Arial" w:hAnsi="Arial" w:cs="Arial"/>
                <w:sz w:val="24"/>
                <w:szCs w:val="24"/>
              </w:rPr>
              <w:t>Expenditure on the acquisition, creation or enhancement of Property Plant and Equipment is capitalised on an accruals basis, provided it is probable that the future economic benefits or service potential associated with the item will flow to the Fire Authority and the cost of the item can be measured reliably. Expenditure that maintains but does not add to an asset’s potential to deliver future economic benefits or service potential (ie repairs and maintenance) is charged as an expense when it is incurred.</w:t>
            </w:r>
          </w:p>
          <w:p w14:paraId="17CDA2AF" w14:textId="77777777" w:rsidR="002E6862" w:rsidRPr="002E6862" w:rsidRDefault="002E6862" w:rsidP="002E6862">
            <w:pPr>
              <w:rPr>
                <w:rFonts w:ascii="Arial" w:hAnsi="Arial" w:cs="Arial"/>
                <w:sz w:val="24"/>
                <w:szCs w:val="24"/>
              </w:rPr>
            </w:pPr>
            <w:r w:rsidRPr="002E6862">
              <w:rPr>
                <w:rFonts w:ascii="Arial" w:hAnsi="Arial" w:cs="Arial"/>
                <w:sz w:val="24"/>
                <w:szCs w:val="24"/>
              </w:rPr>
              <w:t>The de minimis level for Property Plant and Equipment is £10,000.</w:t>
            </w:r>
          </w:p>
          <w:p w14:paraId="46E6DF07" w14:textId="77777777" w:rsidR="002E6862" w:rsidRPr="002E6862" w:rsidRDefault="002E6862" w:rsidP="002E6862">
            <w:pPr>
              <w:rPr>
                <w:rFonts w:ascii="Arial" w:hAnsi="Arial" w:cs="Arial"/>
                <w:sz w:val="24"/>
                <w:szCs w:val="24"/>
              </w:rPr>
            </w:pPr>
          </w:p>
          <w:p w14:paraId="2206E603" w14:textId="77777777" w:rsidR="002E6862" w:rsidRPr="002E6862" w:rsidRDefault="002E6862" w:rsidP="002E6862">
            <w:pPr>
              <w:rPr>
                <w:rFonts w:ascii="Arial" w:hAnsi="Arial" w:cs="Arial"/>
                <w:b/>
                <w:sz w:val="24"/>
                <w:szCs w:val="24"/>
              </w:rPr>
            </w:pPr>
            <w:r w:rsidRPr="002E6862">
              <w:rPr>
                <w:rFonts w:ascii="Arial" w:hAnsi="Arial" w:cs="Arial"/>
                <w:b/>
                <w:sz w:val="24"/>
                <w:szCs w:val="24"/>
              </w:rPr>
              <w:t>Measurement</w:t>
            </w:r>
          </w:p>
          <w:p w14:paraId="7DB2CC17" w14:textId="77777777" w:rsidR="002E6862" w:rsidRPr="002E6862" w:rsidRDefault="002E6862" w:rsidP="002E6862">
            <w:pPr>
              <w:rPr>
                <w:rFonts w:ascii="Arial" w:hAnsi="Arial" w:cs="Arial"/>
                <w:sz w:val="24"/>
                <w:szCs w:val="24"/>
              </w:rPr>
            </w:pPr>
            <w:r w:rsidRPr="002E6862">
              <w:rPr>
                <w:rFonts w:ascii="Arial" w:hAnsi="Arial" w:cs="Arial"/>
                <w:sz w:val="24"/>
                <w:szCs w:val="24"/>
              </w:rPr>
              <w:t>Property Plant and Equipment is valued on the bases recommended by CIPFA and in accordance with the Statements of Asset Valuation Principles and Guidance Notes issued by the Royal Institution of Chartered Surveyors (RICS).</w:t>
            </w:r>
          </w:p>
          <w:p w14:paraId="4F4C87BD" w14:textId="77777777" w:rsidR="002E6862" w:rsidRPr="002E6862" w:rsidRDefault="002E6862" w:rsidP="002E6862">
            <w:pPr>
              <w:rPr>
                <w:rFonts w:ascii="Arial" w:hAnsi="Arial" w:cs="Arial"/>
                <w:sz w:val="24"/>
                <w:szCs w:val="24"/>
              </w:rPr>
            </w:pPr>
            <w:r w:rsidRPr="002E6862">
              <w:rPr>
                <w:rFonts w:ascii="Arial" w:hAnsi="Arial" w:cs="Arial"/>
                <w:sz w:val="24"/>
                <w:szCs w:val="24"/>
              </w:rPr>
              <w:t>Operational properties and other operational assets are carried in the Balance Sheet using the following measurement bases:</w:t>
            </w:r>
          </w:p>
          <w:p w14:paraId="46004164" w14:textId="77777777" w:rsidR="002E6862" w:rsidRPr="002E6862" w:rsidRDefault="002E6862" w:rsidP="002E6862">
            <w:pPr>
              <w:numPr>
                <w:ilvl w:val="0"/>
                <w:numId w:val="66"/>
              </w:numPr>
              <w:spacing w:after="160" w:line="259" w:lineRule="auto"/>
              <w:contextualSpacing/>
              <w:rPr>
                <w:rFonts w:ascii="Arial" w:hAnsi="Arial" w:cs="Arial"/>
                <w:sz w:val="24"/>
                <w:szCs w:val="24"/>
              </w:rPr>
            </w:pPr>
            <w:r w:rsidRPr="002E6862">
              <w:rPr>
                <w:rFonts w:ascii="Arial" w:hAnsi="Arial" w:cs="Arial"/>
                <w:sz w:val="24"/>
                <w:szCs w:val="24"/>
              </w:rPr>
              <w:t>Depreciated Replacement Cost (DRC) for specialised properties</w:t>
            </w:r>
          </w:p>
          <w:p w14:paraId="12D96A1B" w14:textId="77777777" w:rsidR="002E6862" w:rsidRPr="002E6862" w:rsidRDefault="002E6862" w:rsidP="002E6862">
            <w:pPr>
              <w:numPr>
                <w:ilvl w:val="0"/>
                <w:numId w:val="66"/>
              </w:numPr>
              <w:spacing w:after="160" w:line="259" w:lineRule="auto"/>
              <w:contextualSpacing/>
              <w:rPr>
                <w:rFonts w:ascii="Arial" w:hAnsi="Arial" w:cs="Arial"/>
                <w:sz w:val="24"/>
                <w:szCs w:val="24"/>
              </w:rPr>
            </w:pPr>
            <w:r w:rsidRPr="002E6862">
              <w:rPr>
                <w:rFonts w:ascii="Arial" w:hAnsi="Arial" w:cs="Arial"/>
                <w:sz w:val="24"/>
                <w:szCs w:val="24"/>
              </w:rPr>
              <w:t>Open Market Value (OMV) for non specialised properties.</w:t>
            </w:r>
          </w:p>
          <w:p w14:paraId="39C839F1" w14:textId="77777777" w:rsidR="002E6862" w:rsidRPr="002E6862" w:rsidRDefault="002E6862" w:rsidP="002E6862">
            <w:pPr>
              <w:ind w:left="113"/>
              <w:rPr>
                <w:rFonts w:ascii="Arial" w:hAnsi="Arial" w:cs="Arial"/>
                <w:sz w:val="24"/>
                <w:szCs w:val="24"/>
              </w:rPr>
            </w:pPr>
            <w:r w:rsidRPr="002E6862">
              <w:rPr>
                <w:rFonts w:ascii="Arial" w:hAnsi="Arial" w:cs="Arial"/>
                <w:sz w:val="24"/>
                <w:szCs w:val="24"/>
              </w:rPr>
              <w:lastRenderedPageBreak/>
              <w:t>There are no holdings of non operational assets or community assets, with all fire stations and Service Headquarters and workshops being classified as operational assets.</w:t>
            </w:r>
          </w:p>
          <w:p w14:paraId="5163ABDD" w14:textId="77777777" w:rsidR="002E6862" w:rsidRPr="002E6862" w:rsidRDefault="002E6862" w:rsidP="002E6862">
            <w:pPr>
              <w:ind w:left="113"/>
              <w:rPr>
                <w:rFonts w:ascii="Arial" w:hAnsi="Arial" w:cs="Arial"/>
                <w:sz w:val="24"/>
                <w:szCs w:val="24"/>
              </w:rPr>
            </w:pPr>
          </w:p>
          <w:p w14:paraId="77C52AE7" w14:textId="77777777" w:rsidR="002E6862" w:rsidRPr="002E6862" w:rsidRDefault="002E6862" w:rsidP="002E6862">
            <w:pPr>
              <w:rPr>
                <w:rFonts w:ascii="Arial" w:hAnsi="Arial" w:cs="Arial"/>
                <w:b/>
                <w:sz w:val="24"/>
                <w:szCs w:val="24"/>
              </w:rPr>
            </w:pPr>
            <w:r w:rsidRPr="002E6862">
              <w:rPr>
                <w:rFonts w:ascii="Arial" w:hAnsi="Arial" w:cs="Arial"/>
                <w:b/>
                <w:sz w:val="24"/>
                <w:szCs w:val="24"/>
              </w:rPr>
              <w:t>Valuation</w:t>
            </w:r>
          </w:p>
          <w:p w14:paraId="620BD627" w14:textId="77777777" w:rsidR="002E6862" w:rsidRPr="002E6862" w:rsidRDefault="002E6862" w:rsidP="002E6862">
            <w:pPr>
              <w:rPr>
                <w:rFonts w:ascii="Arial" w:hAnsi="Arial" w:cs="Arial"/>
                <w:sz w:val="24"/>
                <w:szCs w:val="24"/>
              </w:rPr>
            </w:pPr>
            <w:r w:rsidRPr="002E6862">
              <w:rPr>
                <w:rFonts w:ascii="Arial" w:hAnsi="Arial" w:cs="Arial"/>
                <w:sz w:val="24"/>
                <w:szCs w:val="24"/>
              </w:rPr>
              <w:t>Assets included in the Balance Sheet at current value are revalued sufficiently regularly to ensure that their carrying amount is not materially different from their current value at the year end. All land and buildings are currently valued every year. Items within a class of Property Plant and Equipment are revalued simultaneously to avoid selective revaluation of assets and the reporting of amounts in the financial statements that are a mixture of costs and values as at different dates.</w:t>
            </w:r>
          </w:p>
          <w:p w14:paraId="7B238848" w14:textId="77777777" w:rsidR="002E6862" w:rsidRPr="002E6862" w:rsidRDefault="002E6862" w:rsidP="002E6862">
            <w:pPr>
              <w:rPr>
                <w:rFonts w:ascii="Arial" w:hAnsi="Arial" w:cs="Arial"/>
                <w:sz w:val="24"/>
                <w:szCs w:val="24"/>
              </w:rPr>
            </w:pPr>
          </w:p>
          <w:p w14:paraId="1D302480" w14:textId="77777777" w:rsidR="002E6862" w:rsidRPr="002E6862" w:rsidRDefault="002E6862" w:rsidP="002E6862">
            <w:pPr>
              <w:rPr>
                <w:rFonts w:ascii="Arial" w:hAnsi="Arial" w:cs="Arial"/>
                <w:sz w:val="24"/>
                <w:szCs w:val="24"/>
              </w:rPr>
            </w:pPr>
            <w:r w:rsidRPr="002E6862">
              <w:rPr>
                <w:rFonts w:ascii="Arial" w:hAnsi="Arial" w:cs="Arial"/>
                <w:sz w:val="24"/>
                <w:szCs w:val="24"/>
              </w:rPr>
              <w:t xml:space="preserve">Where buildings are being revalued following a renovation to modern standards, it may be appropriate to increase the useful economic life to longer than 30 years. </w:t>
            </w:r>
          </w:p>
          <w:p w14:paraId="5AF4FD2B" w14:textId="77777777" w:rsidR="002E6862" w:rsidRPr="002E6862" w:rsidRDefault="002E6862" w:rsidP="002E6862">
            <w:pPr>
              <w:rPr>
                <w:rFonts w:ascii="Arial" w:hAnsi="Arial" w:cs="Arial"/>
                <w:sz w:val="24"/>
                <w:szCs w:val="24"/>
              </w:rPr>
            </w:pPr>
          </w:p>
          <w:p w14:paraId="03A13D15" w14:textId="77777777" w:rsidR="002E6862" w:rsidRPr="002E6862" w:rsidRDefault="002E6862" w:rsidP="002E6862">
            <w:pPr>
              <w:rPr>
                <w:rFonts w:ascii="Arial" w:hAnsi="Arial" w:cs="Arial"/>
                <w:sz w:val="24"/>
                <w:szCs w:val="24"/>
              </w:rPr>
            </w:pPr>
            <w:r w:rsidRPr="002E6862">
              <w:rPr>
                <w:rFonts w:ascii="Arial" w:hAnsi="Arial" w:cs="Arial"/>
                <w:sz w:val="24"/>
                <w:szCs w:val="24"/>
              </w:rPr>
              <w:t>The current value of land and buildings is determined by appraisal of appropriate evidence, that is normally undertaken by professionally qualified valuers, who:</w:t>
            </w:r>
          </w:p>
          <w:p w14:paraId="5BB0F5AA" w14:textId="77777777" w:rsidR="002E6862" w:rsidRPr="002E6862" w:rsidRDefault="002E6862" w:rsidP="002E6862">
            <w:pPr>
              <w:rPr>
                <w:rFonts w:ascii="Arial" w:hAnsi="Arial" w:cs="Arial"/>
                <w:sz w:val="24"/>
                <w:szCs w:val="24"/>
              </w:rPr>
            </w:pPr>
          </w:p>
          <w:p w14:paraId="2ECD6CF3" w14:textId="77777777" w:rsidR="002E6862" w:rsidRPr="002E6862" w:rsidRDefault="002E6862" w:rsidP="002E6862">
            <w:pPr>
              <w:numPr>
                <w:ilvl w:val="0"/>
                <w:numId w:val="25"/>
              </w:numPr>
              <w:spacing w:after="160" w:line="259" w:lineRule="auto"/>
              <w:rPr>
                <w:rFonts w:ascii="Arial" w:hAnsi="Arial" w:cs="Arial"/>
                <w:sz w:val="24"/>
                <w:szCs w:val="24"/>
              </w:rPr>
            </w:pPr>
            <w:r w:rsidRPr="002E6862">
              <w:rPr>
                <w:rFonts w:ascii="Arial" w:hAnsi="Arial" w:cs="Arial"/>
                <w:sz w:val="24"/>
                <w:szCs w:val="24"/>
              </w:rPr>
              <w:t>Hold a recognised and relevant professional qualification</w:t>
            </w:r>
          </w:p>
          <w:p w14:paraId="19D9793A" w14:textId="77777777" w:rsidR="002E6862" w:rsidRPr="002E6862" w:rsidRDefault="002E6862" w:rsidP="002E6862">
            <w:pPr>
              <w:numPr>
                <w:ilvl w:val="0"/>
                <w:numId w:val="25"/>
              </w:numPr>
              <w:spacing w:after="160" w:line="259" w:lineRule="auto"/>
              <w:rPr>
                <w:rFonts w:ascii="Arial" w:hAnsi="Arial" w:cs="Arial"/>
                <w:sz w:val="24"/>
                <w:szCs w:val="24"/>
              </w:rPr>
            </w:pPr>
            <w:r w:rsidRPr="002E6862">
              <w:rPr>
                <w:rFonts w:ascii="Arial" w:hAnsi="Arial" w:cs="Arial"/>
                <w:sz w:val="24"/>
                <w:szCs w:val="24"/>
              </w:rPr>
              <w:t>Have sufficient current local and national knowledge of the market, and</w:t>
            </w:r>
          </w:p>
          <w:p w14:paraId="470C5C78" w14:textId="77777777" w:rsidR="002E6862" w:rsidRPr="002E6862" w:rsidRDefault="002E6862" w:rsidP="002E6862">
            <w:pPr>
              <w:numPr>
                <w:ilvl w:val="0"/>
                <w:numId w:val="25"/>
              </w:numPr>
              <w:spacing w:after="160" w:line="259" w:lineRule="auto"/>
              <w:rPr>
                <w:rFonts w:ascii="Arial" w:hAnsi="Arial" w:cs="Arial"/>
                <w:sz w:val="24"/>
                <w:szCs w:val="24"/>
              </w:rPr>
            </w:pPr>
            <w:r w:rsidRPr="002E6862">
              <w:rPr>
                <w:rFonts w:ascii="Arial" w:hAnsi="Arial" w:cs="Arial"/>
                <w:sz w:val="24"/>
                <w:szCs w:val="24"/>
              </w:rPr>
              <w:t>Have the skills and understanding to undertake the valuations competently.</w:t>
            </w:r>
          </w:p>
          <w:p w14:paraId="40443C7D" w14:textId="77777777" w:rsidR="002E6862" w:rsidRPr="002E6862" w:rsidRDefault="002E6862" w:rsidP="002E6862">
            <w:pPr>
              <w:rPr>
                <w:rFonts w:ascii="Arial" w:hAnsi="Arial" w:cs="Arial"/>
                <w:sz w:val="24"/>
                <w:szCs w:val="24"/>
              </w:rPr>
            </w:pPr>
            <w:r w:rsidRPr="002E6862">
              <w:rPr>
                <w:rFonts w:ascii="Arial" w:hAnsi="Arial" w:cs="Arial"/>
                <w:sz w:val="24"/>
                <w:szCs w:val="24"/>
              </w:rPr>
              <w:t>Increases in valuations are matched by credits to the Revaluation Reserve to recognise unrealised gains.</w:t>
            </w:r>
          </w:p>
          <w:p w14:paraId="14D15989" w14:textId="77777777" w:rsidR="002E6862" w:rsidRPr="002E6862" w:rsidRDefault="002E6862" w:rsidP="002E6862">
            <w:pPr>
              <w:rPr>
                <w:rFonts w:ascii="Arial" w:hAnsi="Arial" w:cs="Arial"/>
                <w:sz w:val="24"/>
                <w:szCs w:val="24"/>
              </w:rPr>
            </w:pPr>
            <w:r w:rsidRPr="002E6862">
              <w:rPr>
                <w:rFonts w:ascii="Arial" w:hAnsi="Arial" w:cs="Arial"/>
                <w:sz w:val="24"/>
                <w:szCs w:val="24"/>
              </w:rPr>
              <w:t>Where decreases in value are identified, they are accounted for as follows:</w:t>
            </w:r>
          </w:p>
          <w:p w14:paraId="3E64933E" w14:textId="77777777" w:rsidR="002E6862" w:rsidRPr="002E6862" w:rsidRDefault="002E6862" w:rsidP="002E6862">
            <w:pPr>
              <w:numPr>
                <w:ilvl w:val="0"/>
                <w:numId w:val="8"/>
              </w:numPr>
              <w:tabs>
                <w:tab w:val="num" w:pos="417"/>
              </w:tabs>
              <w:spacing w:after="160" w:line="259" w:lineRule="auto"/>
              <w:rPr>
                <w:rFonts w:ascii="Arial" w:hAnsi="Arial" w:cs="Arial"/>
                <w:sz w:val="24"/>
                <w:szCs w:val="24"/>
              </w:rPr>
            </w:pPr>
            <w:r w:rsidRPr="002E6862">
              <w:rPr>
                <w:rFonts w:ascii="Arial" w:hAnsi="Arial" w:cs="Arial"/>
                <w:sz w:val="24"/>
                <w:szCs w:val="24"/>
              </w:rPr>
              <w:t>Where there is a balance of revaluation gains for the asset in the Revaluation Reserve, the carrying amount of the asset is written down against that balance (up to the amount of the revaluation gains)</w:t>
            </w:r>
          </w:p>
          <w:p w14:paraId="33718D63" w14:textId="77777777" w:rsidR="002E6862" w:rsidRPr="002E6862" w:rsidRDefault="002E6862" w:rsidP="002E6862">
            <w:pPr>
              <w:numPr>
                <w:ilvl w:val="0"/>
                <w:numId w:val="8"/>
              </w:numPr>
              <w:tabs>
                <w:tab w:val="num" w:pos="417"/>
              </w:tabs>
              <w:spacing w:after="160" w:line="259" w:lineRule="auto"/>
              <w:rPr>
                <w:rFonts w:ascii="Arial" w:hAnsi="Arial" w:cs="Arial"/>
                <w:sz w:val="24"/>
                <w:szCs w:val="24"/>
              </w:rPr>
            </w:pPr>
            <w:r w:rsidRPr="002E6862">
              <w:rPr>
                <w:rFonts w:ascii="Arial" w:hAnsi="Arial" w:cs="Arial"/>
                <w:sz w:val="24"/>
                <w:szCs w:val="24"/>
              </w:rPr>
              <w:t>Where there is no balance in the Revaluation Reserve or an insufficient balance, the carrying amount of the asset is written down against the relevant service lines in the Comprehensive Income and Expenditure Statement.</w:t>
            </w:r>
          </w:p>
          <w:p w14:paraId="2649DCF8" w14:textId="77777777" w:rsidR="002E6862" w:rsidRPr="002E6862" w:rsidRDefault="002E6862" w:rsidP="002E6862">
            <w:pPr>
              <w:rPr>
                <w:rFonts w:ascii="Arial" w:hAnsi="Arial" w:cs="Arial"/>
                <w:sz w:val="24"/>
                <w:szCs w:val="24"/>
              </w:rPr>
            </w:pPr>
          </w:p>
          <w:p w14:paraId="7AAECCF0" w14:textId="77777777" w:rsidR="002E6862" w:rsidRPr="002E6862" w:rsidRDefault="002E6862" w:rsidP="002E6862">
            <w:pPr>
              <w:rPr>
                <w:rFonts w:ascii="Arial" w:hAnsi="Arial" w:cs="Arial"/>
                <w:sz w:val="24"/>
                <w:szCs w:val="24"/>
              </w:rPr>
            </w:pPr>
            <w:r w:rsidRPr="002E6862">
              <w:rPr>
                <w:rFonts w:ascii="Arial" w:hAnsi="Arial" w:cs="Arial"/>
                <w:sz w:val="24"/>
                <w:szCs w:val="24"/>
              </w:rPr>
              <w:t>The Revaluation Reserve contains revaluation gains recognised since 1 April 2007 only, the date of its formal implementation. Gains arising before that date have been consolidated into the Capital Adjustment Account.</w:t>
            </w:r>
          </w:p>
          <w:p w14:paraId="1EF911E5" w14:textId="77777777" w:rsidR="002E6862" w:rsidRPr="002E6862" w:rsidRDefault="002E6862" w:rsidP="002E6862">
            <w:pPr>
              <w:rPr>
                <w:rFonts w:ascii="Arial" w:hAnsi="Arial" w:cs="Arial"/>
                <w:sz w:val="24"/>
                <w:szCs w:val="24"/>
              </w:rPr>
            </w:pPr>
          </w:p>
          <w:p w14:paraId="543037A9" w14:textId="77777777" w:rsidR="002E6862" w:rsidRPr="002E6862" w:rsidRDefault="002E6862" w:rsidP="002E6862">
            <w:pPr>
              <w:rPr>
                <w:rFonts w:ascii="Arial" w:hAnsi="Arial" w:cs="Arial"/>
                <w:sz w:val="24"/>
                <w:szCs w:val="24"/>
              </w:rPr>
            </w:pPr>
            <w:r w:rsidRPr="002E6862">
              <w:rPr>
                <w:rFonts w:ascii="Arial" w:hAnsi="Arial" w:cs="Arial"/>
                <w:sz w:val="24"/>
                <w:szCs w:val="24"/>
              </w:rPr>
              <w:t>The Authority does not capitalise borrowing costs incurred whilst assets are under construction.</w:t>
            </w:r>
          </w:p>
          <w:p w14:paraId="58D43472" w14:textId="77777777" w:rsidR="002E6862" w:rsidRPr="002E6862" w:rsidRDefault="002E6862" w:rsidP="002E6862">
            <w:pPr>
              <w:rPr>
                <w:rFonts w:ascii="Arial" w:hAnsi="Arial" w:cs="Arial"/>
                <w:sz w:val="24"/>
                <w:szCs w:val="24"/>
              </w:rPr>
            </w:pPr>
          </w:p>
          <w:p w14:paraId="5FECE263" w14:textId="77777777" w:rsidR="002E6862" w:rsidRPr="002E6862" w:rsidRDefault="002E6862" w:rsidP="002E6862">
            <w:pPr>
              <w:rPr>
                <w:rFonts w:ascii="Arial" w:hAnsi="Arial" w:cs="Arial"/>
                <w:b/>
                <w:sz w:val="24"/>
                <w:szCs w:val="24"/>
              </w:rPr>
            </w:pPr>
            <w:r w:rsidRPr="002E6862">
              <w:rPr>
                <w:rFonts w:ascii="Arial" w:hAnsi="Arial" w:cs="Arial"/>
                <w:b/>
                <w:sz w:val="24"/>
                <w:szCs w:val="24"/>
              </w:rPr>
              <w:t>Impairment</w:t>
            </w:r>
          </w:p>
          <w:p w14:paraId="1DB5DC2A" w14:textId="77777777" w:rsidR="002E6862" w:rsidRPr="002E6862" w:rsidRDefault="002E6862" w:rsidP="002E6862">
            <w:pPr>
              <w:rPr>
                <w:rFonts w:ascii="Arial" w:hAnsi="Arial" w:cs="Arial"/>
                <w:sz w:val="24"/>
                <w:szCs w:val="24"/>
              </w:rPr>
            </w:pPr>
            <w:r w:rsidRPr="002E6862">
              <w:rPr>
                <w:rFonts w:ascii="Arial" w:hAnsi="Arial" w:cs="Arial"/>
                <w:sz w:val="24"/>
                <w:szCs w:val="24"/>
              </w:rPr>
              <w:lastRenderedPageBreak/>
              <w:t>Assets are assessed at each year end as to whether there is any indication that an asset may be impaired. Where indications exist and any possible differences are estimated to be material, the recoverable amount of the asset is estimated and, where this is less than the carrying amount of the asset, an impairment loss is recognised for the shortfall.</w:t>
            </w:r>
          </w:p>
          <w:p w14:paraId="64CBF5D2" w14:textId="77777777" w:rsidR="002E6862" w:rsidRPr="002E6862" w:rsidRDefault="002E6862" w:rsidP="002E6862">
            <w:pPr>
              <w:rPr>
                <w:rFonts w:ascii="Arial" w:hAnsi="Arial" w:cs="Arial"/>
                <w:sz w:val="24"/>
                <w:szCs w:val="24"/>
              </w:rPr>
            </w:pPr>
            <w:r w:rsidRPr="002E6862">
              <w:rPr>
                <w:rFonts w:ascii="Arial" w:hAnsi="Arial" w:cs="Arial"/>
                <w:sz w:val="24"/>
                <w:szCs w:val="24"/>
              </w:rPr>
              <w:t>Where impairment losses are identified, they are accounted for as follows:</w:t>
            </w:r>
          </w:p>
          <w:p w14:paraId="7FA26CD3" w14:textId="77777777" w:rsidR="002E6862" w:rsidRPr="002E6862" w:rsidRDefault="002E6862" w:rsidP="002E6862">
            <w:pPr>
              <w:numPr>
                <w:ilvl w:val="0"/>
                <w:numId w:val="9"/>
              </w:numPr>
              <w:tabs>
                <w:tab w:val="num" w:pos="417"/>
              </w:tabs>
              <w:spacing w:after="160" w:line="259" w:lineRule="auto"/>
              <w:rPr>
                <w:rFonts w:ascii="Arial" w:hAnsi="Arial" w:cs="Arial"/>
                <w:sz w:val="24"/>
                <w:szCs w:val="24"/>
              </w:rPr>
            </w:pPr>
            <w:r w:rsidRPr="002E6862">
              <w:rPr>
                <w:rFonts w:ascii="Arial" w:hAnsi="Arial" w:cs="Arial"/>
                <w:sz w:val="24"/>
                <w:szCs w:val="24"/>
              </w:rPr>
              <w:t xml:space="preserve">Where there is a balance of revaluation gains for the asset in the </w:t>
            </w:r>
            <w:r w:rsidRPr="002E6862">
              <w:rPr>
                <w:rFonts w:ascii="Arial" w:hAnsi="Arial" w:cs="Arial"/>
                <w:sz w:val="24"/>
                <w:szCs w:val="24"/>
              </w:rPr>
              <w:tab/>
              <w:t>Revaluation Reserve, the carrying amount of the asset is written down against that balance (up to the amount of the accumulated gains)</w:t>
            </w:r>
          </w:p>
          <w:p w14:paraId="1535DE4E" w14:textId="77777777" w:rsidR="002E6862" w:rsidRPr="002E6862" w:rsidRDefault="002E6862" w:rsidP="002E6862">
            <w:pPr>
              <w:numPr>
                <w:ilvl w:val="0"/>
                <w:numId w:val="9"/>
              </w:numPr>
              <w:tabs>
                <w:tab w:val="num" w:pos="417"/>
              </w:tabs>
              <w:spacing w:after="160" w:line="259" w:lineRule="auto"/>
              <w:rPr>
                <w:rFonts w:ascii="Arial" w:hAnsi="Arial" w:cs="Arial"/>
                <w:sz w:val="24"/>
                <w:szCs w:val="24"/>
              </w:rPr>
            </w:pPr>
            <w:r w:rsidRPr="002E6862">
              <w:rPr>
                <w:rFonts w:ascii="Arial" w:hAnsi="Arial" w:cs="Arial"/>
                <w:sz w:val="24"/>
                <w:szCs w:val="24"/>
              </w:rPr>
              <w:t>Where there is no balance in the Revaluation Reserve, or an insufficient balance, the carrying amount of the asset is written down against the relevant service lines in the Comprehensive Income and Expenditure Statement.</w:t>
            </w:r>
          </w:p>
          <w:p w14:paraId="4E9E0F5B" w14:textId="77777777" w:rsidR="002E6862" w:rsidRPr="002E6862" w:rsidRDefault="002E6862" w:rsidP="002E6862">
            <w:pPr>
              <w:rPr>
                <w:rFonts w:ascii="Arial" w:hAnsi="Arial" w:cs="Arial"/>
                <w:sz w:val="24"/>
                <w:szCs w:val="24"/>
              </w:rPr>
            </w:pPr>
          </w:p>
          <w:p w14:paraId="20BFF8AB" w14:textId="77777777" w:rsidR="002E6862" w:rsidRPr="002E6862" w:rsidRDefault="002E6862" w:rsidP="002E6862">
            <w:pPr>
              <w:rPr>
                <w:rFonts w:ascii="Arial" w:hAnsi="Arial" w:cs="Arial"/>
                <w:sz w:val="24"/>
                <w:szCs w:val="24"/>
              </w:rPr>
            </w:pPr>
            <w:r w:rsidRPr="002E6862">
              <w:rPr>
                <w:rFonts w:ascii="Arial" w:hAnsi="Arial" w:cs="Arial"/>
                <w:sz w:val="24"/>
                <w:szCs w:val="24"/>
              </w:rPr>
              <w:t>Where an impairment loss is reversed subsequently, the reversal is credited to the relevant service lines in the Comprehensive Income and Expenditure Statement, up to the amount of the original loss, adjusted for depreciation that would have been charged if the loss had not been recognised.</w:t>
            </w:r>
          </w:p>
          <w:p w14:paraId="7FB36D18" w14:textId="77777777" w:rsidR="002E6862" w:rsidRPr="002E6862" w:rsidRDefault="002E6862" w:rsidP="002E6862">
            <w:pPr>
              <w:rPr>
                <w:rFonts w:ascii="Arial" w:hAnsi="Arial" w:cs="Arial"/>
                <w:sz w:val="24"/>
                <w:szCs w:val="24"/>
              </w:rPr>
            </w:pPr>
          </w:p>
          <w:p w14:paraId="216D1BAB" w14:textId="77777777" w:rsidR="002E6862" w:rsidRPr="002E6862" w:rsidRDefault="002E6862" w:rsidP="002E6862">
            <w:pPr>
              <w:rPr>
                <w:rFonts w:ascii="Arial" w:hAnsi="Arial" w:cs="Arial"/>
                <w:b/>
                <w:sz w:val="24"/>
                <w:szCs w:val="24"/>
              </w:rPr>
            </w:pPr>
            <w:r w:rsidRPr="002E6862">
              <w:rPr>
                <w:rFonts w:ascii="Arial" w:hAnsi="Arial" w:cs="Arial"/>
                <w:b/>
                <w:sz w:val="24"/>
                <w:szCs w:val="24"/>
              </w:rPr>
              <w:t>Depreciation</w:t>
            </w:r>
          </w:p>
          <w:p w14:paraId="71CB42F7" w14:textId="77777777" w:rsidR="002E6862" w:rsidRPr="002E6862" w:rsidRDefault="002E6862" w:rsidP="002E6862">
            <w:pPr>
              <w:rPr>
                <w:rFonts w:ascii="Arial" w:hAnsi="Arial" w:cs="Arial"/>
                <w:sz w:val="24"/>
                <w:szCs w:val="24"/>
              </w:rPr>
            </w:pPr>
            <w:r w:rsidRPr="002E6862">
              <w:rPr>
                <w:rFonts w:ascii="Arial" w:hAnsi="Arial" w:cs="Arial"/>
                <w:sz w:val="24"/>
                <w:szCs w:val="24"/>
              </w:rPr>
              <w:t>Depreciation is provided for on all Property Plant and Equipment assets by the systematic allocation of their depreciable amounts over their useful lives.</w:t>
            </w:r>
          </w:p>
          <w:p w14:paraId="1DD4E163" w14:textId="77777777" w:rsidR="002E6862" w:rsidRPr="002E6862" w:rsidRDefault="002E6862" w:rsidP="002E6862">
            <w:pPr>
              <w:rPr>
                <w:rFonts w:ascii="Arial" w:hAnsi="Arial" w:cs="Arial"/>
                <w:sz w:val="24"/>
                <w:szCs w:val="24"/>
              </w:rPr>
            </w:pPr>
            <w:r w:rsidRPr="002E6862">
              <w:rPr>
                <w:rFonts w:ascii="Arial" w:hAnsi="Arial" w:cs="Arial"/>
                <w:sz w:val="24"/>
                <w:szCs w:val="24"/>
              </w:rPr>
              <w:t>An exception is made for assets without a determinable finite useful life (ie freehold land) and assets that are not yet available for use (ie assets under construction).</w:t>
            </w:r>
          </w:p>
          <w:p w14:paraId="0AD75CEC" w14:textId="77777777" w:rsidR="002E6862" w:rsidRPr="002E6862" w:rsidRDefault="002E6862" w:rsidP="002E6862">
            <w:pPr>
              <w:rPr>
                <w:rFonts w:ascii="Arial" w:hAnsi="Arial" w:cs="Arial"/>
                <w:sz w:val="24"/>
                <w:szCs w:val="24"/>
              </w:rPr>
            </w:pPr>
            <w:r w:rsidRPr="002E6862">
              <w:rPr>
                <w:rFonts w:ascii="Arial" w:hAnsi="Arial" w:cs="Arial"/>
                <w:sz w:val="24"/>
                <w:szCs w:val="24"/>
              </w:rPr>
              <w:t>Depreciation is provided on the following bases:</w:t>
            </w:r>
          </w:p>
          <w:p w14:paraId="031487EE" w14:textId="77777777" w:rsidR="002E6862" w:rsidRPr="002E6862" w:rsidRDefault="002E6862" w:rsidP="002E6862">
            <w:pPr>
              <w:numPr>
                <w:ilvl w:val="0"/>
                <w:numId w:val="10"/>
              </w:numPr>
              <w:tabs>
                <w:tab w:val="num" w:pos="417"/>
              </w:tabs>
              <w:spacing w:after="160" w:line="259" w:lineRule="auto"/>
              <w:rPr>
                <w:rFonts w:ascii="Arial" w:hAnsi="Arial" w:cs="Arial"/>
                <w:sz w:val="24"/>
                <w:szCs w:val="24"/>
              </w:rPr>
            </w:pPr>
            <w:r w:rsidRPr="002E6862">
              <w:rPr>
                <w:rFonts w:ascii="Arial" w:hAnsi="Arial" w:cs="Arial"/>
                <w:sz w:val="24"/>
                <w:szCs w:val="24"/>
              </w:rPr>
              <w:t xml:space="preserve">Fire stations and other buildings – straight line allocation over the life of the property as estimated by the valuer. </w:t>
            </w:r>
          </w:p>
          <w:p w14:paraId="45AF5FCC" w14:textId="77777777" w:rsidR="002E6862" w:rsidRPr="002E6862" w:rsidRDefault="002E6862" w:rsidP="002E6862">
            <w:pPr>
              <w:numPr>
                <w:ilvl w:val="0"/>
                <w:numId w:val="10"/>
              </w:numPr>
              <w:tabs>
                <w:tab w:val="num" w:pos="417"/>
              </w:tabs>
              <w:spacing w:after="160" w:line="259" w:lineRule="auto"/>
              <w:rPr>
                <w:rFonts w:ascii="Arial" w:hAnsi="Arial" w:cs="Arial"/>
                <w:sz w:val="24"/>
                <w:szCs w:val="24"/>
              </w:rPr>
            </w:pPr>
            <w:r w:rsidRPr="002E6862">
              <w:rPr>
                <w:rFonts w:ascii="Arial" w:hAnsi="Arial" w:cs="Arial"/>
                <w:sz w:val="24"/>
                <w:szCs w:val="24"/>
              </w:rPr>
              <w:t xml:space="preserve">Vehicles, plant and equipment – straight line allocation over the life of </w:t>
            </w:r>
            <w:r w:rsidRPr="002E6862">
              <w:rPr>
                <w:rFonts w:ascii="Arial" w:hAnsi="Arial" w:cs="Arial"/>
                <w:sz w:val="24"/>
                <w:szCs w:val="24"/>
              </w:rPr>
              <w:tab/>
              <w:t>the asset, as advised by a suitably qualified officer.</w:t>
            </w:r>
          </w:p>
          <w:p w14:paraId="73FAE0A3" w14:textId="77777777" w:rsidR="002E6862" w:rsidRPr="002E6862" w:rsidRDefault="002E6862" w:rsidP="002E6862">
            <w:pPr>
              <w:rPr>
                <w:rFonts w:ascii="Arial" w:hAnsi="Arial" w:cs="Arial"/>
                <w:sz w:val="24"/>
                <w:szCs w:val="24"/>
              </w:rPr>
            </w:pPr>
          </w:p>
          <w:p w14:paraId="7A88C1A6" w14:textId="77777777" w:rsidR="002E6862" w:rsidRPr="002E6862" w:rsidRDefault="002E6862" w:rsidP="002E6862">
            <w:pPr>
              <w:rPr>
                <w:rFonts w:ascii="Arial" w:hAnsi="Arial" w:cs="Arial"/>
                <w:sz w:val="24"/>
                <w:szCs w:val="24"/>
              </w:rPr>
            </w:pPr>
            <w:r w:rsidRPr="002E6862">
              <w:rPr>
                <w:rFonts w:ascii="Arial" w:hAnsi="Arial" w:cs="Arial"/>
                <w:sz w:val="24"/>
                <w:szCs w:val="24"/>
              </w:rPr>
              <w:t>Where an item of Property Plant and Equipment has major components whose value makes up more than 25% of the total asset value, the components are depreciated separately.</w:t>
            </w:r>
          </w:p>
          <w:p w14:paraId="6B7A07FF" w14:textId="77777777" w:rsidR="002E6862" w:rsidRPr="002E6862" w:rsidRDefault="002E6862" w:rsidP="002E6862">
            <w:pPr>
              <w:rPr>
                <w:rFonts w:ascii="Arial" w:hAnsi="Arial" w:cs="Arial"/>
                <w:sz w:val="24"/>
                <w:szCs w:val="24"/>
              </w:rPr>
            </w:pPr>
            <w:r w:rsidRPr="002E6862">
              <w:rPr>
                <w:rFonts w:ascii="Arial" w:hAnsi="Arial" w:cs="Arial"/>
                <w:sz w:val="24"/>
                <w:szCs w:val="24"/>
              </w:rPr>
              <w:t>Currently there are no components of any asset that are depreciated separately.</w:t>
            </w:r>
          </w:p>
          <w:p w14:paraId="4391A3DE" w14:textId="77777777" w:rsidR="002E6862" w:rsidRPr="002E6862" w:rsidRDefault="002E6862" w:rsidP="002E6862">
            <w:pPr>
              <w:rPr>
                <w:rFonts w:ascii="Arial" w:hAnsi="Arial" w:cs="Arial"/>
                <w:sz w:val="24"/>
                <w:szCs w:val="24"/>
              </w:rPr>
            </w:pPr>
            <w:r w:rsidRPr="002E6862">
              <w:rPr>
                <w:rFonts w:ascii="Arial" w:hAnsi="Arial" w:cs="Arial"/>
                <w:sz w:val="24"/>
                <w:szCs w:val="24"/>
              </w:rPr>
              <w:t>Revaluation gains are also depreciated, with an amount equal to the difference between current value depreciation charged on assets and the depreciation that would have been chargeable based on their historical cost being transferred each year from the Revaluation Reserve to the Capital Adjustment Account.</w:t>
            </w:r>
          </w:p>
          <w:p w14:paraId="45485A95" w14:textId="77777777" w:rsidR="002E6862" w:rsidRPr="002E6862" w:rsidRDefault="002E6862" w:rsidP="002E6862">
            <w:pPr>
              <w:rPr>
                <w:rFonts w:ascii="Arial" w:hAnsi="Arial" w:cs="Arial"/>
                <w:sz w:val="24"/>
                <w:szCs w:val="24"/>
              </w:rPr>
            </w:pPr>
          </w:p>
          <w:p w14:paraId="03C7E54B" w14:textId="77777777" w:rsidR="002E6862" w:rsidRPr="002E6862" w:rsidRDefault="002E6862" w:rsidP="002E6862">
            <w:pPr>
              <w:rPr>
                <w:rFonts w:ascii="Arial" w:hAnsi="Arial" w:cs="Arial"/>
                <w:b/>
                <w:sz w:val="24"/>
                <w:szCs w:val="24"/>
              </w:rPr>
            </w:pPr>
            <w:r w:rsidRPr="002E6862">
              <w:rPr>
                <w:rFonts w:ascii="Arial" w:hAnsi="Arial" w:cs="Arial"/>
                <w:b/>
                <w:sz w:val="24"/>
                <w:szCs w:val="24"/>
              </w:rPr>
              <w:t>Disposal</w:t>
            </w:r>
          </w:p>
          <w:p w14:paraId="26B41596" w14:textId="77777777" w:rsidR="002E6862" w:rsidRPr="002E6862" w:rsidRDefault="002E6862" w:rsidP="002E6862">
            <w:pPr>
              <w:rPr>
                <w:rFonts w:ascii="Arial" w:hAnsi="Arial" w:cs="Arial"/>
                <w:sz w:val="24"/>
                <w:szCs w:val="24"/>
              </w:rPr>
            </w:pPr>
            <w:r w:rsidRPr="002E6862">
              <w:rPr>
                <w:rFonts w:ascii="Arial" w:hAnsi="Arial" w:cs="Arial"/>
                <w:sz w:val="24"/>
                <w:szCs w:val="24"/>
              </w:rPr>
              <w:t xml:space="preserve">When an asset is disposed of or decommissioned, the carrying amount of the asset in the Balance Sheet is written off to the Other Operating Expenditure line in the Comprehensive Income and Expenditure Statement as part of the </w:t>
            </w:r>
            <w:r w:rsidRPr="002E6862">
              <w:rPr>
                <w:rFonts w:ascii="Arial" w:hAnsi="Arial" w:cs="Arial"/>
                <w:sz w:val="24"/>
                <w:szCs w:val="24"/>
              </w:rPr>
              <w:lastRenderedPageBreak/>
              <w:t>gain or loss on disposal. Receipts from disposals (if any) are credited to the same line in the Comprehensive Income and Expenditure Statement also as part of the gain or loss on disposal (ie netted off against the carrying value of the asset at the time of disposal). Any revaluation gains accumulated for the asset in the Revaluation Reserve are transferred to the Capital Adjustment Account.</w:t>
            </w:r>
          </w:p>
          <w:p w14:paraId="65ACDCD4" w14:textId="77777777" w:rsidR="002E6862" w:rsidRPr="002E6862" w:rsidRDefault="002E6862" w:rsidP="002E6862">
            <w:pPr>
              <w:rPr>
                <w:rFonts w:ascii="Arial" w:hAnsi="Arial" w:cs="Arial"/>
                <w:sz w:val="24"/>
                <w:szCs w:val="24"/>
              </w:rPr>
            </w:pPr>
          </w:p>
          <w:p w14:paraId="33A099D7" w14:textId="77777777" w:rsidR="002E6862" w:rsidRPr="002E6862" w:rsidRDefault="002E6862" w:rsidP="002E6862">
            <w:pPr>
              <w:rPr>
                <w:rFonts w:ascii="Arial" w:hAnsi="Arial" w:cs="Arial"/>
                <w:sz w:val="24"/>
                <w:szCs w:val="24"/>
              </w:rPr>
            </w:pPr>
            <w:r w:rsidRPr="002E6862">
              <w:rPr>
                <w:rFonts w:ascii="Arial" w:hAnsi="Arial" w:cs="Arial"/>
                <w:sz w:val="24"/>
                <w:szCs w:val="24"/>
              </w:rPr>
              <w:t>Amounts received for a disposal in excess of £10,000 are categorised as capital receipts. Receipts must be credited to the Capital Receipts Reserve and can only be used for new capital investment. Receipts are appropriated to the Reserve from the General Funds Balance in the Movement in Reserves Statement.</w:t>
            </w:r>
          </w:p>
          <w:p w14:paraId="333AAB5E" w14:textId="77777777" w:rsidR="002E6862" w:rsidRPr="002E6862" w:rsidRDefault="002E6862" w:rsidP="002E6862">
            <w:pPr>
              <w:rPr>
                <w:rFonts w:ascii="Arial" w:hAnsi="Arial" w:cs="Arial"/>
                <w:sz w:val="24"/>
                <w:szCs w:val="24"/>
              </w:rPr>
            </w:pPr>
            <w:r w:rsidRPr="002E6862">
              <w:rPr>
                <w:rFonts w:ascii="Arial" w:hAnsi="Arial" w:cs="Arial"/>
                <w:sz w:val="24"/>
                <w:szCs w:val="24"/>
              </w:rPr>
              <w:t>The written off value of disposals is not a charge against council tax, as the cost of non current assets is fully provided for under separate arrangements for capital financing. Amounts are appropriated to the Capital Adjustment Account from the General Fund Balance in the Movement in Reserves Statement.</w:t>
            </w:r>
          </w:p>
          <w:p w14:paraId="6CCCFBF4" w14:textId="77777777" w:rsidR="002E6862" w:rsidRPr="002E6862" w:rsidRDefault="002E6862" w:rsidP="002E6862">
            <w:pPr>
              <w:rPr>
                <w:rFonts w:ascii="Arial" w:hAnsi="Arial" w:cs="Arial"/>
                <w:sz w:val="24"/>
                <w:szCs w:val="24"/>
              </w:rPr>
            </w:pPr>
          </w:p>
          <w:p w14:paraId="0EEAB26F" w14:textId="77777777" w:rsidR="002E6862" w:rsidRPr="002E6862" w:rsidRDefault="002E6862" w:rsidP="002E6862">
            <w:pPr>
              <w:rPr>
                <w:rFonts w:ascii="Arial" w:hAnsi="Arial" w:cs="Arial"/>
                <w:b/>
                <w:sz w:val="24"/>
                <w:szCs w:val="24"/>
              </w:rPr>
            </w:pPr>
            <w:r w:rsidRPr="002E6862">
              <w:rPr>
                <w:rFonts w:ascii="Arial" w:hAnsi="Arial" w:cs="Arial"/>
                <w:b/>
                <w:sz w:val="24"/>
                <w:szCs w:val="24"/>
              </w:rPr>
              <w:t>Charges to Revenue for Non Current Assets</w:t>
            </w:r>
          </w:p>
          <w:p w14:paraId="5CCC0A4A" w14:textId="77777777" w:rsidR="002E6862" w:rsidRPr="002E6862" w:rsidRDefault="002E6862" w:rsidP="002E6862">
            <w:pPr>
              <w:rPr>
                <w:rFonts w:ascii="Arial" w:hAnsi="Arial" w:cs="Arial"/>
                <w:sz w:val="24"/>
                <w:szCs w:val="24"/>
              </w:rPr>
            </w:pPr>
            <w:r w:rsidRPr="002E6862">
              <w:rPr>
                <w:rFonts w:ascii="Arial" w:hAnsi="Arial" w:cs="Arial"/>
                <w:sz w:val="24"/>
                <w:szCs w:val="24"/>
              </w:rPr>
              <w:t>Services are debited with the following amounts to record the cost of holding non current assets during the year:</w:t>
            </w:r>
          </w:p>
          <w:p w14:paraId="1AB39B0B" w14:textId="77777777" w:rsidR="002E6862" w:rsidRPr="002E6862" w:rsidRDefault="002E6862" w:rsidP="002E6862">
            <w:pPr>
              <w:numPr>
                <w:ilvl w:val="0"/>
                <w:numId w:val="11"/>
              </w:numPr>
              <w:spacing w:after="160" w:line="259" w:lineRule="auto"/>
              <w:ind w:left="368" w:hanging="284"/>
              <w:rPr>
                <w:rFonts w:ascii="Arial" w:hAnsi="Arial" w:cs="Arial"/>
                <w:sz w:val="24"/>
                <w:szCs w:val="24"/>
              </w:rPr>
            </w:pPr>
            <w:r w:rsidRPr="002E6862">
              <w:rPr>
                <w:rFonts w:ascii="Arial" w:hAnsi="Arial" w:cs="Arial"/>
                <w:sz w:val="24"/>
                <w:szCs w:val="24"/>
              </w:rPr>
              <w:t>Depreciation attributable to the assets used by each service</w:t>
            </w:r>
          </w:p>
          <w:p w14:paraId="774FA685" w14:textId="77777777" w:rsidR="002E6862" w:rsidRPr="002E6862" w:rsidRDefault="002E6862" w:rsidP="002E6862">
            <w:pPr>
              <w:numPr>
                <w:ilvl w:val="0"/>
                <w:numId w:val="11"/>
              </w:numPr>
              <w:spacing w:after="160" w:line="259" w:lineRule="auto"/>
              <w:ind w:left="368" w:hanging="284"/>
              <w:rPr>
                <w:rFonts w:ascii="Arial" w:hAnsi="Arial" w:cs="Arial"/>
                <w:sz w:val="24"/>
                <w:szCs w:val="24"/>
              </w:rPr>
            </w:pPr>
            <w:r w:rsidRPr="002E6862">
              <w:rPr>
                <w:rFonts w:ascii="Arial" w:hAnsi="Arial" w:cs="Arial"/>
                <w:sz w:val="24"/>
                <w:szCs w:val="24"/>
              </w:rPr>
              <w:t>Revaluation and impairment losses on assets used by the service where there are no accumulated gains in the Revaluation Reserve against which the loss can be written off</w:t>
            </w:r>
          </w:p>
          <w:p w14:paraId="45B43EFE" w14:textId="77777777" w:rsidR="002E6862" w:rsidRPr="002E6862" w:rsidRDefault="002E6862" w:rsidP="002E6862">
            <w:pPr>
              <w:numPr>
                <w:ilvl w:val="0"/>
                <w:numId w:val="12"/>
              </w:numPr>
              <w:spacing w:after="160" w:line="259" w:lineRule="auto"/>
              <w:ind w:left="368" w:hanging="284"/>
              <w:rPr>
                <w:rFonts w:ascii="Arial" w:hAnsi="Arial" w:cs="Arial"/>
                <w:sz w:val="24"/>
                <w:szCs w:val="24"/>
              </w:rPr>
            </w:pPr>
            <w:r w:rsidRPr="002E6862">
              <w:rPr>
                <w:rFonts w:ascii="Arial" w:hAnsi="Arial" w:cs="Arial"/>
                <w:sz w:val="24"/>
                <w:szCs w:val="24"/>
              </w:rPr>
              <w:t>Amortisation of intangible fixed assets attributable to the service.</w:t>
            </w:r>
          </w:p>
          <w:p w14:paraId="2EE167B9" w14:textId="77777777" w:rsidR="002E6862" w:rsidRPr="002E6862" w:rsidRDefault="002E6862" w:rsidP="002E6862">
            <w:pPr>
              <w:rPr>
                <w:rFonts w:ascii="Arial" w:hAnsi="Arial" w:cs="Arial"/>
                <w:sz w:val="24"/>
                <w:szCs w:val="24"/>
              </w:rPr>
            </w:pPr>
          </w:p>
          <w:p w14:paraId="1854E8B2" w14:textId="77777777" w:rsidR="002E6862" w:rsidRPr="002E6862" w:rsidRDefault="002E6862" w:rsidP="002E6862">
            <w:pPr>
              <w:rPr>
                <w:rFonts w:ascii="Arial" w:hAnsi="Arial" w:cs="Arial"/>
                <w:sz w:val="24"/>
                <w:szCs w:val="24"/>
              </w:rPr>
            </w:pPr>
            <w:r w:rsidRPr="002E6862">
              <w:rPr>
                <w:rFonts w:ascii="Arial" w:hAnsi="Arial" w:cs="Arial"/>
                <w:sz w:val="24"/>
                <w:szCs w:val="24"/>
              </w:rPr>
              <w:t>The Fire Authority is not required to raise council tax to fund depreciation, revaluation and impairment losses or amortisations. However, it is required to make an annual contribution from revenue towards the reduction in its overall borrowing requirement, equal to an amount calculated on a prudent basis determined by the Fire Authority in accordance with statutory guidance. Depreciation, revaluation and impairment losses and amortisations are therefore replaced by the contribution of MRP (Minimum Revenue Provision) in the General Fund Balance, by way of an adjusting transaction with the Capital Adjustment Account in the Movement in Reserves Statement for the difference between the two.</w:t>
            </w:r>
          </w:p>
          <w:p w14:paraId="0C6FA8E4" w14:textId="77777777" w:rsidR="002E6862" w:rsidRPr="002E6862" w:rsidRDefault="002E6862" w:rsidP="002E6862">
            <w:pPr>
              <w:rPr>
                <w:rFonts w:ascii="Arial" w:hAnsi="Arial" w:cs="Arial"/>
                <w:sz w:val="24"/>
                <w:szCs w:val="24"/>
              </w:rPr>
            </w:pPr>
            <w:r w:rsidRPr="002E6862">
              <w:rPr>
                <w:rFonts w:ascii="Arial" w:hAnsi="Arial" w:cs="Arial"/>
                <w:sz w:val="24"/>
                <w:szCs w:val="24"/>
              </w:rPr>
              <w:t>The Local Authorities (Capital Finance and Accounting) (England) (Amendment) Regulations 2008 came into effect on 31 March 2008. These regulations updated the requirement to make provision for the repayment of debt (MRP).</w:t>
            </w:r>
          </w:p>
          <w:p w14:paraId="32AEFD75" w14:textId="77777777" w:rsidR="002E6862" w:rsidRPr="002E6862" w:rsidRDefault="002E6862" w:rsidP="002E6862">
            <w:pPr>
              <w:rPr>
                <w:rFonts w:ascii="Arial" w:hAnsi="Arial" w:cs="Arial"/>
                <w:sz w:val="24"/>
                <w:szCs w:val="24"/>
              </w:rPr>
            </w:pPr>
            <w:r w:rsidRPr="002E6862">
              <w:rPr>
                <w:rFonts w:ascii="Arial" w:hAnsi="Arial" w:cs="Arial"/>
                <w:sz w:val="24"/>
                <w:szCs w:val="24"/>
              </w:rPr>
              <w:t>From 2008/09, the following policy has been adopted:</w:t>
            </w:r>
          </w:p>
          <w:p w14:paraId="7E3E480B" w14:textId="77777777" w:rsidR="002E6862" w:rsidRPr="002E6862" w:rsidRDefault="002E6862" w:rsidP="002E6862">
            <w:pPr>
              <w:numPr>
                <w:ilvl w:val="0"/>
                <w:numId w:val="12"/>
              </w:numPr>
              <w:tabs>
                <w:tab w:val="num" w:pos="417"/>
              </w:tabs>
              <w:spacing w:after="160" w:line="259" w:lineRule="auto"/>
              <w:ind w:left="368" w:hanging="255"/>
              <w:rPr>
                <w:rFonts w:ascii="Arial" w:hAnsi="Arial" w:cs="Arial"/>
                <w:sz w:val="24"/>
                <w:szCs w:val="24"/>
              </w:rPr>
            </w:pPr>
            <w:r w:rsidRPr="002E6862">
              <w:rPr>
                <w:rFonts w:ascii="Arial" w:hAnsi="Arial" w:cs="Arial"/>
                <w:sz w:val="24"/>
                <w:szCs w:val="24"/>
              </w:rPr>
              <w:t>For all borrowing incurred during or before 2006/07, the MRP applied is calculated on the basis of 4% of the Capital Financing Requirement (CFR). A further voluntary provision of 4% is made for all assets other than land and buildings.</w:t>
            </w:r>
          </w:p>
          <w:p w14:paraId="365EC655" w14:textId="77777777" w:rsidR="002E6862" w:rsidRPr="002E6862" w:rsidRDefault="002E6862" w:rsidP="002E6862">
            <w:pPr>
              <w:numPr>
                <w:ilvl w:val="0"/>
                <w:numId w:val="12"/>
              </w:numPr>
              <w:tabs>
                <w:tab w:val="num" w:pos="417"/>
              </w:tabs>
              <w:spacing w:after="160" w:line="259" w:lineRule="auto"/>
              <w:ind w:left="368" w:hanging="255"/>
              <w:rPr>
                <w:rFonts w:ascii="Arial" w:hAnsi="Arial" w:cs="Arial"/>
                <w:sz w:val="24"/>
                <w:szCs w:val="24"/>
              </w:rPr>
            </w:pPr>
            <w:r w:rsidRPr="002E6862">
              <w:rPr>
                <w:rFonts w:ascii="Arial" w:hAnsi="Arial" w:cs="Arial"/>
                <w:sz w:val="24"/>
                <w:szCs w:val="24"/>
              </w:rPr>
              <w:lastRenderedPageBreak/>
              <w:t>For all borrowing incurred during and after 2007/08, the MRP applied from 2008/09 is calculated on the basis of the Asset Life Method. This method has been selected because it charges the financing costs of assets over the lives of those assets in equal instalments each year, and follows the same principles made by the Authority from 2006/07.</w:t>
            </w:r>
          </w:p>
        </w:tc>
      </w:tr>
      <w:tr w:rsidR="002E6862" w:rsidRPr="002E6862" w14:paraId="24155F91" w14:textId="77777777" w:rsidTr="00F67A92">
        <w:tc>
          <w:tcPr>
            <w:tcW w:w="493" w:type="dxa"/>
          </w:tcPr>
          <w:p w14:paraId="20B16B24" w14:textId="77777777" w:rsidR="002E6862" w:rsidRPr="002E6862" w:rsidRDefault="002E6862" w:rsidP="002E6862">
            <w:pPr>
              <w:rPr>
                <w:rFonts w:ascii="Arial" w:hAnsi="Arial" w:cs="Arial"/>
                <w:b/>
                <w:sz w:val="24"/>
                <w:szCs w:val="24"/>
              </w:rPr>
            </w:pPr>
            <w:r w:rsidRPr="002E6862">
              <w:rPr>
                <w:rFonts w:ascii="Arial" w:hAnsi="Arial" w:cs="Arial"/>
                <w:b/>
                <w:sz w:val="24"/>
                <w:szCs w:val="24"/>
              </w:rPr>
              <w:lastRenderedPageBreak/>
              <w:t>9</w:t>
            </w:r>
          </w:p>
        </w:tc>
        <w:tc>
          <w:tcPr>
            <w:tcW w:w="8497" w:type="dxa"/>
          </w:tcPr>
          <w:p w14:paraId="5168093C" w14:textId="77777777" w:rsidR="002E6862" w:rsidRPr="002E6862" w:rsidRDefault="002E6862" w:rsidP="002E6862">
            <w:pPr>
              <w:rPr>
                <w:rFonts w:ascii="Arial" w:hAnsi="Arial" w:cs="Arial"/>
                <w:b/>
                <w:sz w:val="24"/>
                <w:szCs w:val="24"/>
              </w:rPr>
            </w:pPr>
            <w:r w:rsidRPr="002E6862">
              <w:rPr>
                <w:rFonts w:ascii="Arial" w:hAnsi="Arial" w:cs="Arial"/>
                <w:b/>
                <w:sz w:val="24"/>
                <w:szCs w:val="24"/>
              </w:rPr>
              <w:t xml:space="preserve">Financial Assets </w:t>
            </w:r>
          </w:p>
          <w:p w14:paraId="1F3735BD" w14:textId="77777777" w:rsidR="002E6862" w:rsidRPr="002E6862" w:rsidRDefault="002E6862" w:rsidP="002E6862">
            <w:pPr>
              <w:rPr>
                <w:rFonts w:ascii="Arial" w:hAnsi="Arial" w:cs="Arial"/>
                <w:bCs/>
                <w:sz w:val="24"/>
                <w:szCs w:val="24"/>
              </w:rPr>
            </w:pPr>
            <w:r w:rsidRPr="002E6862">
              <w:rPr>
                <w:rFonts w:ascii="Arial" w:hAnsi="Arial" w:cs="Arial"/>
                <w:bCs/>
                <w:sz w:val="24"/>
                <w:szCs w:val="24"/>
              </w:rPr>
              <w:t>The Authority has financial assets which are classified in the Code as loans and receivables, which are assets that have fixed or determinable payments but are not quoted in an active market. They are initially measured at fair value and carried at their amortised cost in the Balance Sheet. Annual credits to the Comprehensive Income and Expenditure Statement for interest receivable are based on the carrying amount of the asset multiplied by the effective rate of interest for the instrument. For the Authority’s loans, this means the amount presented in the Balance Sheet is the outstanding principal receivable and the interest credited to the Comprehensive Income and Expenditure Statement is the amount receivable for the year in the loan agreement.</w:t>
            </w:r>
          </w:p>
        </w:tc>
      </w:tr>
      <w:tr w:rsidR="002E6862" w:rsidRPr="002E6862" w14:paraId="2BA9604D" w14:textId="77777777" w:rsidTr="00F67A92">
        <w:tc>
          <w:tcPr>
            <w:tcW w:w="493" w:type="dxa"/>
          </w:tcPr>
          <w:p w14:paraId="62FFF13A" w14:textId="77777777" w:rsidR="002E6862" w:rsidRPr="002E6862" w:rsidRDefault="002E6862" w:rsidP="002E6862">
            <w:pPr>
              <w:rPr>
                <w:rFonts w:ascii="Arial" w:hAnsi="Arial" w:cs="Arial"/>
                <w:b/>
                <w:sz w:val="24"/>
                <w:szCs w:val="24"/>
              </w:rPr>
            </w:pPr>
            <w:r w:rsidRPr="002E6862">
              <w:rPr>
                <w:rFonts w:ascii="Arial" w:hAnsi="Arial" w:cs="Arial"/>
                <w:b/>
                <w:sz w:val="24"/>
                <w:szCs w:val="24"/>
              </w:rPr>
              <w:t>10</w:t>
            </w:r>
          </w:p>
        </w:tc>
        <w:tc>
          <w:tcPr>
            <w:tcW w:w="8497" w:type="dxa"/>
          </w:tcPr>
          <w:p w14:paraId="0FD616B7" w14:textId="77777777" w:rsidR="002E6862" w:rsidRPr="002E6862" w:rsidRDefault="002E6862" w:rsidP="002E6862">
            <w:pPr>
              <w:rPr>
                <w:rFonts w:ascii="Arial" w:hAnsi="Arial" w:cs="Arial"/>
                <w:b/>
                <w:sz w:val="24"/>
                <w:szCs w:val="24"/>
              </w:rPr>
            </w:pPr>
            <w:r w:rsidRPr="002E6862">
              <w:rPr>
                <w:rFonts w:ascii="Arial" w:hAnsi="Arial" w:cs="Arial"/>
                <w:b/>
                <w:sz w:val="24"/>
                <w:szCs w:val="24"/>
              </w:rPr>
              <w:t>Financial Liabilities</w:t>
            </w:r>
          </w:p>
          <w:p w14:paraId="23321963" w14:textId="77777777" w:rsidR="002E6862" w:rsidRPr="002E6862" w:rsidRDefault="002E6862" w:rsidP="002E6862">
            <w:pPr>
              <w:rPr>
                <w:rFonts w:ascii="Arial" w:hAnsi="Arial" w:cs="Arial"/>
                <w:sz w:val="24"/>
                <w:szCs w:val="24"/>
              </w:rPr>
            </w:pPr>
            <w:r w:rsidRPr="002E6862">
              <w:rPr>
                <w:rFonts w:ascii="Arial" w:hAnsi="Arial" w:cs="Arial"/>
                <w:sz w:val="24"/>
                <w:szCs w:val="24"/>
              </w:rPr>
              <w:t>Financial liabilities are recognised on the Balance Sheet when the Fire Authority becomes a party to the contractual provisions of a financial instrument and are initially measured at fair value and are carried at their amortised cost. Annual charges to the Financing and Investment Income and Expenditure line in the Comprehensive Income and Expenditure Statement for interest payable are based on the carrying amount of the liability, multiplied by the effective rate of interest for the instrument.</w:t>
            </w:r>
          </w:p>
          <w:p w14:paraId="5404B990" w14:textId="77777777" w:rsidR="002E6862" w:rsidRPr="002E6862" w:rsidRDefault="002E6862" w:rsidP="002E6862">
            <w:pPr>
              <w:rPr>
                <w:rFonts w:ascii="Arial" w:hAnsi="Arial" w:cs="Arial"/>
                <w:sz w:val="24"/>
                <w:szCs w:val="24"/>
              </w:rPr>
            </w:pPr>
            <w:r w:rsidRPr="002E6862">
              <w:rPr>
                <w:rFonts w:ascii="Arial" w:hAnsi="Arial" w:cs="Arial"/>
                <w:sz w:val="24"/>
                <w:szCs w:val="24"/>
              </w:rPr>
              <w:t>For all of the borrowings the Fire Authority has, this means the amount presented in the Balance Sheet is the outstanding principal repayable, and interest charged to the Comprehensive Income and Expenditure Statement is the amount payable for the year according to the loan agreement.</w:t>
            </w:r>
          </w:p>
          <w:p w14:paraId="544FB7E8" w14:textId="77777777" w:rsidR="002E6862" w:rsidRPr="002E6862" w:rsidRDefault="002E6862" w:rsidP="002E6862">
            <w:pPr>
              <w:rPr>
                <w:rFonts w:ascii="Arial" w:hAnsi="Arial" w:cs="Arial"/>
                <w:sz w:val="24"/>
                <w:szCs w:val="24"/>
              </w:rPr>
            </w:pPr>
          </w:p>
          <w:p w14:paraId="114F1D05" w14:textId="77777777" w:rsidR="002E6862" w:rsidRPr="002E6862" w:rsidRDefault="002E6862" w:rsidP="002E6862">
            <w:pPr>
              <w:rPr>
                <w:rFonts w:ascii="Arial" w:hAnsi="Arial" w:cs="Arial"/>
                <w:b/>
                <w:sz w:val="24"/>
                <w:szCs w:val="24"/>
              </w:rPr>
            </w:pPr>
            <w:r w:rsidRPr="002E6862">
              <w:rPr>
                <w:rFonts w:ascii="Arial" w:hAnsi="Arial" w:cs="Arial"/>
                <w:b/>
                <w:sz w:val="24"/>
                <w:szCs w:val="24"/>
              </w:rPr>
              <w:t>Fair Value Measurement</w:t>
            </w:r>
          </w:p>
          <w:p w14:paraId="23190536" w14:textId="77777777" w:rsidR="002E6862" w:rsidRPr="002E6862" w:rsidRDefault="002E6862" w:rsidP="002E6862">
            <w:pPr>
              <w:rPr>
                <w:rFonts w:ascii="Arial" w:hAnsi="Arial" w:cs="Arial"/>
                <w:b/>
                <w:sz w:val="24"/>
                <w:szCs w:val="24"/>
              </w:rPr>
            </w:pPr>
          </w:p>
          <w:p w14:paraId="11E9AB88" w14:textId="77777777" w:rsidR="002E6862" w:rsidRPr="002E6862" w:rsidRDefault="002E6862" w:rsidP="002E6862">
            <w:pPr>
              <w:rPr>
                <w:rFonts w:ascii="Arial" w:hAnsi="Arial" w:cs="Arial"/>
                <w:sz w:val="24"/>
                <w:szCs w:val="24"/>
              </w:rPr>
            </w:pPr>
            <w:r w:rsidRPr="002E6862">
              <w:rPr>
                <w:rFonts w:ascii="Arial" w:hAnsi="Arial" w:cs="Arial"/>
                <w:sz w:val="24"/>
                <w:szCs w:val="24"/>
              </w:rPr>
              <w:t>The Authority measures some of its financial instruments such as borrowings at fair value at each reporting date. Fair value is the price that would be received to transfer a liability in an orderly transaction between market participants at the measurement date. The fair value measurement assumes that the transaction to transfer the liability takes place either:</w:t>
            </w:r>
          </w:p>
          <w:p w14:paraId="4C663BC0" w14:textId="77777777" w:rsidR="002E6862" w:rsidRPr="002E6862" w:rsidRDefault="002E6862" w:rsidP="002E6862">
            <w:pPr>
              <w:rPr>
                <w:rFonts w:ascii="Arial" w:hAnsi="Arial" w:cs="Arial"/>
                <w:sz w:val="24"/>
                <w:szCs w:val="24"/>
              </w:rPr>
            </w:pPr>
          </w:p>
          <w:p w14:paraId="090F0933" w14:textId="77777777" w:rsidR="002E6862" w:rsidRPr="002E6862" w:rsidRDefault="002E6862" w:rsidP="002E6862">
            <w:pPr>
              <w:numPr>
                <w:ilvl w:val="0"/>
                <w:numId w:val="30"/>
              </w:numPr>
              <w:spacing w:after="160" w:line="259" w:lineRule="auto"/>
              <w:rPr>
                <w:rFonts w:ascii="Arial" w:hAnsi="Arial" w:cs="Arial"/>
                <w:sz w:val="24"/>
                <w:szCs w:val="24"/>
              </w:rPr>
            </w:pPr>
            <w:r w:rsidRPr="002E6862">
              <w:rPr>
                <w:rFonts w:ascii="Arial" w:hAnsi="Arial" w:cs="Arial"/>
                <w:sz w:val="24"/>
                <w:szCs w:val="24"/>
              </w:rPr>
              <w:t>In the principal market for the liability, or</w:t>
            </w:r>
          </w:p>
          <w:p w14:paraId="20E091D7" w14:textId="77777777" w:rsidR="002E6862" w:rsidRPr="002E6862" w:rsidRDefault="002E6862" w:rsidP="002E6862">
            <w:pPr>
              <w:numPr>
                <w:ilvl w:val="0"/>
                <w:numId w:val="30"/>
              </w:numPr>
              <w:spacing w:after="160" w:line="259" w:lineRule="auto"/>
              <w:rPr>
                <w:rFonts w:ascii="Arial" w:hAnsi="Arial" w:cs="Arial"/>
                <w:sz w:val="24"/>
                <w:szCs w:val="24"/>
              </w:rPr>
            </w:pPr>
            <w:r w:rsidRPr="002E6862">
              <w:rPr>
                <w:rFonts w:ascii="Arial" w:hAnsi="Arial" w:cs="Arial"/>
                <w:sz w:val="24"/>
                <w:szCs w:val="24"/>
              </w:rPr>
              <w:t>In the absence of a principal market, in the most advantageous market for the liability.</w:t>
            </w:r>
          </w:p>
          <w:p w14:paraId="6247B44E" w14:textId="77777777" w:rsidR="002E6862" w:rsidRPr="002E6862" w:rsidRDefault="002E6862" w:rsidP="002E6862">
            <w:pPr>
              <w:rPr>
                <w:rFonts w:ascii="Arial" w:hAnsi="Arial" w:cs="Arial"/>
                <w:sz w:val="24"/>
                <w:szCs w:val="24"/>
              </w:rPr>
            </w:pPr>
            <w:r w:rsidRPr="002E6862">
              <w:rPr>
                <w:rFonts w:ascii="Arial" w:hAnsi="Arial" w:cs="Arial"/>
                <w:sz w:val="24"/>
                <w:szCs w:val="24"/>
              </w:rPr>
              <w:t xml:space="preserve">The Authority measures the fair value of the liability using the assumptions that market participants would use when pricing the liability, assuming that the market participants act in their economic best interest. </w:t>
            </w:r>
          </w:p>
          <w:p w14:paraId="73DCEDF3" w14:textId="77777777" w:rsidR="002E6862" w:rsidRPr="002E6862" w:rsidRDefault="002E6862" w:rsidP="002E6862">
            <w:pPr>
              <w:rPr>
                <w:rFonts w:ascii="Arial" w:hAnsi="Arial" w:cs="Arial"/>
                <w:sz w:val="24"/>
                <w:szCs w:val="24"/>
              </w:rPr>
            </w:pPr>
          </w:p>
          <w:p w14:paraId="7DA16667" w14:textId="77777777" w:rsidR="002E6862" w:rsidRPr="002E6862" w:rsidRDefault="002E6862" w:rsidP="002E6862">
            <w:pPr>
              <w:rPr>
                <w:rFonts w:ascii="Arial" w:hAnsi="Arial" w:cs="Arial"/>
                <w:sz w:val="24"/>
                <w:szCs w:val="24"/>
              </w:rPr>
            </w:pPr>
            <w:r w:rsidRPr="002E6862">
              <w:rPr>
                <w:rFonts w:ascii="Arial" w:hAnsi="Arial" w:cs="Arial"/>
                <w:sz w:val="24"/>
                <w:szCs w:val="24"/>
              </w:rPr>
              <w:t xml:space="preserve">The Authority uses valuation techniques that are appropriate in the circumstances and for which sufficient data is available, maximising the use </w:t>
            </w:r>
            <w:r w:rsidRPr="002E6862">
              <w:rPr>
                <w:rFonts w:ascii="Arial" w:hAnsi="Arial" w:cs="Arial"/>
                <w:sz w:val="24"/>
                <w:szCs w:val="24"/>
              </w:rPr>
              <w:lastRenderedPageBreak/>
              <w:t xml:space="preserve">of relevant observable inputs and minimising the use of unobservable outputs. </w:t>
            </w:r>
          </w:p>
          <w:p w14:paraId="33E2899C" w14:textId="77777777" w:rsidR="002E6862" w:rsidRPr="002E6862" w:rsidRDefault="002E6862" w:rsidP="002E6862">
            <w:pPr>
              <w:rPr>
                <w:rFonts w:ascii="Arial" w:hAnsi="Arial" w:cs="Arial"/>
                <w:sz w:val="24"/>
                <w:szCs w:val="24"/>
              </w:rPr>
            </w:pPr>
          </w:p>
          <w:p w14:paraId="14C5F9D2" w14:textId="77777777" w:rsidR="002E6862" w:rsidRPr="002E6862" w:rsidRDefault="002E6862" w:rsidP="002E6862">
            <w:pPr>
              <w:rPr>
                <w:rFonts w:ascii="Arial" w:hAnsi="Arial" w:cs="Arial"/>
                <w:sz w:val="24"/>
                <w:szCs w:val="24"/>
              </w:rPr>
            </w:pPr>
            <w:r w:rsidRPr="002E6862">
              <w:rPr>
                <w:rFonts w:ascii="Arial" w:hAnsi="Arial" w:cs="Arial"/>
                <w:sz w:val="24"/>
                <w:szCs w:val="24"/>
              </w:rPr>
              <w:t>Inputs to the valuation techniques in respect of liabilities for which fair value is measured or disclosed in the Authority’s financial statements are categorised within the fair value hierarchy, as follows:</w:t>
            </w:r>
          </w:p>
          <w:p w14:paraId="0A0DA018" w14:textId="77777777" w:rsidR="002E6862" w:rsidRPr="002E6862" w:rsidRDefault="002E6862" w:rsidP="002E6862">
            <w:pPr>
              <w:rPr>
                <w:rFonts w:ascii="Arial" w:hAnsi="Arial" w:cs="Arial"/>
                <w:sz w:val="24"/>
                <w:szCs w:val="24"/>
              </w:rPr>
            </w:pPr>
          </w:p>
          <w:p w14:paraId="47C3720A" w14:textId="77777777" w:rsidR="002E6862" w:rsidRPr="002E6862" w:rsidRDefault="002E6862" w:rsidP="002E6862">
            <w:pPr>
              <w:numPr>
                <w:ilvl w:val="0"/>
                <w:numId w:val="31"/>
              </w:numPr>
              <w:spacing w:after="160" w:line="259" w:lineRule="auto"/>
              <w:rPr>
                <w:rFonts w:ascii="Arial" w:hAnsi="Arial" w:cs="Arial"/>
                <w:sz w:val="24"/>
                <w:szCs w:val="24"/>
              </w:rPr>
            </w:pPr>
            <w:r w:rsidRPr="002E6862">
              <w:rPr>
                <w:rFonts w:ascii="Arial" w:hAnsi="Arial" w:cs="Arial"/>
                <w:sz w:val="24"/>
                <w:szCs w:val="24"/>
              </w:rPr>
              <w:t>Level 1 – quoted prices (unadjusted) in active markets for identical liabilities that the Authority can access at the measurement date</w:t>
            </w:r>
          </w:p>
          <w:p w14:paraId="2FFAC1C0" w14:textId="77777777" w:rsidR="002E6862" w:rsidRPr="002E6862" w:rsidRDefault="002E6862" w:rsidP="002E6862">
            <w:pPr>
              <w:numPr>
                <w:ilvl w:val="0"/>
                <w:numId w:val="31"/>
              </w:numPr>
              <w:spacing w:after="160" w:line="259" w:lineRule="auto"/>
              <w:rPr>
                <w:rFonts w:ascii="Arial" w:hAnsi="Arial" w:cs="Arial"/>
                <w:sz w:val="24"/>
                <w:szCs w:val="24"/>
              </w:rPr>
            </w:pPr>
            <w:r w:rsidRPr="002E6862">
              <w:rPr>
                <w:rFonts w:ascii="Arial" w:hAnsi="Arial" w:cs="Arial"/>
                <w:sz w:val="24"/>
                <w:szCs w:val="24"/>
              </w:rPr>
              <w:t>Level 2 – inputs other than quoted prices included within Level 1 that are observable for the liability, either directly or indirectly</w:t>
            </w:r>
          </w:p>
          <w:p w14:paraId="41E7AD9B" w14:textId="77777777" w:rsidR="002E6862" w:rsidRPr="002E6862" w:rsidRDefault="002E6862" w:rsidP="002E6862">
            <w:pPr>
              <w:numPr>
                <w:ilvl w:val="0"/>
                <w:numId w:val="31"/>
              </w:numPr>
              <w:spacing w:after="160" w:line="259" w:lineRule="auto"/>
              <w:rPr>
                <w:rFonts w:ascii="Arial" w:hAnsi="Arial" w:cs="Arial"/>
                <w:sz w:val="24"/>
                <w:szCs w:val="24"/>
              </w:rPr>
            </w:pPr>
            <w:r w:rsidRPr="002E6862">
              <w:rPr>
                <w:rFonts w:ascii="Arial" w:hAnsi="Arial" w:cs="Arial"/>
                <w:sz w:val="24"/>
                <w:szCs w:val="24"/>
              </w:rPr>
              <w:t>Level 3 – unobservable inputs for the liability.</w:t>
            </w:r>
          </w:p>
          <w:p w14:paraId="6FFBD864" w14:textId="77777777" w:rsidR="002E6862" w:rsidRPr="002E6862" w:rsidRDefault="002E6862" w:rsidP="002E6862">
            <w:pPr>
              <w:rPr>
                <w:rFonts w:ascii="Arial" w:hAnsi="Arial" w:cs="Arial"/>
                <w:sz w:val="24"/>
                <w:szCs w:val="24"/>
              </w:rPr>
            </w:pPr>
          </w:p>
        </w:tc>
      </w:tr>
      <w:tr w:rsidR="002E6862" w:rsidRPr="002E6862" w14:paraId="2206FDB1" w14:textId="77777777" w:rsidTr="00F67A92">
        <w:tc>
          <w:tcPr>
            <w:tcW w:w="493" w:type="dxa"/>
          </w:tcPr>
          <w:p w14:paraId="1BE03A13" w14:textId="77777777" w:rsidR="002E6862" w:rsidRPr="002E6862" w:rsidRDefault="002E6862" w:rsidP="002E6862">
            <w:pPr>
              <w:rPr>
                <w:rFonts w:ascii="Arial" w:hAnsi="Arial" w:cs="Arial"/>
                <w:b/>
                <w:sz w:val="24"/>
                <w:szCs w:val="24"/>
              </w:rPr>
            </w:pPr>
            <w:r w:rsidRPr="002E6862">
              <w:rPr>
                <w:rFonts w:ascii="Arial" w:hAnsi="Arial" w:cs="Arial"/>
                <w:b/>
                <w:sz w:val="24"/>
                <w:szCs w:val="24"/>
              </w:rPr>
              <w:lastRenderedPageBreak/>
              <w:t>11</w:t>
            </w:r>
          </w:p>
        </w:tc>
        <w:tc>
          <w:tcPr>
            <w:tcW w:w="8497" w:type="dxa"/>
          </w:tcPr>
          <w:p w14:paraId="0420A50D" w14:textId="77777777" w:rsidR="002E6862" w:rsidRPr="002E6862" w:rsidRDefault="002E6862" w:rsidP="002E6862">
            <w:pPr>
              <w:rPr>
                <w:rFonts w:ascii="Arial" w:hAnsi="Arial" w:cs="Arial"/>
                <w:b/>
                <w:sz w:val="24"/>
                <w:szCs w:val="24"/>
              </w:rPr>
            </w:pPr>
            <w:r w:rsidRPr="002E6862">
              <w:rPr>
                <w:rFonts w:ascii="Arial" w:hAnsi="Arial" w:cs="Arial"/>
                <w:b/>
                <w:sz w:val="24"/>
                <w:szCs w:val="24"/>
              </w:rPr>
              <w:t>Inventories</w:t>
            </w:r>
          </w:p>
          <w:p w14:paraId="73689566" w14:textId="77777777" w:rsidR="002E6862" w:rsidRPr="002E6862" w:rsidRDefault="002E6862" w:rsidP="002E6862">
            <w:pPr>
              <w:rPr>
                <w:rFonts w:ascii="Arial" w:hAnsi="Arial" w:cs="Arial"/>
                <w:sz w:val="24"/>
                <w:szCs w:val="24"/>
              </w:rPr>
            </w:pPr>
            <w:r w:rsidRPr="002E6862">
              <w:rPr>
                <w:rFonts w:ascii="Arial" w:hAnsi="Arial" w:cs="Arial"/>
                <w:sz w:val="24"/>
                <w:szCs w:val="24"/>
              </w:rPr>
              <w:t>Inventories are included in the Balance Sheet at the lower of cost and net realisable value, on a first in first out basis. Obsolescent inventory is written off during the year.</w:t>
            </w:r>
          </w:p>
          <w:p w14:paraId="0E38544E" w14:textId="77777777" w:rsidR="002E6862" w:rsidRPr="002E6862" w:rsidRDefault="002E6862" w:rsidP="002E6862">
            <w:pPr>
              <w:rPr>
                <w:rFonts w:ascii="Arial" w:hAnsi="Arial" w:cs="Arial"/>
                <w:sz w:val="24"/>
                <w:szCs w:val="24"/>
              </w:rPr>
            </w:pPr>
          </w:p>
        </w:tc>
      </w:tr>
      <w:tr w:rsidR="002E6862" w:rsidRPr="002E6862" w14:paraId="03F26BB2" w14:textId="77777777" w:rsidTr="00F67A92">
        <w:tc>
          <w:tcPr>
            <w:tcW w:w="493" w:type="dxa"/>
          </w:tcPr>
          <w:p w14:paraId="013F427A" w14:textId="77777777" w:rsidR="002E6862" w:rsidRPr="002E6862" w:rsidRDefault="002E6862" w:rsidP="002E6862">
            <w:pPr>
              <w:rPr>
                <w:rFonts w:ascii="Arial" w:hAnsi="Arial" w:cs="Arial"/>
                <w:b/>
                <w:sz w:val="24"/>
                <w:szCs w:val="24"/>
              </w:rPr>
            </w:pPr>
            <w:r w:rsidRPr="002E6862">
              <w:rPr>
                <w:rFonts w:ascii="Arial" w:hAnsi="Arial" w:cs="Arial"/>
                <w:b/>
                <w:sz w:val="24"/>
                <w:szCs w:val="24"/>
              </w:rPr>
              <w:t>12</w:t>
            </w:r>
          </w:p>
        </w:tc>
        <w:tc>
          <w:tcPr>
            <w:tcW w:w="8497" w:type="dxa"/>
          </w:tcPr>
          <w:p w14:paraId="72E5E742" w14:textId="77777777" w:rsidR="002E6862" w:rsidRPr="002E6862" w:rsidRDefault="002E6862" w:rsidP="002E6862">
            <w:pPr>
              <w:rPr>
                <w:rFonts w:ascii="Arial" w:hAnsi="Arial" w:cs="Arial"/>
                <w:b/>
                <w:sz w:val="24"/>
                <w:szCs w:val="24"/>
              </w:rPr>
            </w:pPr>
            <w:r w:rsidRPr="002E6862">
              <w:rPr>
                <w:rFonts w:ascii="Arial" w:hAnsi="Arial" w:cs="Arial"/>
                <w:b/>
                <w:sz w:val="24"/>
                <w:szCs w:val="24"/>
              </w:rPr>
              <w:t>Investments</w:t>
            </w:r>
          </w:p>
          <w:p w14:paraId="78E5BDDE" w14:textId="77777777" w:rsidR="002E6862" w:rsidRPr="002E6862" w:rsidRDefault="002E6862" w:rsidP="002E6862">
            <w:pPr>
              <w:rPr>
                <w:rFonts w:ascii="Arial" w:hAnsi="Arial" w:cs="Arial"/>
                <w:sz w:val="24"/>
                <w:szCs w:val="24"/>
              </w:rPr>
            </w:pPr>
            <w:r w:rsidRPr="002E6862">
              <w:rPr>
                <w:rFonts w:ascii="Arial" w:hAnsi="Arial" w:cs="Arial"/>
                <w:sz w:val="24"/>
                <w:szCs w:val="24"/>
              </w:rPr>
              <w:t>The CIPFA Code of Practice for Treasury Management in Local Authorities, which governs the way in which surplus cash is invested, has been adopted. The Authority’s surplus cash is invested with other local authorities, approved banks and building societies, as authorised in the Authority’s Treasury Policy Statement.</w:t>
            </w:r>
          </w:p>
          <w:p w14:paraId="20B1F2CC" w14:textId="77777777" w:rsidR="002E6862" w:rsidRPr="002E6862" w:rsidRDefault="002E6862" w:rsidP="002E6862">
            <w:pPr>
              <w:rPr>
                <w:rFonts w:ascii="Arial" w:hAnsi="Arial" w:cs="Arial"/>
                <w:sz w:val="24"/>
                <w:szCs w:val="24"/>
              </w:rPr>
            </w:pPr>
            <w:r w:rsidRPr="002E6862">
              <w:rPr>
                <w:rFonts w:ascii="Arial" w:hAnsi="Arial" w:cs="Arial"/>
                <w:sz w:val="24"/>
                <w:szCs w:val="24"/>
              </w:rPr>
              <w:t>Investments that mature in no more than three months from the date of acquisition, and that are readily convertible to known amounts with insignificant risk of a change in value, are categorised as cash equivalents in the financial statements.</w:t>
            </w:r>
          </w:p>
          <w:p w14:paraId="65BC4D68" w14:textId="77777777" w:rsidR="002E6862" w:rsidRPr="002E6862" w:rsidRDefault="002E6862" w:rsidP="002E6862">
            <w:pPr>
              <w:rPr>
                <w:rFonts w:ascii="Arial" w:hAnsi="Arial" w:cs="Arial"/>
                <w:sz w:val="24"/>
                <w:szCs w:val="24"/>
              </w:rPr>
            </w:pPr>
          </w:p>
        </w:tc>
      </w:tr>
      <w:tr w:rsidR="002E6862" w:rsidRPr="002E6862" w14:paraId="2D97A640" w14:textId="77777777" w:rsidTr="00F67A92">
        <w:tc>
          <w:tcPr>
            <w:tcW w:w="493" w:type="dxa"/>
          </w:tcPr>
          <w:p w14:paraId="061A4823" w14:textId="77777777" w:rsidR="002E6862" w:rsidRPr="002E6862" w:rsidRDefault="002E6862" w:rsidP="002E6862">
            <w:pPr>
              <w:rPr>
                <w:rFonts w:ascii="Arial" w:hAnsi="Arial" w:cs="Arial"/>
                <w:b/>
                <w:sz w:val="24"/>
                <w:szCs w:val="24"/>
              </w:rPr>
            </w:pPr>
            <w:r w:rsidRPr="002E6862">
              <w:rPr>
                <w:rFonts w:ascii="Arial" w:hAnsi="Arial" w:cs="Arial"/>
                <w:b/>
                <w:sz w:val="24"/>
                <w:szCs w:val="24"/>
              </w:rPr>
              <w:t>13</w:t>
            </w:r>
          </w:p>
        </w:tc>
        <w:tc>
          <w:tcPr>
            <w:tcW w:w="8497" w:type="dxa"/>
          </w:tcPr>
          <w:p w14:paraId="394E0A3B" w14:textId="77777777" w:rsidR="002E6862" w:rsidRPr="002E6862" w:rsidRDefault="002E6862" w:rsidP="002E6862">
            <w:pPr>
              <w:rPr>
                <w:rFonts w:ascii="Arial" w:hAnsi="Arial" w:cs="Arial"/>
                <w:b/>
                <w:sz w:val="24"/>
                <w:szCs w:val="24"/>
              </w:rPr>
            </w:pPr>
            <w:r w:rsidRPr="002E6862">
              <w:rPr>
                <w:rFonts w:ascii="Arial" w:hAnsi="Arial" w:cs="Arial"/>
                <w:b/>
                <w:sz w:val="24"/>
                <w:szCs w:val="24"/>
              </w:rPr>
              <w:t>Government Grants</w:t>
            </w:r>
          </w:p>
          <w:p w14:paraId="01EB5706" w14:textId="77777777" w:rsidR="002E6862" w:rsidRPr="002E6862" w:rsidRDefault="002E6862" w:rsidP="002E6862">
            <w:pPr>
              <w:rPr>
                <w:rFonts w:ascii="Arial" w:hAnsi="Arial" w:cs="Arial"/>
                <w:sz w:val="24"/>
                <w:szCs w:val="24"/>
              </w:rPr>
            </w:pPr>
            <w:r w:rsidRPr="002E6862">
              <w:rPr>
                <w:rFonts w:ascii="Arial" w:hAnsi="Arial" w:cs="Arial"/>
                <w:sz w:val="24"/>
                <w:szCs w:val="24"/>
              </w:rPr>
              <w:t>Whether paid on account, by instalments or in arrears, government grants are recognised as due to the Fire Authority when there is reasonable assurance that:</w:t>
            </w:r>
          </w:p>
          <w:p w14:paraId="3C762FA3" w14:textId="77777777" w:rsidR="002E6862" w:rsidRPr="002E6862" w:rsidRDefault="002E6862" w:rsidP="002E6862">
            <w:pPr>
              <w:numPr>
                <w:ilvl w:val="0"/>
                <w:numId w:val="13"/>
              </w:numPr>
              <w:tabs>
                <w:tab w:val="num" w:pos="417"/>
              </w:tabs>
              <w:spacing w:after="160" w:line="259" w:lineRule="auto"/>
              <w:ind w:left="417" w:hanging="417"/>
              <w:rPr>
                <w:rFonts w:ascii="Arial" w:hAnsi="Arial" w:cs="Arial"/>
                <w:sz w:val="24"/>
                <w:szCs w:val="24"/>
              </w:rPr>
            </w:pPr>
            <w:r w:rsidRPr="002E6862">
              <w:rPr>
                <w:rFonts w:ascii="Arial" w:hAnsi="Arial" w:cs="Arial"/>
                <w:sz w:val="24"/>
                <w:szCs w:val="24"/>
              </w:rPr>
              <w:t xml:space="preserve">The Fire Authority will comply with the conditions attached to the payments, and </w:t>
            </w:r>
          </w:p>
          <w:p w14:paraId="1D0E4B5F" w14:textId="77777777" w:rsidR="002E6862" w:rsidRPr="002E6862" w:rsidRDefault="002E6862" w:rsidP="002E6862">
            <w:pPr>
              <w:numPr>
                <w:ilvl w:val="0"/>
                <w:numId w:val="13"/>
              </w:numPr>
              <w:tabs>
                <w:tab w:val="num" w:pos="417"/>
              </w:tabs>
              <w:spacing w:after="160" w:line="259" w:lineRule="auto"/>
              <w:ind w:left="57"/>
              <w:rPr>
                <w:rFonts w:ascii="Arial" w:hAnsi="Arial" w:cs="Arial"/>
                <w:sz w:val="24"/>
                <w:szCs w:val="24"/>
              </w:rPr>
            </w:pPr>
            <w:r w:rsidRPr="002E6862">
              <w:rPr>
                <w:rFonts w:ascii="Arial" w:hAnsi="Arial" w:cs="Arial"/>
                <w:sz w:val="24"/>
                <w:szCs w:val="24"/>
              </w:rPr>
              <w:t>The grant will be received.</w:t>
            </w:r>
          </w:p>
          <w:p w14:paraId="486E4D1C" w14:textId="77777777" w:rsidR="002E6862" w:rsidRPr="002E6862" w:rsidRDefault="002E6862" w:rsidP="002E6862">
            <w:pPr>
              <w:rPr>
                <w:rFonts w:ascii="Arial" w:hAnsi="Arial" w:cs="Arial"/>
                <w:sz w:val="24"/>
                <w:szCs w:val="24"/>
              </w:rPr>
            </w:pPr>
            <w:r w:rsidRPr="002E6862">
              <w:rPr>
                <w:rFonts w:ascii="Arial" w:hAnsi="Arial" w:cs="Arial"/>
                <w:sz w:val="24"/>
                <w:szCs w:val="24"/>
              </w:rPr>
              <w:t>Amounts recognised as due to the Fire Authority are not credited to the Comprehensive Income and Expenditure Statement until conditions attached to the grant have been satisfied. Conditions are stipulations that specify the future economic benefits or service potential embodied in the asset acquired using the grant are required to be consumed by the recipient as specified, or future economic benefits or service potential must be returned to the transferor.</w:t>
            </w:r>
          </w:p>
          <w:p w14:paraId="4A90FD98" w14:textId="77777777" w:rsidR="002E6862" w:rsidRPr="002E6862" w:rsidRDefault="002E6862" w:rsidP="002E6862">
            <w:pPr>
              <w:rPr>
                <w:rFonts w:ascii="Arial" w:hAnsi="Arial" w:cs="Arial"/>
                <w:sz w:val="24"/>
                <w:szCs w:val="24"/>
              </w:rPr>
            </w:pPr>
            <w:r w:rsidRPr="002E6862">
              <w:rPr>
                <w:rFonts w:ascii="Arial" w:hAnsi="Arial" w:cs="Arial"/>
                <w:sz w:val="24"/>
                <w:szCs w:val="24"/>
              </w:rPr>
              <w:t xml:space="preserve">Monies advanced as grants for which conditions have not been satisfied are carried in the Balance Sheet as creditors. When conditions are satisfied, the grant is credited to the relevant service line (attributable revenue grants), or </w:t>
            </w:r>
            <w:r w:rsidRPr="002E6862">
              <w:rPr>
                <w:rFonts w:ascii="Arial" w:hAnsi="Arial" w:cs="Arial"/>
                <w:sz w:val="24"/>
                <w:szCs w:val="24"/>
              </w:rPr>
              <w:lastRenderedPageBreak/>
              <w:t>Taxation and Non Specific Grants Income (non ringfenced revenue grants and all capital grants) in the Comprehensive Income and Expenditure Statement.</w:t>
            </w:r>
          </w:p>
          <w:p w14:paraId="375D8291" w14:textId="77777777" w:rsidR="002E6862" w:rsidRPr="002E6862" w:rsidRDefault="002E6862" w:rsidP="002E6862">
            <w:pPr>
              <w:rPr>
                <w:rFonts w:ascii="Arial" w:hAnsi="Arial" w:cs="Arial"/>
                <w:sz w:val="24"/>
                <w:szCs w:val="24"/>
              </w:rPr>
            </w:pPr>
          </w:p>
          <w:p w14:paraId="1966C00E" w14:textId="77777777" w:rsidR="002E6862" w:rsidRPr="002E6862" w:rsidRDefault="002E6862" w:rsidP="002E6862">
            <w:pPr>
              <w:rPr>
                <w:rFonts w:ascii="Arial" w:hAnsi="Arial" w:cs="Arial"/>
                <w:sz w:val="24"/>
                <w:szCs w:val="24"/>
              </w:rPr>
            </w:pPr>
            <w:r w:rsidRPr="002E6862">
              <w:rPr>
                <w:rFonts w:ascii="Arial" w:hAnsi="Arial" w:cs="Arial"/>
                <w:sz w:val="24"/>
                <w:szCs w:val="24"/>
              </w:rPr>
              <w:t>Where revenue grants and contributions have been recognised as income in the Comprehensive Income and Expenditure Statement, but the expenditure to be financed from that grant or contribution has not been incurred at the Balance Sheet date, the grant recognised as income is transferred to an earmarked reserve. This transfer is recognised in the Movement in Reserves Statement.</w:t>
            </w:r>
          </w:p>
          <w:p w14:paraId="15E2A896" w14:textId="77777777" w:rsidR="002E6862" w:rsidRPr="002E6862" w:rsidRDefault="002E6862" w:rsidP="002E6862">
            <w:pPr>
              <w:rPr>
                <w:rFonts w:ascii="Arial" w:hAnsi="Arial" w:cs="Arial"/>
                <w:sz w:val="24"/>
                <w:szCs w:val="24"/>
              </w:rPr>
            </w:pPr>
          </w:p>
          <w:p w14:paraId="336A519E" w14:textId="77777777" w:rsidR="002E6862" w:rsidRPr="002E6862" w:rsidRDefault="002E6862" w:rsidP="002E6862">
            <w:pPr>
              <w:rPr>
                <w:rFonts w:ascii="Arial" w:hAnsi="Arial" w:cs="Arial"/>
                <w:sz w:val="24"/>
                <w:szCs w:val="24"/>
              </w:rPr>
            </w:pPr>
            <w:r w:rsidRPr="002E6862">
              <w:rPr>
                <w:rFonts w:ascii="Arial" w:hAnsi="Arial" w:cs="Arial"/>
                <w:sz w:val="24"/>
                <w:szCs w:val="24"/>
              </w:rPr>
              <w:t>Where capital grants are credited to the Comprehensive Income and Expenditure Statement, they are reversed out of the General Fund Balance in the Movement in Reserves Statement. Where the grant has yet to be used to finance capital expenditure, it is posted to the Capital Grants Unapplied Reserve. Where it has been applied, it is posted to the Capital Adjustments Account. Amounts in the Capital Grants Unapplied Reserve are transferred to the Capital Adjustment Account once they have been applied to fund capital expenditure.</w:t>
            </w:r>
          </w:p>
          <w:p w14:paraId="10C9ED0C" w14:textId="77777777" w:rsidR="002E6862" w:rsidRPr="002E6862" w:rsidRDefault="002E6862" w:rsidP="002E6862">
            <w:pPr>
              <w:rPr>
                <w:rFonts w:ascii="Arial" w:hAnsi="Arial" w:cs="Arial"/>
                <w:sz w:val="24"/>
                <w:szCs w:val="24"/>
              </w:rPr>
            </w:pPr>
          </w:p>
        </w:tc>
      </w:tr>
      <w:tr w:rsidR="002E6862" w:rsidRPr="002E6862" w14:paraId="0FCCC676" w14:textId="77777777" w:rsidTr="00F67A92">
        <w:tc>
          <w:tcPr>
            <w:tcW w:w="493" w:type="dxa"/>
          </w:tcPr>
          <w:p w14:paraId="2DD1A444" w14:textId="77777777" w:rsidR="002E6862" w:rsidRPr="002E6862" w:rsidRDefault="002E6862" w:rsidP="002E6862">
            <w:pPr>
              <w:rPr>
                <w:rFonts w:ascii="Arial" w:hAnsi="Arial" w:cs="Arial"/>
                <w:b/>
                <w:sz w:val="24"/>
                <w:szCs w:val="24"/>
              </w:rPr>
            </w:pPr>
            <w:r w:rsidRPr="002E6862">
              <w:rPr>
                <w:rFonts w:ascii="Arial" w:hAnsi="Arial" w:cs="Arial"/>
                <w:b/>
                <w:sz w:val="24"/>
                <w:szCs w:val="24"/>
              </w:rPr>
              <w:lastRenderedPageBreak/>
              <w:t>14</w:t>
            </w:r>
          </w:p>
        </w:tc>
        <w:tc>
          <w:tcPr>
            <w:tcW w:w="8497" w:type="dxa"/>
          </w:tcPr>
          <w:p w14:paraId="5E979553" w14:textId="77777777" w:rsidR="002E6862" w:rsidRPr="002E6862" w:rsidRDefault="002E6862" w:rsidP="002E6862">
            <w:pPr>
              <w:rPr>
                <w:rFonts w:ascii="Arial" w:hAnsi="Arial" w:cs="Arial"/>
                <w:b/>
                <w:sz w:val="24"/>
                <w:szCs w:val="24"/>
              </w:rPr>
            </w:pPr>
            <w:r w:rsidRPr="002E6862">
              <w:rPr>
                <w:rFonts w:ascii="Arial" w:hAnsi="Arial" w:cs="Arial"/>
                <w:b/>
                <w:sz w:val="24"/>
                <w:szCs w:val="24"/>
              </w:rPr>
              <w:t>Events after the Reporting Period</w:t>
            </w:r>
          </w:p>
          <w:p w14:paraId="78487C12" w14:textId="77777777" w:rsidR="002E6862" w:rsidRPr="002E6862" w:rsidRDefault="002E6862" w:rsidP="002E6862">
            <w:pPr>
              <w:rPr>
                <w:rFonts w:ascii="Arial" w:hAnsi="Arial" w:cs="Arial"/>
                <w:bCs/>
                <w:sz w:val="24"/>
                <w:szCs w:val="24"/>
              </w:rPr>
            </w:pPr>
            <w:r w:rsidRPr="002E6862">
              <w:rPr>
                <w:rFonts w:ascii="Arial" w:hAnsi="Arial" w:cs="Arial"/>
                <w:bCs/>
                <w:sz w:val="24"/>
                <w:szCs w:val="24"/>
              </w:rPr>
              <w:t xml:space="preserve">Events may occur between the financial year end and the date that the Statement of Accounts is authorised for issue. Any such events that existed on the balance sheet date that have a financial impact on the financial statements would be adjusted. Those that did not exist at the balance sheet date may require disclosure in the financial statements. </w:t>
            </w:r>
          </w:p>
        </w:tc>
      </w:tr>
    </w:tbl>
    <w:p w14:paraId="3DE66386" w14:textId="77777777" w:rsidR="002E6862" w:rsidRPr="002E6862" w:rsidRDefault="002E6862" w:rsidP="002E6862">
      <w:pPr>
        <w:rPr>
          <w:b/>
        </w:rPr>
      </w:pPr>
    </w:p>
    <w:p w14:paraId="6986FC7F" w14:textId="263361EA" w:rsidR="004E205A" w:rsidRPr="000D756E" w:rsidRDefault="004E205A" w:rsidP="002A7C01"/>
    <w:p w14:paraId="68B1E5BF" w14:textId="77777777" w:rsidR="00864015" w:rsidRPr="000D756E" w:rsidRDefault="00864015" w:rsidP="00864015">
      <w:pPr>
        <w:rPr>
          <w:b/>
        </w:rPr>
      </w:pPr>
    </w:p>
    <w:p w14:paraId="0BC7AFEC" w14:textId="77777777" w:rsidR="00864015" w:rsidRPr="000D756E" w:rsidRDefault="00864015" w:rsidP="00864015">
      <w:pPr>
        <w:spacing w:after="160" w:line="259" w:lineRule="auto"/>
        <w:rPr>
          <w:rFonts w:asciiTheme="minorHAnsi" w:eastAsiaTheme="minorHAnsi" w:hAnsiTheme="minorHAnsi" w:cstheme="minorBidi"/>
          <w:sz w:val="22"/>
          <w:szCs w:val="22"/>
        </w:rPr>
      </w:pPr>
    </w:p>
    <w:p w14:paraId="74FD69C8" w14:textId="77777777" w:rsidR="001A0329" w:rsidRPr="000D756E" w:rsidRDefault="001A0329" w:rsidP="001A0329">
      <w:pPr>
        <w:rPr>
          <w:b/>
        </w:rPr>
      </w:pPr>
    </w:p>
    <w:p w14:paraId="38D01C49" w14:textId="77777777" w:rsidR="001A0329" w:rsidRPr="000D756E" w:rsidRDefault="001A0329" w:rsidP="001A0329">
      <w:pPr>
        <w:spacing w:after="160" w:line="259" w:lineRule="auto"/>
        <w:rPr>
          <w:rFonts w:asciiTheme="minorHAnsi" w:eastAsiaTheme="minorHAnsi" w:hAnsiTheme="minorHAnsi" w:cstheme="minorBidi"/>
          <w:sz w:val="22"/>
          <w:szCs w:val="22"/>
        </w:rPr>
      </w:pPr>
    </w:p>
    <w:p w14:paraId="7A917E62" w14:textId="77777777" w:rsidR="004E205A" w:rsidRPr="000D756E" w:rsidRDefault="004E205A" w:rsidP="002A7C01">
      <w:pPr>
        <w:rPr>
          <w:rFonts w:ascii="Arial" w:hAnsi="Arial" w:cs="Arial"/>
          <w:b/>
          <w:sz w:val="24"/>
          <w:szCs w:val="24"/>
        </w:rPr>
        <w:sectPr w:rsidR="004E205A" w:rsidRPr="000D756E" w:rsidSect="00540FFA">
          <w:headerReference w:type="default" r:id="rId30"/>
          <w:pgSz w:w="11909" w:h="16834" w:code="9"/>
          <w:pgMar w:top="1440" w:right="1440" w:bottom="1440" w:left="1440" w:header="720" w:footer="720" w:gutter="0"/>
          <w:cols w:space="720"/>
        </w:sectPr>
      </w:pPr>
    </w:p>
    <w:tbl>
      <w:tblPr>
        <w:tblW w:w="11199" w:type="dxa"/>
        <w:tblInd w:w="-885" w:type="dxa"/>
        <w:tblLayout w:type="fixed"/>
        <w:tblLook w:val="0000" w:firstRow="0" w:lastRow="0" w:firstColumn="0" w:lastColumn="0" w:noHBand="0" w:noVBand="0"/>
      </w:tblPr>
      <w:tblGrid>
        <w:gridCol w:w="1277"/>
        <w:gridCol w:w="850"/>
        <w:gridCol w:w="1418"/>
        <w:gridCol w:w="4252"/>
        <w:gridCol w:w="1276"/>
        <w:gridCol w:w="851"/>
        <w:gridCol w:w="1275"/>
      </w:tblGrid>
      <w:tr w:rsidR="006329E6" w:rsidRPr="000D756E" w14:paraId="79A51F00" w14:textId="77777777" w:rsidTr="00CE25FF">
        <w:trPr>
          <w:trHeight w:val="404"/>
        </w:trPr>
        <w:tc>
          <w:tcPr>
            <w:tcW w:w="3545" w:type="dxa"/>
            <w:gridSpan w:val="3"/>
            <w:tcBorders>
              <w:top w:val="single" w:sz="4" w:space="0" w:color="auto"/>
              <w:left w:val="single" w:sz="4" w:space="0" w:color="auto"/>
              <w:bottom w:val="single" w:sz="4" w:space="0" w:color="auto"/>
              <w:right w:val="single" w:sz="4" w:space="0" w:color="auto"/>
            </w:tcBorders>
            <w:vAlign w:val="center"/>
          </w:tcPr>
          <w:p w14:paraId="08492DC3" w14:textId="28D0D1A5" w:rsidR="005917DB" w:rsidRPr="000D756E" w:rsidRDefault="005917DB" w:rsidP="005917DB">
            <w:pPr>
              <w:jc w:val="center"/>
              <w:rPr>
                <w:rFonts w:ascii="Arial" w:hAnsi="Arial" w:cs="Arial"/>
                <w:b/>
              </w:rPr>
            </w:pPr>
            <w:r w:rsidRPr="000D756E">
              <w:rPr>
                <w:rFonts w:ascii="Arial" w:hAnsi="Arial" w:cs="Arial"/>
                <w:b/>
              </w:rPr>
              <w:lastRenderedPageBreak/>
              <w:t>202</w:t>
            </w:r>
            <w:r w:rsidR="00C17633">
              <w:rPr>
                <w:rFonts w:ascii="Arial" w:hAnsi="Arial" w:cs="Arial"/>
                <w:b/>
              </w:rPr>
              <w:t>3/24</w:t>
            </w:r>
          </w:p>
        </w:tc>
        <w:tc>
          <w:tcPr>
            <w:tcW w:w="4252" w:type="dxa"/>
            <w:tcBorders>
              <w:top w:val="single" w:sz="4" w:space="0" w:color="auto"/>
              <w:left w:val="single" w:sz="4" w:space="0" w:color="auto"/>
              <w:bottom w:val="single" w:sz="4" w:space="0" w:color="auto"/>
              <w:right w:val="single" w:sz="4" w:space="0" w:color="auto"/>
            </w:tcBorders>
            <w:vAlign w:val="center"/>
          </w:tcPr>
          <w:p w14:paraId="7A6D557F" w14:textId="482826A8" w:rsidR="005917DB" w:rsidRPr="000D756E" w:rsidRDefault="005917DB" w:rsidP="005917DB">
            <w:pPr>
              <w:rPr>
                <w:rFonts w:ascii="Arial" w:hAnsi="Arial" w:cs="Arial"/>
                <w:b/>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4F75EA2A" w14:textId="55C3B927" w:rsidR="005917DB" w:rsidRPr="000D756E" w:rsidRDefault="005917DB" w:rsidP="005917DB">
            <w:pPr>
              <w:jc w:val="center"/>
              <w:rPr>
                <w:rFonts w:ascii="Arial" w:hAnsi="Arial" w:cs="Arial"/>
                <w:b/>
              </w:rPr>
            </w:pPr>
            <w:r w:rsidRPr="000D756E">
              <w:rPr>
                <w:rFonts w:ascii="Arial" w:hAnsi="Arial" w:cs="Arial"/>
                <w:b/>
              </w:rPr>
              <w:t>202</w:t>
            </w:r>
            <w:r w:rsidR="00C17633">
              <w:rPr>
                <w:rFonts w:ascii="Arial" w:hAnsi="Arial" w:cs="Arial"/>
                <w:b/>
              </w:rPr>
              <w:t>4/25</w:t>
            </w:r>
          </w:p>
        </w:tc>
      </w:tr>
      <w:tr w:rsidR="00AF06C3" w:rsidRPr="000D756E" w14:paraId="6799C96A" w14:textId="77777777" w:rsidTr="00884152">
        <w:trPr>
          <w:cantSplit/>
          <w:trHeight w:val="888"/>
        </w:trPr>
        <w:tc>
          <w:tcPr>
            <w:tcW w:w="1277" w:type="dxa"/>
            <w:tcBorders>
              <w:top w:val="single" w:sz="4" w:space="0" w:color="auto"/>
              <w:left w:val="single" w:sz="4" w:space="0" w:color="auto"/>
              <w:bottom w:val="single" w:sz="4" w:space="0" w:color="auto"/>
              <w:right w:val="single" w:sz="4" w:space="0" w:color="auto"/>
            </w:tcBorders>
          </w:tcPr>
          <w:p w14:paraId="1A585EE8" w14:textId="77777777" w:rsidR="005917DB" w:rsidRPr="000D756E" w:rsidRDefault="005917DB" w:rsidP="005917DB">
            <w:pPr>
              <w:jc w:val="right"/>
              <w:rPr>
                <w:rFonts w:ascii="Arial" w:hAnsi="Arial" w:cs="Arial"/>
                <w:b/>
                <w:sz w:val="18"/>
                <w:szCs w:val="18"/>
              </w:rPr>
            </w:pPr>
          </w:p>
          <w:p w14:paraId="69500875" w14:textId="4B3DBC8D" w:rsidR="005917DB" w:rsidRPr="000D756E" w:rsidRDefault="005917DB" w:rsidP="005917DB">
            <w:pPr>
              <w:jc w:val="right"/>
              <w:rPr>
                <w:rFonts w:ascii="Arial" w:hAnsi="Arial" w:cs="Arial"/>
                <w:b/>
                <w:sz w:val="18"/>
                <w:szCs w:val="18"/>
              </w:rPr>
            </w:pPr>
            <w:r w:rsidRPr="000D756E">
              <w:rPr>
                <w:rFonts w:ascii="Arial" w:hAnsi="Arial" w:cs="Arial"/>
                <w:b/>
                <w:sz w:val="18"/>
                <w:szCs w:val="18"/>
              </w:rPr>
              <w:t xml:space="preserve">Gross </w:t>
            </w:r>
            <w:r w:rsidRPr="000D756E">
              <w:rPr>
                <w:rFonts w:ascii="Arial" w:hAnsi="Arial" w:cs="Arial"/>
                <w:b/>
                <w:sz w:val="16"/>
                <w:szCs w:val="16"/>
              </w:rPr>
              <w:t>Expenditure</w:t>
            </w:r>
          </w:p>
        </w:tc>
        <w:tc>
          <w:tcPr>
            <w:tcW w:w="850" w:type="dxa"/>
            <w:tcBorders>
              <w:top w:val="single" w:sz="4" w:space="0" w:color="auto"/>
              <w:left w:val="single" w:sz="4" w:space="0" w:color="auto"/>
              <w:bottom w:val="single" w:sz="4" w:space="0" w:color="auto"/>
              <w:right w:val="single" w:sz="4" w:space="0" w:color="auto"/>
            </w:tcBorders>
          </w:tcPr>
          <w:p w14:paraId="513BA788" w14:textId="77777777" w:rsidR="005917DB" w:rsidRPr="000D756E" w:rsidRDefault="005917DB" w:rsidP="005917DB">
            <w:pPr>
              <w:jc w:val="right"/>
              <w:rPr>
                <w:rFonts w:ascii="Arial" w:hAnsi="Arial" w:cs="Arial"/>
                <w:b/>
                <w:sz w:val="18"/>
                <w:szCs w:val="18"/>
              </w:rPr>
            </w:pPr>
          </w:p>
          <w:p w14:paraId="3B36410A" w14:textId="50695C70" w:rsidR="005917DB" w:rsidRPr="000D756E" w:rsidRDefault="005917DB" w:rsidP="005917DB">
            <w:pPr>
              <w:jc w:val="right"/>
              <w:rPr>
                <w:rFonts w:ascii="Arial" w:hAnsi="Arial" w:cs="Arial"/>
                <w:b/>
                <w:sz w:val="18"/>
                <w:szCs w:val="18"/>
              </w:rPr>
            </w:pPr>
            <w:r w:rsidRPr="000D756E">
              <w:rPr>
                <w:rFonts w:ascii="Arial" w:hAnsi="Arial" w:cs="Arial"/>
                <w:b/>
                <w:sz w:val="18"/>
                <w:szCs w:val="18"/>
              </w:rPr>
              <w:t xml:space="preserve">Gross </w:t>
            </w:r>
            <w:r w:rsidR="00BF3B3F" w:rsidRPr="000D756E">
              <w:rPr>
                <w:rFonts w:ascii="Arial" w:hAnsi="Arial" w:cs="Arial"/>
                <w:b/>
                <w:sz w:val="16"/>
                <w:szCs w:val="16"/>
              </w:rPr>
              <w:t>Income</w:t>
            </w:r>
          </w:p>
        </w:tc>
        <w:tc>
          <w:tcPr>
            <w:tcW w:w="1418" w:type="dxa"/>
            <w:tcBorders>
              <w:top w:val="single" w:sz="4" w:space="0" w:color="auto"/>
              <w:left w:val="single" w:sz="4" w:space="0" w:color="auto"/>
              <w:bottom w:val="single" w:sz="4" w:space="0" w:color="auto"/>
              <w:right w:val="single" w:sz="4" w:space="0" w:color="auto"/>
            </w:tcBorders>
          </w:tcPr>
          <w:p w14:paraId="21A74664" w14:textId="77777777" w:rsidR="005917DB" w:rsidRPr="000D756E" w:rsidRDefault="005917DB" w:rsidP="005917DB">
            <w:pPr>
              <w:jc w:val="right"/>
              <w:rPr>
                <w:rFonts w:ascii="Arial" w:hAnsi="Arial" w:cs="Arial"/>
                <w:b/>
                <w:sz w:val="18"/>
                <w:szCs w:val="18"/>
              </w:rPr>
            </w:pPr>
          </w:p>
          <w:p w14:paraId="1935C7BF" w14:textId="6EB0C8A2" w:rsidR="005917DB" w:rsidRPr="000D756E" w:rsidRDefault="00BF3B3F" w:rsidP="005917DB">
            <w:pPr>
              <w:jc w:val="right"/>
              <w:rPr>
                <w:rFonts w:ascii="Arial" w:hAnsi="Arial" w:cs="Arial"/>
                <w:b/>
                <w:sz w:val="18"/>
                <w:szCs w:val="18"/>
              </w:rPr>
            </w:pPr>
            <w:r w:rsidRPr="000D756E">
              <w:rPr>
                <w:rFonts w:ascii="Arial" w:hAnsi="Arial" w:cs="Arial"/>
                <w:b/>
                <w:sz w:val="18"/>
                <w:szCs w:val="18"/>
              </w:rPr>
              <w:t>Net</w:t>
            </w:r>
            <w:r w:rsidR="005917DB" w:rsidRPr="000D756E">
              <w:rPr>
                <w:rFonts w:ascii="Arial" w:hAnsi="Arial" w:cs="Arial"/>
                <w:b/>
                <w:sz w:val="18"/>
                <w:szCs w:val="18"/>
              </w:rPr>
              <w:t xml:space="preserve"> </w:t>
            </w:r>
            <w:r w:rsidR="005917DB" w:rsidRPr="000D756E">
              <w:rPr>
                <w:rFonts w:ascii="Arial" w:hAnsi="Arial" w:cs="Arial"/>
                <w:b/>
                <w:sz w:val="16"/>
                <w:szCs w:val="16"/>
              </w:rPr>
              <w:t>Expenditure</w:t>
            </w:r>
          </w:p>
        </w:tc>
        <w:tc>
          <w:tcPr>
            <w:tcW w:w="4252" w:type="dxa"/>
            <w:tcBorders>
              <w:left w:val="single" w:sz="4" w:space="0" w:color="auto"/>
              <w:right w:val="single" w:sz="4" w:space="0" w:color="auto"/>
            </w:tcBorders>
          </w:tcPr>
          <w:p w14:paraId="1843EB17" w14:textId="77777777" w:rsidR="005917DB" w:rsidRPr="000D756E" w:rsidRDefault="005917DB" w:rsidP="005917DB">
            <w:pPr>
              <w:rPr>
                <w:rFonts w:ascii="Arial" w:hAnsi="Arial" w:cs="Arial"/>
                <w:sz w:val="24"/>
                <w:szCs w:val="24"/>
              </w:rPr>
            </w:pPr>
          </w:p>
          <w:p w14:paraId="3F3CAB93" w14:textId="77777777" w:rsidR="00F92C50" w:rsidRPr="000D756E" w:rsidRDefault="00F92C50" w:rsidP="005917DB">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58F014B" w14:textId="77777777" w:rsidR="005917DB" w:rsidRPr="000D756E" w:rsidRDefault="005917DB" w:rsidP="005917DB">
            <w:pPr>
              <w:jc w:val="right"/>
              <w:rPr>
                <w:rFonts w:ascii="Arial" w:hAnsi="Arial" w:cs="Arial"/>
                <w:b/>
                <w:sz w:val="18"/>
                <w:szCs w:val="18"/>
              </w:rPr>
            </w:pPr>
          </w:p>
          <w:p w14:paraId="2A315A63" w14:textId="77777777" w:rsidR="005917DB" w:rsidRPr="000D756E" w:rsidRDefault="005917DB" w:rsidP="005917DB">
            <w:pPr>
              <w:jc w:val="right"/>
              <w:rPr>
                <w:rFonts w:ascii="Arial" w:hAnsi="Arial" w:cs="Arial"/>
                <w:b/>
                <w:sz w:val="18"/>
                <w:szCs w:val="18"/>
              </w:rPr>
            </w:pPr>
            <w:r w:rsidRPr="000D756E">
              <w:rPr>
                <w:rFonts w:ascii="Arial" w:hAnsi="Arial" w:cs="Arial"/>
                <w:b/>
                <w:sz w:val="18"/>
                <w:szCs w:val="18"/>
              </w:rPr>
              <w:t xml:space="preserve">Gross </w:t>
            </w:r>
            <w:r w:rsidRPr="000D756E">
              <w:rPr>
                <w:rFonts w:ascii="Arial" w:hAnsi="Arial" w:cs="Arial"/>
                <w:b/>
                <w:sz w:val="16"/>
                <w:szCs w:val="16"/>
              </w:rPr>
              <w:t>Expenditure</w:t>
            </w:r>
          </w:p>
        </w:tc>
        <w:tc>
          <w:tcPr>
            <w:tcW w:w="851" w:type="dxa"/>
            <w:tcBorders>
              <w:top w:val="single" w:sz="4" w:space="0" w:color="auto"/>
              <w:left w:val="single" w:sz="4" w:space="0" w:color="auto"/>
              <w:bottom w:val="single" w:sz="4" w:space="0" w:color="auto"/>
              <w:right w:val="single" w:sz="4" w:space="0" w:color="auto"/>
            </w:tcBorders>
          </w:tcPr>
          <w:p w14:paraId="42654E06" w14:textId="77777777" w:rsidR="005917DB" w:rsidRPr="000D756E" w:rsidRDefault="005917DB" w:rsidP="005917DB">
            <w:pPr>
              <w:jc w:val="right"/>
              <w:rPr>
                <w:rFonts w:ascii="Arial" w:hAnsi="Arial" w:cs="Arial"/>
                <w:b/>
                <w:sz w:val="18"/>
                <w:szCs w:val="18"/>
              </w:rPr>
            </w:pPr>
          </w:p>
          <w:p w14:paraId="436F0FA6" w14:textId="77777777" w:rsidR="005917DB" w:rsidRPr="000D756E" w:rsidRDefault="005917DB" w:rsidP="005917DB">
            <w:pPr>
              <w:jc w:val="right"/>
              <w:rPr>
                <w:rFonts w:ascii="Arial" w:hAnsi="Arial" w:cs="Arial"/>
                <w:b/>
                <w:sz w:val="18"/>
                <w:szCs w:val="18"/>
              </w:rPr>
            </w:pPr>
            <w:r w:rsidRPr="000D756E">
              <w:rPr>
                <w:rFonts w:ascii="Arial" w:hAnsi="Arial" w:cs="Arial"/>
                <w:b/>
                <w:sz w:val="18"/>
                <w:szCs w:val="18"/>
              </w:rPr>
              <w:t>Gross Income</w:t>
            </w:r>
          </w:p>
        </w:tc>
        <w:tc>
          <w:tcPr>
            <w:tcW w:w="1275" w:type="dxa"/>
            <w:tcBorders>
              <w:top w:val="single" w:sz="4" w:space="0" w:color="auto"/>
              <w:left w:val="single" w:sz="4" w:space="0" w:color="auto"/>
              <w:bottom w:val="single" w:sz="4" w:space="0" w:color="auto"/>
              <w:right w:val="single" w:sz="4" w:space="0" w:color="auto"/>
            </w:tcBorders>
          </w:tcPr>
          <w:p w14:paraId="16B83A7C" w14:textId="77777777" w:rsidR="005917DB" w:rsidRPr="000D756E" w:rsidRDefault="005917DB" w:rsidP="005917DB">
            <w:pPr>
              <w:jc w:val="right"/>
              <w:rPr>
                <w:rFonts w:ascii="Arial" w:hAnsi="Arial" w:cs="Arial"/>
                <w:b/>
                <w:sz w:val="18"/>
                <w:szCs w:val="18"/>
              </w:rPr>
            </w:pPr>
          </w:p>
          <w:p w14:paraId="34A85F18" w14:textId="77777777" w:rsidR="005917DB" w:rsidRPr="000D756E" w:rsidRDefault="005917DB" w:rsidP="005917DB">
            <w:pPr>
              <w:jc w:val="right"/>
              <w:rPr>
                <w:rFonts w:ascii="Arial" w:hAnsi="Arial" w:cs="Arial"/>
                <w:b/>
                <w:sz w:val="18"/>
                <w:szCs w:val="18"/>
              </w:rPr>
            </w:pPr>
            <w:r w:rsidRPr="000D756E">
              <w:rPr>
                <w:rFonts w:ascii="Arial" w:hAnsi="Arial" w:cs="Arial"/>
                <w:b/>
                <w:sz w:val="18"/>
                <w:szCs w:val="18"/>
              </w:rPr>
              <w:t xml:space="preserve">Net </w:t>
            </w:r>
          </w:p>
          <w:p w14:paraId="3A54F077" w14:textId="77777777" w:rsidR="005917DB" w:rsidRPr="000D756E" w:rsidRDefault="005917DB" w:rsidP="005917DB">
            <w:pPr>
              <w:jc w:val="right"/>
              <w:rPr>
                <w:rFonts w:ascii="Arial" w:hAnsi="Arial" w:cs="Arial"/>
                <w:b/>
                <w:sz w:val="18"/>
                <w:szCs w:val="18"/>
              </w:rPr>
            </w:pPr>
            <w:r w:rsidRPr="000D756E">
              <w:rPr>
                <w:rFonts w:ascii="Arial" w:hAnsi="Arial" w:cs="Arial"/>
                <w:b/>
                <w:sz w:val="18"/>
                <w:szCs w:val="18"/>
              </w:rPr>
              <w:t>Expenditure</w:t>
            </w:r>
          </w:p>
        </w:tc>
      </w:tr>
      <w:tr w:rsidR="000D6639" w:rsidRPr="000D756E" w14:paraId="2469D32D" w14:textId="77777777" w:rsidTr="00884152">
        <w:trPr>
          <w:trHeight w:val="406"/>
        </w:trPr>
        <w:tc>
          <w:tcPr>
            <w:tcW w:w="1277" w:type="dxa"/>
            <w:tcBorders>
              <w:top w:val="single" w:sz="4" w:space="0" w:color="auto"/>
              <w:left w:val="single" w:sz="4" w:space="0" w:color="auto"/>
              <w:bottom w:val="single" w:sz="4" w:space="0" w:color="auto"/>
              <w:right w:val="single" w:sz="4" w:space="0" w:color="auto"/>
            </w:tcBorders>
            <w:vAlign w:val="center"/>
          </w:tcPr>
          <w:p w14:paraId="11D0CC97" w14:textId="6F77A541" w:rsidR="005917DB" w:rsidRPr="000D756E" w:rsidRDefault="005917DB" w:rsidP="005917DB">
            <w:pPr>
              <w:ind w:left="-108"/>
              <w:jc w:val="right"/>
              <w:rPr>
                <w:rFonts w:ascii="Arial" w:hAnsi="Arial" w:cs="Arial"/>
                <w:b/>
              </w:rPr>
            </w:pPr>
            <w:r w:rsidRPr="000D756E">
              <w:rPr>
                <w:rFonts w:ascii="Arial" w:hAnsi="Arial" w:cs="Arial"/>
                <w:b/>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245719C" w14:textId="371412BF" w:rsidR="005917DB" w:rsidRPr="000D756E" w:rsidRDefault="005917DB" w:rsidP="005917DB">
            <w:pPr>
              <w:jc w:val="right"/>
              <w:rPr>
                <w:rFonts w:ascii="Arial" w:hAnsi="Arial" w:cs="Arial"/>
                <w:b/>
              </w:rPr>
            </w:pPr>
            <w:r w:rsidRPr="000D756E">
              <w:rPr>
                <w:rFonts w:ascii="Arial" w:hAnsi="Arial" w:cs="Arial"/>
                <w:b/>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D241C5B" w14:textId="73F2A8FB" w:rsidR="005917DB" w:rsidRPr="000D756E" w:rsidRDefault="005917DB" w:rsidP="005917DB">
            <w:pPr>
              <w:jc w:val="right"/>
              <w:rPr>
                <w:rFonts w:ascii="Arial" w:hAnsi="Arial" w:cs="Arial"/>
                <w:b/>
              </w:rPr>
            </w:pPr>
            <w:r w:rsidRPr="000D756E">
              <w:rPr>
                <w:rFonts w:ascii="Arial" w:hAnsi="Arial" w:cs="Arial"/>
                <w:b/>
              </w:rPr>
              <w:t>£’000</w:t>
            </w:r>
          </w:p>
        </w:tc>
        <w:tc>
          <w:tcPr>
            <w:tcW w:w="4252" w:type="dxa"/>
            <w:tcBorders>
              <w:left w:val="single" w:sz="4" w:space="0" w:color="auto"/>
              <w:bottom w:val="single" w:sz="4" w:space="0" w:color="auto"/>
              <w:right w:val="single" w:sz="4" w:space="0" w:color="auto"/>
            </w:tcBorders>
            <w:vAlign w:val="center"/>
          </w:tcPr>
          <w:p w14:paraId="3D6088C1" w14:textId="77777777" w:rsidR="005917DB" w:rsidRPr="000D756E" w:rsidRDefault="005917DB" w:rsidP="005917DB">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3B6B28B5" w14:textId="77777777" w:rsidR="005917DB" w:rsidRPr="000D756E" w:rsidRDefault="005917DB" w:rsidP="005917DB">
            <w:pPr>
              <w:jc w:val="right"/>
              <w:rPr>
                <w:rFonts w:ascii="Arial" w:hAnsi="Arial" w:cs="Arial"/>
                <w:b/>
              </w:rPr>
            </w:pPr>
            <w:r w:rsidRPr="000D756E">
              <w:rPr>
                <w:rFonts w:ascii="Arial" w:hAnsi="Arial" w:cs="Arial"/>
                <w:b/>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05845E" w14:textId="77777777" w:rsidR="005917DB" w:rsidRPr="000D756E" w:rsidRDefault="005917DB" w:rsidP="005917DB">
            <w:pPr>
              <w:jc w:val="right"/>
              <w:rPr>
                <w:rFonts w:ascii="Arial" w:hAnsi="Arial" w:cs="Arial"/>
                <w:b/>
              </w:rPr>
            </w:pPr>
            <w:r w:rsidRPr="000D756E">
              <w:rPr>
                <w:rFonts w:ascii="Arial" w:hAnsi="Arial" w:cs="Arial"/>
                <w:b/>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03B3D11C" w14:textId="77777777" w:rsidR="005917DB" w:rsidRPr="000D756E" w:rsidRDefault="005917DB" w:rsidP="005917DB">
            <w:pPr>
              <w:jc w:val="right"/>
              <w:rPr>
                <w:rFonts w:ascii="Arial" w:hAnsi="Arial" w:cs="Arial"/>
                <w:b/>
              </w:rPr>
            </w:pPr>
            <w:r w:rsidRPr="000D756E">
              <w:rPr>
                <w:rFonts w:ascii="Arial" w:hAnsi="Arial" w:cs="Arial"/>
                <w:b/>
              </w:rPr>
              <w:t>£’000</w:t>
            </w:r>
          </w:p>
        </w:tc>
      </w:tr>
      <w:tr w:rsidR="006329E6" w:rsidRPr="000D756E" w14:paraId="25356EC7" w14:textId="77777777" w:rsidTr="00884152">
        <w:tc>
          <w:tcPr>
            <w:tcW w:w="1277" w:type="dxa"/>
            <w:tcBorders>
              <w:top w:val="single" w:sz="4" w:space="0" w:color="auto"/>
              <w:left w:val="single" w:sz="4" w:space="0" w:color="auto"/>
              <w:right w:val="single" w:sz="4" w:space="0" w:color="auto"/>
            </w:tcBorders>
          </w:tcPr>
          <w:p w14:paraId="0AD71B13" w14:textId="77777777" w:rsidR="005917DB" w:rsidRPr="000D756E" w:rsidRDefault="005917DB" w:rsidP="005917DB">
            <w:pPr>
              <w:jc w:val="right"/>
              <w:rPr>
                <w:rFonts w:ascii="Arial" w:hAnsi="Arial" w:cs="Arial"/>
              </w:rPr>
            </w:pPr>
          </w:p>
        </w:tc>
        <w:tc>
          <w:tcPr>
            <w:tcW w:w="850" w:type="dxa"/>
            <w:tcBorders>
              <w:top w:val="single" w:sz="4" w:space="0" w:color="auto"/>
              <w:left w:val="single" w:sz="4" w:space="0" w:color="auto"/>
              <w:right w:val="single" w:sz="4" w:space="0" w:color="auto"/>
            </w:tcBorders>
          </w:tcPr>
          <w:p w14:paraId="79366471" w14:textId="77777777" w:rsidR="005917DB" w:rsidRPr="000D756E" w:rsidRDefault="005917DB" w:rsidP="005917DB">
            <w:pPr>
              <w:jc w:val="right"/>
              <w:rPr>
                <w:rFonts w:ascii="Arial" w:hAnsi="Arial" w:cs="Arial"/>
              </w:rPr>
            </w:pPr>
          </w:p>
        </w:tc>
        <w:tc>
          <w:tcPr>
            <w:tcW w:w="1418" w:type="dxa"/>
            <w:tcBorders>
              <w:top w:val="single" w:sz="4" w:space="0" w:color="auto"/>
              <w:left w:val="single" w:sz="4" w:space="0" w:color="auto"/>
              <w:right w:val="single" w:sz="4" w:space="0" w:color="auto"/>
            </w:tcBorders>
          </w:tcPr>
          <w:p w14:paraId="36B83A43" w14:textId="77777777" w:rsidR="005917DB" w:rsidRPr="000D756E" w:rsidRDefault="005917DB" w:rsidP="005917DB">
            <w:pPr>
              <w:jc w:val="right"/>
              <w:rPr>
                <w:rFonts w:ascii="Arial" w:hAnsi="Arial" w:cs="Arial"/>
              </w:rPr>
            </w:pPr>
          </w:p>
        </w:tc>
        <w:tc>
          <w:tcPr>
            <w:tcW w:w="4252" w:type="dxa"/>
            <w:tcBorders>
              <w:top w:val="single" w:sz="4" w:space="0" w:color="auto"/>
              <w:left w:val="single" w:sz="4" w:space="0" w:color="auto"/>
              <w:right w:val="single" w:sz="4" w:space="0" w:color="auto"/>
            </w:tcBorders>
          </w:tcPr>
          <w:p w14:paraId="549FF5E1" w14:textId="77777777" w:rsidR="005917DB" w:rsidRPr="000D756E" w:rsidRDefault="005917DB" w:rsidP="005917DB">
            <w:pPr>
              <w:rPr>
                <w:rFonts w:ascii="Arial" w:hAnsi="Arial" w:cs="Arial"/>
                <w:b/>
              </w:rPr>
            </w:pPr>
          </w:p>
        </w:tc>
        <w:tc>
          <w:tcPr>
            <w:tcW w:w="1276" w:type="dxa"/>
            <w:tcBorders>
              <w:top w:val="single" w:sz="4" w:space="0" w:color="auto"/>
              <w:left w:val="single" w:sz="4" w:space="0" w:color="auto"/>
              <w:right w:val="single" w:sz="4" w:space="0" w:color="auto"/>
            </w:tcBorders>
          </w:tcPr>
          <w:p w14:paraId="17A894E7" w14:textId="77777777" w:rsidR="005917DB" w:rsidRPr="000D756E" w:rsidRDefault="005917DB" w:rsidP="006D389B">
            <w:pPr>
              <w:jc w:val="right"/>
              <w:rPr>
                <w:rFonts w:ascii="Arial" w:hAnsi="Arial" w:cs="Arial"/>
              </w:rPr>
            </w:pPr>
          </w:p>
        </w:tc>
        <w:tc>
          <w:tcPr>
            <w:tcW w:w="851" w:type="dxa"/>
            <w:tcBorders>
              <w:top w:val="single" w:sz="4" w:space="0" w:color="auto"/>
              <w:left w:val="single" w:sz="4" w:space="0" w:color="auto"/>
              <w:right w:val="single" w:sz="4" w:space="0" w:color="auto"/>
            </w:tcBorders>
          </w:tcPr>
          <w:p w14:paraId="3965256E" w14:textId="772D9B40" w:rsidR="005917DB" w:rsidRPr="000D756E" w:rsidRDefault="005917DB" w:rsidP="006D389B">
            <w:pPr>
              <w:jc w:val="right"/>
              <w:rPr>
                <w:rFonts w:ascii="Arial" w:hAnsi="Arial" w:cs="Arial"/>
              </w:rPr>
            </w:pPr>
          </w:p>
        </w:tc>
        <w:tc>
          <w:tcPr>
            <w:tcW w:w="1275" w:type="dxa"/>
            <w:tcBorders>
              <w:top w:val="single" w:sz="4" w:space="0" w:color="auto"/>
              <w:left w:val="single" w:sz="4" w:space="0" w:color="auto"/>
              <w:right w:val="single" w:sz="4" w:space="0" w:color="auto"/>
            </w:tcBorders>
          </w:tcPr>
          <w:p w14:paraId="7859B9AF" w14:textId="77777777" w:rsidR="005917DB" w:rsidRPr="000D756E" w:rsidRDefault="005917DB" w:rsidP="006D389B">
            <w:pPr>
              <w:jc w:val="right"/>
              <w:rPr>
                <w:rFonts w:ascii="Arial" w:hAnsi="Arial" w:cs="Arial"/>
              </w:rPr>
            </w:pPr>
          </w:p>
        </w:tc>
      </w:tr>
      <w:tr w:rsidR="00C17633" w:rsidRPr="000D756E" w14:paraId="515C0480" w14:textId="77777777" w:rsidTr="00884152">
        <w:tc>
          <w:tcPr>
            <w:tcW w:w="1277" w:type="dxa"/>
            <w:tcBorders>
              <w:left w:val="single" w:sz="4" w:space="0" w:color="auto"/>
              <w:right w:val="single" w:sz="4" w:space="0" w:color="auto"/>
            </w:tcBorders>
          </w:tcPr>
          <w:p w14:paraId="0DE79A0B" w14:textId="1A49411D" w:rsidR="00C17633" w:rsidRPr="000D756E" w:rsidRDefault="00C17633" w:rsidP="00C17633">
            <w:pPr>
              <w:jc w:val="right"/>
              <w:rPr>
                <w:rFonts w:ascii="Arial" w:hAnsi="Arial" w:cs="Arial"/>
                <w:sz w:val="22"/>
                <w:szCs w:val="22"/>
              </w:rPr>
            </w:pPr>
            <w:r w:rsidRPr="000D756E">
              <w:rPr>
                <w:rFonts w:ascii="Arial" w:hAnsi="Arial" w:cs="Arial"/>
                <w:sz w:val="22"/>
                <w:szCs w:val="22"/>
              </w:rPr>
              <w:t>11,240</w:t>
            </w:r>
          </w:p>
        </w:tc>
        <w:tc>
          <w:tcPr>
            <w:tcW w:w="850" w:type="dxa"/>
            <w:tcBorders>
              <w:left w:val="single" w:sz="4" w:space="0" w:color="auto"/>
              <w:right w:val="single" w:sz="4" w:space="0" w:color="auto"/>
            </w:tcBorders>
          </w:tcPr>
          <w:p w14:paraId="090D51FF" w14:textId="2EC4328F" w:rsidR="00C17633" w:rsidRPr="000D756E" w:rsidRDefault="00C17633" w:rsidP="00C17633">
            <w:pPr>
              <w:jc w:val="right"/>
              <w:rPr>
                <w:rFonts w:ascii="Arial" w:hAnsi="Arial" w:cs="Arial"/>
                <w:sz w:val="22"/>
                <w:szCs w:val="22"/>
              </w:rPr>
            </w:pPr>
            <w:r w:rsidRPr="000D756E">
              <w:rPr>
                <w:rFonts w:ascii="Arial" w:hAnsi="Arial" w:cs="Arial"/>
                <w:sz w:val="22"/>
                <w:szCs w:val="22"/>
              </w:rPr>
              <w:t>-124</w:t>
            </w:r>
          </w:p>
        </w:tc>
        <w:tc>
          <w:tcPr>
            <w:tcW w:w="1418" w:type="dxa"/>
            <w:tcBorders>
              <w:left w:val="single" w:sz="4" w:space="0" w:color="auto"/>
              <w:right w:val="single" w:sz="4" w:space="0" w:color="auto"/>
            </w:tcBorders>
          </w:tcPr>
          <w:p w14:paraId="5F0F4760" w14:textId="680D92DE" w:rsidR="00C17633" w:rsidRPr="000D756E" w:rsidRDefault="00C17633" w:rsidP="00C17633">
            <w:pPr>
              <w:jc w:val="right"/>
              <w:rPr>
                <w:rFonts w:ascii="Arial" w:hAnsi="Arial" w:cs="Arial"/>
                <w:sz w:val="22"/>
                <w:szCs w:val="22"/>
              </w:rPr>
            </w:pPr>
            <w:r w:rsidRPr="000D756E">
              <w:rPr>
                <w:rFonts w:ascii="Arial" w:hAnsi="Arial" w:cs="Arial"/>
                <w:sz w:val="22"/>
                <w:szCs w:val="22"/>
              </w:rPr>
              <w:t>11,116</w:t>
            </w:r>
          </w:p>
        </w:tc>
        <w:tc>
          <w:tcPr>
            <w:tcW w:w="4252" w:type="dxa"/>
            <w:tcBorders>
              <w:left w:val="single" w:sz="4" w:space="0" w:color="auto"/>
              <w:right w:val="single" w:sz="4" w:space="0" w:color="auto"/>
            </w:tcBorders>
          </w:tcPr>
          <w:p w14:paraId="6832205D" w14:textId="77777777" w:rsidR="00C17633" w:rsidRPr="000D756E" w:rsidRDefault="00C17633" w:rsidP="00C17633">
            <w:pPr>
              <w:rPr>
                <w:rFonts w:ascii="Arial" w:hAnsi="Arial" w:cs="Arial"/>
                <w:sz w:val="22"/>
                <w:szCs w:val="22"/>
              </w:rPr>
            </w:pPr>
            <w:r w:rsidRPr="000D756E">
              <w:rPr>
                <w:rFonts w:ascii="Arial" w:hAnsi="Arial" w:cs="Arial"/>
                <w:sz w:val="22"/>
                <w:szCs w:val="22"/>
              </w:rPr>
              <w:t>Executive and Resources</w:t>
            </w:r>
          </w:p>
        </w:tc>
        <w:tc>
          <w:tcPr>
            <w:tcW w:w="1276" w:type="dxa"/>
            <w:tcBorders>
              <w:left w:val="single" w:sz="4" w:space="0" w:color="auto"/>
              <w:right w:val="single" w:sz="4" w:space="0" w:color="auto"/>
            </w:tcBorders>
          </w:tcPr>
          <w:p w14:paraId="66107E9A" w14:textId="052C55C1" w:rsidR="00C17633" w:rsidRPr="000D756E" w:rsidRDefault="005A6048" w:rsidP="00C17633">
            <w:pPr>
              <w:jc w:val="right"/>
              <w:rPr>
                <w:rFonts w:ascii="Arial" w:hAnsi="Arial" w:cs="Arial"/>
                <w:sz w:val="22"/>
                <w:szCs w:val="22"/>
              </w:rPr>
            </w:pPr>
            <w:r>
              <w:rPr>
                <w:rFonts w:ascii="Arial" w:hAnsi="Arial" w:cs="Arial"/>
                <w:sz w:val="22"/>
                <w:szCs w:val="22"/>
              </w:rPr>
              <w:t>8,24</w:t>
            </w:r>
            <w:r w:rsidR="00D36740">
              <w:rPr>
                <w:rFonts w:ascii="Arial" w:hAnsi="Arial" w:cs="Arial"/>
                <w:sz w:val="22"/>
                <w:szCs w:val="22"/>
              </w:rPr>
              <w:t>5</w:t>
            </w:r>
          </w:p>
        </w:tc>
        <w:tc>
          <w:tcPr>
            <w:tcW w:w="851" w:type="dxa"/>
            <w:tcBorders>
              <w:left w:val="single" w:sz="4" w:space="0" w:color="auto"/>
              <w:right w:val="single" w:sz="4" w:space="0" w:color="auto"/>
            </w:tcBorders>
          </w:tcPr>
          <w:p w14:paraId="21D5CC96" w14:textId="040A2550" w:rsidR="00C17633" w:rsidRPr="000D756E" w:rsidRDefault="005A6048" w:rsidP="00C17633">
            <w:pPr>
              <w:jc w:val="right"/>
              <w:rPr>
                <w:rFonts w:ascii="Arial" w:hAnsi="Arial" w:cs="Arial"/>
                <w:sz w:val="22"/>
                <w:szCs w:val="22"/>
              </w:rPr>
            </w:pPr>
            <w:r>
              <w:rPr>
                <w:rFonts w:ascii="Arial" w:hAnsi="Arial" w:cs="Arial"/>
                <w:sz w:val="22"/>
                <w:szCs w:val="22"/>
              </w:rPr>
              <w:t>-86</w:t>
            </w:r>
          </w:p>
        </w:tc>
        <w:tc>
          <w:tcPr>
            <w:tcW w:w="1275" w:type="dxa"/>
            <w:tcBorders>
              <w:left w:val="single" w:sz="4" w:space="0" w:color="auto"/>
              <w:right w:val="single" w:sz="4" w:space="0" w:color="auto"/>
            </w:tcBorders>
          </w:tcPr>
          <w:p w14:paraId="22166CE3" w14:textId="165F2486" w:rsidR="00C17633" w:rsidRPr="000D756E" w:rsidRDefault="00406E4E" w:rsidP="00406E4E">
            <w:pPr>
              <w:jc w:val="right"/>
              <w:rPr>
                <w:rFonts w:ascii="Arial" w:hAnsi="Arial" w:cs="Arial"/>
                <w:sz w:val="22"/>
                <w:szCs w:val="22"/>
              </w:rPr>
            </w:pPr>
            <w:r>
              <w:rPr>
                <w:rFonts w:ascii="Arial" w:hAnsi="Arial" w:cs="Arial"/>
                <w:sz w:val="22"/>
                <w:szCs w:val="22"/>
              </w:rPr>
              <w:t>8,1</w:t>
            </w:r>
            <w:r w:rsidR="005A6048">
              <w:rPr>
                <w:rFonts w:ascii="Arial" w:hAnsi="Arial" w:cs="Arial"/>
                <w:sz w:val="22"/>
                <w:szCs w:val="22"/>
              </w:rPr>
              <w:t>59</w:t>
            </w:r>
          </w:p>
        </w:tc>
      </w:tr>
      <w:tr w:rsidR="00C17633" w:rsidRPr="000D756E" w14:paraId="2C7E66C4" w14:textId="77777777" w:rsidTr="00884152">
        <w:tc>
          <w:tcPr>
            <w:tcW w:w="1277" w:type="dxa"/>
            <w:tcBorders>
              <w:left w:val="single" w:sz="4" w:space="0" w:color="auto"/>
              <w:right w:val="single" w:sz="4" w:space="0" w:color="auto"/>
            </w:tcBorders>
          </w:tcPr>
          <w:p w14:paraId="522579A4" w14:textId="7DCDDB24" w:rsidR="00C17633" w:rsidRPr="000D756E" w:rsidRDefault="00C17633" w:rsidP="00C17633">
            <w:pPr>
              <w:jc w:val="right"/>
              <w:rPr>
                <w:rFonts w:ascii="Arial" w:hAnsi="Arial" w:cs="Arial"/>
                <w:sz w:val="22"/>
                <w:szCs w:val="22"/>
              </w:rPr>
            </w:pPr>
            <w:r w:rsidRPr="000D756E">
              <w:rPr>
                <w:rFonts w:ascii="Arial" w:hAnsi="Arial" w:cs="Arial"/>
                <w:sz w:val="22"/>
                <w:szCs w:val="22"/>
              </w:rPr>
              <w:t>4,245</w:t>
            </w:r>
          </w:p>
        </w:tc>
        <w:tc>
          <w:tcPr>
            <w:tcW w:w="850" w:type="dxa"/>
            <w:tcBorders>
              <w:left w:val="single" w:sz="4" w:space="0" w:color="auto"/>
              <w:right w:val="single" w:sz="4" w:space="0" w:color="auto"/>
            </w:tcBorders>
          </w:tcPr>
          <w:p w14:paraId="02B86BF0" w14:textId="5150C8B2" w:rsidR="00C17633" w:rsidRPr="000D756E" w:rsidRDefault="00C17633" w:rsidP="00C17633">
            <w:pPr>
              <w:jc w:val="right"/>
              <w:rPr>
                <w:rFonts w:ascii="Arial" w:hAnsi="Arial" w:cs="Arial"/>
                <w:sz w:val="22"/>
                <w:szCs w:val="22"/>
              </w:rPr>
            </w:pPr>
            <w:r w:rsidRPr="000D756E">
              <w:rPr>
                <w:rFonts w:ascii="Arial" w:hAnsi="Arial" w:cs="Arial"/>
                <w:sz w:val="22"/>
                <w:szCs w:val="22"/>
              </w:rPr>
              <w:t>-47</w:t>
            </w:r>
          </w:p>
        </w:tc>
        <w:tc>
          <w:tcPr>
            <w:tcW w:w="1418" w:type="dxa"/>
            <w:tcBorders>
              <w:left w:val="single" w:sz="4" w:space="0" w:color="auto"/>
              <w:right w:val="single" w:sz="4" w:space="0" w:color="auto"/>
            </w:tcBorders>
          </w:tcPr>
          <w:p w14:paraId="7811841E" w14:textId="0D2F5D1D" w:rsidR="00C17633" w:rsidRPr="000D756E" w:rsidRDefault="00C17633" w:rsidP="00C17633">
            <w:pPr>
              <w:jc w:val="right"/>
              <w:rPr>
                <w:rFonts w:ascii="Arial" w:hAnsi="Arial" w:cs="Arial"/>
                <w:sz w:val="22"/>
                <w:szCs w:val="22"/>
              </w:rPr>
            </w:pPr>
            <w:r w:rsidRPr="000D756E">
              <w:rPr>
                <w:rFonts w:ascii="Arial" w:hAnsi="Arial" w:cs="Arial"/>
                <w:sz w:val="22"/>
                <w:szCs w:val="22"/>
              </w:rPr>
              <w:t>4,198</w:t>
            </w:r>
          </w:p>
        </w:tc>
        <w:tc>
          <w:tcPr>
            <w:tcW w:w="4252" w:type="dxa"/>
            <w:tcBorders>
              <w:left w:val="single" w:sz="4" w:space="0" w:color="auto"/>
              <w:right w:val="single" w:sz="4" w:space="0" w:color="auto"/>
            </w:tcBorders>
          </w:tcPr>
          <w:p w14:paraId="53065A00" w14:textId="77777777" w:rsidR="00C17633" w:rsidRPr="000D756E" w:rsidRDefault="00C17633" w:rsidP="00C17633">
            <w:pPr>
              <w:rPr>
                <w:rFonts w:ascii="Arial" w:hAnsi="Arial" w:cs="Arial"/>
                <w:sz w:val="22"/>
                <w:szCs w:val="22"/>
              </w:rPr>
            </w:pPr>
            <w:r w:rsidRPr="000D756E">
              <w:rPr>
                <w:rFonts w:ascii="Arial" w:hAnsi="Arial" w:cs="Arial"/>
                <w:sz w:val="22"/>
                <w:szCs w:val="22"/>
              </w:rPr>
              <w:t>Corporate Governance</w:t>
            </w:r>
          </w:p>
        </w:tc>
        <w:tc>
          <w:tcPr>
            <w:tcW w:w="1276" w:type="dxa"/>
            <w:tcBorders>
              <w:left w:val="single" w:sz="4" w:space="0" w:color="auto"/>
              <w:right w:val="single" w:sz="4" w:space="0" w:color="auto"/>
            </w:tcBorders>
          </w:tcPr>
          <w:p w14:paraId="35B7A085" w14:textId="0E7E36DC" w:rsidR="00C17633" w:rsidRPr="000D756E" w:rsidRDefault="005A6048" w:rsidP="00C17633">
            <w:pPr>
              <w:jc w:val="right"/>
              <w:rPr>
                <w:rFonts w:ascii="Arial" w:hAnsi="Arial" w:cs="Arial"/>
                <w:sz w:val="22"/>
                <w:szCs w:val="22"/>
              </w:rPr>
            </w:pPr>
            <w:r>
              <w:rPr>
                <w:rFonts w:ascii="Arial" w:hAnsi="Arial" w:cs="Arial"/>
                <w:sz w:val="22"/>
                <w:szCs w:val="22"/>
              </w:rPr>
              <w:t>4,965</w:t>
            </w:r>
          </w:p>
        </w:tc>
        <w:tc>
          <w:tcPr>
            <w:tcW w:w="851" w:type="dxa"/>
            <w:tcBorders>
              <w:left w:val="single" w:sz="4" w:space="0" w:color="auto"/>
              <w:right w:val="single" w:sz="4" w:space="0" w:color="auto"/>
            </w:tcBorders>
          </w:tcPr>
          <w:p w14:paraId="6095E515" w14:textId="78C1A009" w:rsidR="00C17633" w:rsidRPr="000D756E" w:rsidRDefault="005A6048" w:rsidP="00C17633">
            <w:pPr>
              <w:jc w:val="right"/>
              <w:rPr>
                <w:rFonts w:ascii="Arial" w:hAnsi="Arial" w:cs="Arial"/>
                <w:sz w:val="22"/>
                <w:szCs w:val="22"/>
              </w:rPr>
            </w:pPr>
            <w:r>
              <w:rPr>
                <w:rFonts w:ascii="Arial" w:hAnsi="Arial" w:cs="Arial"/>
                <w:sz w:val="22"/>
                <w:szCs w:val="22"/>
              </w:rPr>
              <w:t>-52</w:t>
            </w:r>
          </w:p>
        </w:tc>
        <w:tc>
          <w:tcPr>
            <w:tcW w:w="1275" w:type="dxa"/>
            <w:tcBorders>
              <w:left w:val="single" w:sz="4" w:space="0" w:color="auto"/>
              <w:right w:val="single" w:sz="4" w:space="0" w:color="auto"/>
            </w:tcBorders>
          </w:tcPr>
          <w:p w14:paraId="71823D81" w14:textId="32013605" w:rsidR="00C17633" w:rsidRPr="000D756E" w:rsidRDefault="00406E4E" w:rsidP="00406E4E">
            <w:pPr>
              <w:jc w:val="right"/>
              <w:rPr>
                <w:rFonts w:ascii="Arial" w:hAnsi="Arial" w:cs="Arial"/>
                <w:sz w:val="22"/>
                <w:szCs w:val="22"/>
              </w:rPr>
            </w:pPr>
            <w:r>
              <w:rPr>
                <w:rFonts w:ascii="Arial" w:hAnsi="Arial" w:cs="Arial"/>
                <w:sz w:val="22"/>
                <w:szCs w:val="22"/>
              </w:rPr>
              <w:t>4,913</w:t>
            </w:r>
          </w:p>
        </w:tc>
      </w:tr>
      <w:tr w:rsidR="00C17633" w:rsidRPr="000D756E" w14:paraId="6E09F9BB" w14:textId="77777777" w:rsidTr="00884152">
        <w:tc>
          <w:tcPr>
            <w:tcW w:w="1277" w:type="dxa"/>
            <w:tcBorders>
              <w:left w:val="single" w:sz="4" w:space="0" w:color="auto"/>
              <w:right w:val="single" w:sz="4" w:space="0" w:color="auto"/>
            </w:tcBorders>
          </w:tcPr>
          <w:p w14:paraId="08392C12" w14:textId="2C360D65" w:rsidR="00C17633" w:rsidRPr="000D756E" w:rsidRDefault="00C17633" w:rsidP="00C17633">
            <w:pPr>
              <w:jc w:val="right"/>
              <w:rPr>
                <w:rFonts w:ascii="Arial" w:hAnsi="Arial" w:cs="Arial"/>
                <w:sz w:val="22"/>
                <w:szCs w:val="22"/>
              </w:rPr>
            </w:pPr>
            <w:r w:rsidRPr="000D756E">
              <w:rPr>
                <w:rFonts w:ascii="Arial" w:hAnsi="Arial" w:cs="Arial"/>
                <w:sz w:val="22"/>
                <w:szCs w:val="22"/>
              </w:rPr>
              <w:t>14,863</w:t>
            </w:r>
          </w:p>
        </w:tc>
        <w:tc>
          <w:tcPr>
            <w:tcW w:w="850" w:type="dxa"/>
            <w:tcBorders>
              <w:left w:val="single" w:sz="4" w:space="0" w:color="auto"/>
              <w:right w:val="single" w:sz="4" w:space="0" w:color="auto"/>
            </w:tcBorders>
          </w:tcPr>
          <w:p w14:paraId="145C713A" w14:textId="68E02090" w:rsidR="00C17633" w:rsidRPr="000D756E" w:rsidRDefault="00C17633" w:rsidP="00C17633">
            <w:pPr>
              <w:jc w:val="right"/>
              <w:rPr>
                <w:rFonts w:ascii="Arial" w:hAnsi="Arial" w:cs="Arial"/>
                <w:sz w:val="22"/>
                <w:szCs w:val="22"/>
              </w:rPr>
            </w:pPr>
            <w:r w:rsidRPr="000D756E">
              <w:rPr>
                <w:rFonts w:ascii="Arial" w:hAnsi="Arial" w:cs="Arial"/>
                <w:sz w:val="22"/>
                <w:szCs w:val="22"/>
              </w:rPr>
              <w:t>-165</w:t>
            </w:r>
          </w:p>
        </w:tc>
        <w:tc>
          <w:tcPr>
            <w:tcW w:w="1418" w:type="dxa"/>
            <w:tcBorders>
              <w:left w:val="single" w:sz="4" w:space="0" w:color="auto"/>
              <w:right w:val="single" w:sz="4" w:space="0" w:color="auto"/>
            </w:tcBorders>
          </w:tcPr>
          <w:p w14:paraId="39708ADF" w14:textId="47EB4181" w:rsidR="00C17633" w:rsidRPr="000D756E" w:rsidRDefault="00C17633" w:rsidP="00C17633">
            <w:pPr>
              <w:jc w:val="right"/>
              <w:rPr>
                <w:rFonts w:ascii="Arial" w:hAnsi="Arial" w:cs="Arial"/>
                <w:sz w:val="22"/>
                <w:szCs w:val="22"/>
              </w:rPr>
            </w:pPr>
            <w:r w:rsidRPr="000D756E">
              <w:rPr>
                <w:rFonts w:ascii="Arial" w:hAnsi="Arial" w:cs="Arial"/>
                <w:sz w:val="22"/>
                <w:szCs w:val="22"/>
              </w:rPr>
              <w:t>14,698</w:t>
            </w:r>
          </w:p>
        </w:tc>
        <w:tc>
          <w:tcPr>
            <w:tcW w:w="4252" w:type="dxa"/>
            <w:tcBorders>
              <w:left w:val="single" w:sz="4" w:space="0" w:color="auto"/>
              <w:right w:val="single" w:sz="4" w:space="0" w:color="auto"/>
            </w:tcBorders>
          </w:tcPr>
          <w:p w14:paraId="2D8C6DD2" w14:textId="77777777" w:rsidR="00C17633" w:rsidRPr="000D756E" w:rsidRDefault="00C17633" w:rsidP="00C17633">
            <w:pPr>
              <w:rPr>
                <w:rFonts w:ascii="Arial" w:hAnsi="Arial" w:cs="Arial"/>
                <w:sz w:val="22"/>
                <w:szCs w:val="22"/>
              </w:rPr>
            </w:pPr>
            <w:r w:rsidRPr="000D756E">
              <w:rPr>
                <w:rFonts w:ascii="Arial" w:hAnsi="Arial" w:cs="Arial"/>
                <w:sz w:val="22"/>
                <w:szCs w:val="22"/>
              </w:rPr>
              <w:t>Service Delivery</w:t>
            </w:r>
          </w:p>
        </w:tc>
        <w:tc>
          <w:tcPr>
            <w:tcW w:w="1276" w:type="dxa"/>
            <w:tcBorders>
              <w:left w:val="single" w:sz="4" w:space="0" w:color="auto"/>
              <w:right w:val="single" w:sz="4" w:space="0" w:color="auto"/>
            </w:tcBorders>
          </w:tcPr>
          <w:p w14:paraId="7F5DDED6" w14:textId="5B74BDA6" w:rsidR="00C17633" w:rsidRPr="000D756E" w:rsidRDefault="005A6048" w:rsidP="00C17633">
            <w:pPr>
              <w:jc w:val="right"/>
              <w:rPr>
                <w:rFonts w:ascii="Arial" w:hAnsi="Arial" w:cs="Arial"/>
                <w:sz w:val="22"/>
                <w:szCs w:val="22"/>
              </w:rPr>
            </w:pPr>
            <w:r>
              <w:rPr>
                <w:rFonts w:ascii="Arial" w:hAnsi="Arial" w:cs="Arial"/>
                <w:sz w:val="22"/>
                <w:szCs w:val="22"/>
              </w:rPr>
              <w:t>18,73</w:t>
            </w:r>
            <w:r w:rsidR="00D36740">
              <w:rPr>
                <w:rFonts w:ascii="Arial" w:hAnsi="Arial" w:cs="Arial"/>
                <w:sz w:val="22"/>
                <w:szCs w:val="22"/>
              </w:rPr>
              <w:t>7</w:t>
            </w:r>
          </w:p>
        </w:tc>
        <w:tc>
          <w:tcPr>
            <w:tcW w:w="851" w:type="dxa"/>
            <w:tcBorders>
              <w:left w:val="single" w:sz="4" w:space="0" w:color="auto"/>
              <w:right w:val="single" w:sz="4" w:space="0" w:color="auto"/>
            </w:tcBorders>
          </w:tcPr>
          <w:p w14:paraId="4F3AB7DE" w14:textId="3334B3B4" w:rsidR="00C17633" w:rsidRPr="000D756E" w:rsidRDefault="005A6048" w:rsidP="00C17633">
            <w:pPr>
              <w:jc w:val="right"/>
              <w:rPr>
                <w:rFonts w:ascii="Arial" w:hAnsi="Arial" w:cs="Arial"/>
                <w:sz w:val="22"/>
                <w:szCs w:val="22"/>
              </w:rPr>
            </w:pPr>
            <w:r>
              <w:rPr>
                <w:rFonts w:ascii="Arial" w:hAnsi="Arial" w:cs="Arial"/>
                <w:sz w:val="22"/>
                <w:szCs w:val="22"/>
              </w:rPr>
              <w:t>-199</w:t>
            </w:r>
          </w:p>
        </w:tc>
        <w:tc>
          <w:tcPr>
            <w:tcW w:w="1275" w:type="dxa"/>
            <w:tcBorders>
              <w:left w:val="single" w:sz="4" w:space="0" w:color="auto"/>
              <w:right w:val="single" w:sz="4" w:space="0" w:color="auto"/>
            </w:tcBorders>
          </w:tcPr>
          <w:p w14:paraId="1AACB0DE" w14:textId="01A471A9" w:rsidR="00C17633" w:rsidRPr="000D756E" w:rsidRDefault="00406E4E" w:rsidP="00406E4E">
            <w:pPr>
              <w:jc w:val="right"/>
              <w:rPr>
                <w:rFonts w:ascii="Arial" w:hAnsi="Arial" w:cs="Arial"/>
                <w:sz w:val="22"/>
                <w:szCs w:val="22"/>
              </w:rPr>
            </w:pPr>
            <w:r>
              <w:rPr>
                <w:rFonts w:ascii="Arial" w:hAnsi="Arial" w:cs="Arial"/>
                <w:sz w:val="22"/>
                <w:szCs w:val="22"/>
              </w:rPr>
              <w:t>18,53</w:t>
            </w:r>
            <w:r w:rsidR="005A6048">
              <w:rPr>
                <w:rFonts w:ascii="Arial" w:hAnsi="Arial" w:cs="Arial"/>
                <w:sz w:val="22"/>
                <w:szCs w:val="22"/>
              </w:rPr>
              <w:t>8</w:t>
            </w:r>
          </w:p>
        </w:tc>
      </w:tr>
      <w:tr w:rsidR="00C17633" w:rsidRPr="000D756E" w14:paraId="699C7331" w14:textId="77777777" w:rsidTr="00884152">
        <w:tc>
          <w:tcPr>
            <w:tcW w:w="1277" w:type="dxa"/>
            <w:tcBorders>
              <w:left w:val="single" w:sz="4" w:space="0" w:color="auto"/>
              <w:right w:val="single" w:sz="4" w:space="0" w:color="auto"/>
            </w:tcBorders>
          </w:tcPr>
          <w:p w14:paraId="0FBE66E9" w14:textId="77777777" w:rsidR="00C17633" w:rsidRPr="000D756E" w:rsidRDefault="00C17633" w:rsidP="00C17633">
            <w:pPr>
              <w:jc w:val="right"/>
              <w:rPr>
                <w:rFonts w:ascii="Arial" w:hAnsi="Arial" w:cs="Arial"/>
                <w:sz w:val="22"/>
                <w:szCs w:val="22"/>
              </w:rPr>
            </w:pPr>
          </w:p>
        </w:tc>
        <w:tc>
          <w:tcPr>
            <w:tcW w:w="850" w:type="dxa"/>
            <w:tcBorders>
              <w:left w:val="single" w:sz="4" w:space="0" w:color="auto"/>
              <w:right w:val="single" w:sz="4" w:space="0" w:color="auto"/>
            </w:tcBorders>
          </w:tcPr>
          <w:p w14:paraId="167EA262" w14:textId="77777777" w:rsidR="00C17633" w:rsidRPr="000D756E" w:rsidRDefault="00C17633" w:rsidP="00C17633">
            <w:pPr>
              <w:jc w:val="right"/>
              <w:rPr>
                <w:rFonts w:ascii="Arial" w:hAnsi="Arial" w:cs="Arial"/>
                <w:sz w:val="22"/>
                <w:szCs w:val="22"/>
              </w:rPr>
            </w:pPr>
          </w:p>
        </w:tc>
        <w:tc>
          <w:tcPr>
            <w:tcW w:w="1418" w:type="dxa"/>
            <w:tcBorders>
              <w:left w:val="single" w:sz="4" w:space="0" w:color="auto"/>
              <w:right w:val="single" w:sz="4" w:space="0" w:color="auto"/>
            </w:tcBorders>
          </w:tcPr>
          <w:p w14:paraId="132843C0" w14:textId="77777777" w:rsidR="00C17633" w:rsidRPr="000D756E" w:rsidRDefault="00C17633" w:rsidP="00C17633">
            <w:pPr>
              <w:jc w:val="right"/>
              <w:rPr>
                <w:rFonts w:ascii="Arial" w:hAnsi="Arial" w:cs="Arial"/>
                <w:sz w:val="22"/>
                <w:szCs w:val="22"/>
              </w:rPr>
            </w:pPr>
          </w:p>
        </w:tc>
        <w:tc>
          <w:tcPr>
            <w:tcW w:w="4252" w:type="dxa"/>
            <w:tcBorders>
              <w:left w:val="single" w:sz="4" w:space="0" w:color="auto"/>
              <w:right w:val="single" w:sz="4" w:space="0" w:color="auto"/>
            </w:tcBorders>
          </w:tcPr>
          <w:p w14:paraId="0ABBCE6E" w14:textId="77777777" w:rsidR="00C17633" w:rsidRPr="000D756E" w:rsidRDefault="00C17633" w:rsidP="00C17633">
            <w:pPr>
              <w:rPr>
                <w:rFonts w:ascii="Arial" w:hAnsi="Arial" w:cs="Arial"/>
                <w:sz w:val="22"/>
                <w:szCs w:val="22"/>
              </w:rPr>
            </w:pPr>
          </w:p>
        </w:tc>
        <w:tc>
          <w:tcPr>
            <w:tcW w:w="1276" w:type="dxa"/>
            <w:tcBorders>
              <w:left w:val="single" w:sz="4" w:space="0" w:color="auto"/>
              <w:right w:val="single" w:sz="4" w:space="0" w:color="auto"/>
            </w:tcBorders>
          </w:tcPr>
          <w:p w14:paraId="61EB15D8" w14:textId="77777777" w:rsidR="00C17633" w:rsidRPr="000D756E" w:rsidRDefault="00C17633" w:rsidP="00C17633">
            <w:pPr>
              <w:jc w:val="right"/>
              <w:rPr>
                <w:rFonts w:ascii="Arial" w:hAnsi="Arial" w:cs="Arial"/>
                <w:sz w:val="22"/>
                <w:szCs w:val="22"/>
              </w:rPr>
            </w:pPr>
          </w:p>
        </w:tc>
        <w:tc>
          <w:tcPr>
            <w:tcW w:w="851" w:type="dxa"/>
            <w:tcBorders>
              <w:left w:val="single" w:sz="4" w:space="0" w:color="auto"/>
              <w:right w:val="single" w:sz="4" w:space="0" w:color="auto"/>
            </w:tcBorders>
          </w:tcPr>
          <w:p w14:paraId="12B1EF0A" w14:textId="77777777" w:rsidR="00C17633" w:rsidRPr="000D756E" w:rsidRDefault="00C17633" w:rsidP="00C17633">
            <w:pPr>
              <w:jc w:val="right"/>
              <w:rPr>
                <w:rFonts w:ascii="Arial" w:hAnsi="Arial" w:cs="Arial"/>
                <w:sz w:val="22"/>
                <w:szCs w:val="22"/>
              </w:rPr>
            </w:pPr>
          </w:p>
        </w:tc>
        <w:tc>
          <w:tcPr>
            <w:tcW w:w="1275" w:type="dxa"/>
            <w:tcBorders>
              <w:left w:val="single" w:sz="4" w:space="0" w:color="auto"/>
              <w:right w:val="single" w:sz="4" w:space="0" w:color="auto"/>
            </w:tcBorders>
          </w:tcPr>
          <w:p w14:paraId="4F2C17DE" w14:textId="77777777" w:rsidR="00C17633" w:rsidRPr="000D756E" w:rsidRDefault="00C17633" w:rsidP="00406E4E">
            <w:pPr>
              <w:jc w:val="right"/>
              <w:rPr>
                <w:rFonts w:ascii="Arial" w:hAnsi="Arial" w:cs="Arial"/>
                <w:sz w:val="22"/>
                <w:szCs w:val="22"/>
              </w:rPr>
            </w:pPr>
          </w:p>
        </w:tc>
      </w:tr>
      <w:tr w:rsidR="00C17633" w:rsidRPr="000D756E" w14:paraId="6E2D2D4B" w14:textId="77777777" w:rsidTr="00884152">
        <w:tc>
          <w:tcPr>
            <w:tcW w:w="1277" w:type="dxa"/>
            <w:tcBorders>
              <w:top w:val="single" w:sz="4" w:space="0" w:color="auto"/>
              <w:left w:val="single" w:sz="4" w:space="0" w:color="auto"/>
              <w:bottom w:val="single" w:sz="4" w:space="0" w:color="auto"/>
              <w:right w:val="single" w:sz="4" w:space="0" w:color="auto"/>
            </w:tcBorders>
          </w:tcPr>
          <w:p w14:paraId="2D897A34" w14:textId="6395FC18" w:rsidR="00C17633" w:rsidRPr="000D756E" w:rsidRDefault="00C17633" w:rsidP="00C17633">
            <w:pPr>
              <w:jc w:val="right"/>
              <w:rPr>
                <w:rFonts w:ascii="Arial" w:hAnsi="Arial" w:cs="Arial"/>
                <w:b/>
                <w:sz w:val="22"/>
                <w:szCs w:val="22"/>
              </w:rPr>
            </w:pPr>
            <w:r w:rsidRPr="000D756E">
              <w:rPr>
                <w:rFonts w:ascii="Arial" w:hAnsi="Arial" w:cs="Arial"/>
                <w:b/>
                <w:sz w:val="22"/>
                <w:szCs w:val="22"/>
              </w:rPr>
              <w:t>30,348</w:t>
            </w:r>
          </w:p>
        </w:tc>
        <w:tc>
          <w:tcPr>
            <w:tcW w:w="850" w:type="dxa"/>
            <w:tcBorders>
              <w:top w:val="single" w:sz="4" w:space="0" w:color="auto"/>
              <w:left w:val="single" w:sz="4" w:space="0" w:color="auto"/>
              <w:bottom w:val="single" w:sz="4" w:space="0" w:color="auto"/>
              <w:right w:val="single" w:sz="4" w:space="0" w:color="auto"/>
            </w:tcBorders>
          </w:tcPr>
          <w:p w14:paraId="474E1DC1" w14:textId="530FAC04" w:rsidR="00C17633" w:rsidRPr="000D756E" w:rsidRDefault="00C17633" w:rsidP="00C17633">
            <w:pPr>
              <w:jc w:val="right"/>
              <w:rPr>
                <w:rFonts w:ascii="Arial" w:hAnsi="Arial" w:cs="Arial"/>
                <w:b/>
                <w:sz w:val="22"/>
                <w:szCs w:val="22"/>
              </w:rPr>
            </w:pPr>
            <w:r w:rsidRPr="000D756E">
              <w:rPr>
                <w:rFonts w:ascii="Arial" w:hAnsi="Arial" w:cs="Arial"/>
                <w:b/>
                <w:sz w:val="22"/>
                <w:szCs w:val="22"/>
              </w:rPr>
              <w:t>-336</w:t>
            </w:r>
          </w:p>
        </w:tc>
        <w:tc>
          <w:tcPr>
            <w:tcW w:w="1418" w:type="dxa"/>
            <w:tcBorders>
              <w:top w:val="single" w:sz="4" w:space="0" w:color="auto"/>
              <w:left w:val="single" w:sz="4" w:space="0" w:color="auto"/>
              <w:bottom w:val="single" w:sz="4" w:space="0" w:color="auto"/>
              <w:right w:val="single" w:sz="4" w:space="0" w:color="auto"/>
            </w:tcBorders>
          </w:tcPr>
          <w:p w14:paraId="75F2687A" w14:textId="09B8F48B" w:rsidR="00C17633" w:rsidRPr="000D756E" w:rsidRDefault="00C17633" w:rsidP="00C17633">
            <w:pPr>
              <w:jc w:val="right"/>
              <w:rPr>
                <w:rFonts w:ascii="Arial" w:hAnsi="Arial" w:cs="Arial"/>
                <w:b/>
                <w:sz w:val="22"/>
                <w:szCs w:val="22"/>
              </w:rPr>
            </w:pPr>
            <w:r w:rsidRPr="000D756E">
              <w:rPr>
                <w:rFonts w:ascii="Arial" w:hAnsi="Arial" w:cs="Arial"/>
                <w:b/>
                <w:sz w:val="22"/>
                <w:szCs w:val="22"/>
              </w:rPr>
              <w:t>30,012</w:t>
            </w:r>
          </w:p>
        </w:tc>
        <w:tc>
          <w:tcPr>
            <w:tcW w:w="4252" w:type="dxa"/>
            <w:tcBorders>
              <w:top w:val="single" w:sz="4" w:space="0" w:color="auto"/>
              <w:left w:val="single" w:sz="4" w:space="0" w:color="auto"/>
              <w:bottom w:val="single" w:sz="4" w:space="0" w:color="auto"/>
              <w:right w:val="single" w:sz="4" w:space="0" w:color="auto"/>
            </w:tcBorders>
            <w:vAlign w:val="bottom"/>
          </w:tcPr>
          <w:p w14:paraId="6F9EFA1E" w14:textId="77777777" w:rsidR="00C17633" w:rsidRPr="000D756E" w:rsidRDefault="00C17633" w:rsidP="00C17633">
            <w:pPr>
              <w:rPr>
                <w:rFonts w:ascii="Arial" w:hAnsi="Arial" w:cs="Arial"/>
                <w:b/>
                <w:sz w:val="22"/>
                <w:szCs w:val="22"/>
              </w:rPr>
            </w:pPr>
            <w:r w:rsidRPr="000D756E">
              <w:rPr>
                <w:rFonts w:ascii="Arial" w:hAnsi="Arial" w:cs="Arial"/>
                <w:b/>
                <w:sz w:val="22"/>
                <w:szCs w:val="22"/>
              </w:rPr>
              <w:t>Cost of Services – continuing operations</w:t>
            </w:r>
          </w:p>
        </w:tc>
        <w:tc>
          <w:tcPr>
            <w:tcW w:w="1276" w:type="dxa"/>
            <w:tcBorders>
              <w:top w:val="single" w:sz="4" w:space="0" w:color="auto"/>
              <w:left w:val="single" w:sz="4" w:space="0" w:color="auto"/>
              <w:bottom w:val="single" w:sz="4" w:space="0" w:color="auto"/>
              <w:right w:val="single" w:sz="4" w:space="0" w:color="auto"/>
            </w:tcBorders>
          </w:tcPr>
          <w:p w14:paraId="0EA7C6DB" w14:textId="656F3B67" w:rsidR="00C17633" w:rsidRPr="000D756E" w:rsidRDefault="00D36740" w:rsidP="00C17633">
            <w:pPr>
              <w:jc w:val="right"/>
              <w:rPr>
                <w:rFonts w:ascii="Arial" w:hAnsi="Arial" w:cs="Arial"/>
                <w:b/>
                <w:sz w:val="22"/>
                <w:szCs w:val="22"/>
              </w:rPr>
            </w:pPr>
            <w:r>
              <w:rPr>
                <w:rFonts w:ascii="Arial" w:hAnsi="Arial" w:cs="Arial"/>
                <w:b/>
                <w:sz w:val="22"/>
                <w:szCs w:val="22"/>
              </w:rPr>
              <w:t>31,947</w:t>
            </w:r>
          </w:p>
        </w:tc>
        <w:tc>
          <w:tcPr>
            <w:tcW w:w="851" w:type="dxa"/>
            <w:tcBorders>
              <w:top w:val="single" w:sz="4" w:space="0" w:color="auto"/>
              <w:left w:val="single" w:sz="4" w:space="0" w:color="auto"/>
              <w:bottom w:val="single" w:sz="4" w:space="0" w:color="auto"/>
              <w:right w:val="single" w:sz="4" w:space="0" w:color="auto"/>
            </w:tcBorders>
          </w:tcPr>
          <w:p w14:paraId="550194A8" w14:textId="684218F6" w:rsidR="00C17633" w:rsidRPr="000D756E" w:rsidRDefault="00693492" w:rsidP="00C17633">
            <w:pPr>
              <w:jc w:val="right"/>
              <w:rPr>
                <w:rFonts w:ascii="Arial" w:hAnsi="Arial" w:cs="Arial"/>
                <w:b/>
                <w:sz w:val="22"/>
                <w:szCs w:val="22"/>
              </w:rPr>
            </w:pPr>
            <w:r>
              <w:rPr>
                <w:rFonts w:ascii="Arial" w:hAnsi="Arial" w:cs="Arial"/>
                <w:b/>
                <w:sz w:val="22"/>
                <w:szCs w:val="22"/>
              </w:rPr>
              <w:t>-337</w:t>
            </w:r>
          </w:p>
        </w:tc>
        <w:tc>
          <w:tcPr>
            <w:tcW w:w="1275" w:type="dxa"/>
            <w:tcBorders>
              <w:top w:val="single" w:sz="4" w:space="0" w:color="auto"/>
              <w:left w:val="single" w:sz="4" w:space="0" w:color="auto"/>
              <w:bottom w:val="single" w:sz="4" w:space="0" w:color="auto"/>
              <w:right w:val="single" w:sz="4" w:space="0" w:color="auto"/>
            </w:tcBorders>
          </w:tcPr>
          <w:p w14:paraId="72CAEE84" w14:textId="02DE48A3" w:rsidR="00C17633" w:rsidRPr="000D756E" w:rsidRDefault="00B935B3" w:rsidP="00406E4E">
            <w:pPr>
              <w:jc w:val="right"/>
              <w:rPr>
                <w:rFonts w:ascii="Arial" w:hAnsi="Arial" w:cs="Arial"/>
                <w:b/>
                <w:sz w:val="22"/>
                <w:szCs w:val="22"/>
              </w:rPr>
            </w:pPr>
            <w:r>
              <w:rPr>
                <w:rFonts w:ascii="Arial" w:hAnsi="Arial" w:cs="Arial"/>
                <w:b/>
                <w:sz w:val="22"/>
                <w:szCs w:val="22"/>
              </w:rPr>
              <w:t>31,61</w:t>
            </w:r>
            <w:r w:rsidR="00C03C71">
              <w:rPr>
                <w:rFonts w:ascii="Arial" w:hAnsi="Arial" w:cs="Arial"/>
                <w:b/>
                <w:sz w:val="22"/>
                <w:szCs w:val="22"/>
              </w:rPr>
              <w:t>0</w:t>
            </w:r>
          </w:p>
        </w:tc>
      </w:tr>
      <w:tr w:rsidR="006329E6" w:rsidRPr="000D756E" w14:paraId="111AE41C" w14:textId="77777777" w:rsidTr="00884152">
        <w:tc>
          <w:tcPr>
            <w:tcW w:w="1277" w:type="dxa"/>
            <w:tcBorders>
              <w:top w:val="single" w:sz="4" w:space="0" w:color="auto"/>
              <w:left w:val="single" w:sz="4" w:space="0" w:color="auto"/>
              <w:right w:val="single" w:sz="4" w:space="0" w:color="auto"/>
            </w:tcBorders>
          </w:tcPr>
          <w:p w14:paraId="562F9373" w14:textId="77777777" w:rsidR="009F2BDC" w:rsidRPr="000D756E" w:rsidRDefault="009F2BDC" w:rsidP="009F2BDC">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7A3890B2" w14:textId="77777777" w:rsidR="009F2BDC" w:rsidRPr="000D756E" w:rsidRDefault="009F2BDC" w:rsidP="009F2BDC">
            <w:pPr>
              <w:jc w:val="right"/>
              <w:rPr>
                <w:rFonts w:ascii="Arial" w:hAnsi="Arial" w:cs="Arial"/>
              </w:rPr>
            </w:pPr>
          </w:p>
        </w:tc>
        <w:tc>
          <w:tcPr>
            <w:tcW w:w="1418" w:type="dxa"/>
            <w:tcBorders>
              <w:top w:val="single" w:sz="4" w:space="0" w:color="auto"/>
              <w:left w:val="single" w:sz="4" w:space="0" w:color="auto"/>
              <w:right w:val="single" w:sz="4" w:space="0" w:color="auto"/>
            </w:tcBorders>
          </w:tcPr>
          <w:p w14:paraId="6713E869" w14:textId="77777777" w:rsidR="009F2BDC" w:rsidRPr="000D756E" w:rsidRDefault="009F2BDC" w:rsidP="009F2BDC">
            <w:pPr>
              <w:jc w:val="right"/>
              <w:rPr>
                <w:rFonts w:ascii="Arial" w:hAnsi="Arial" w:cs="Arial"/>
                <w:sz w:val="22"/>
                <w:szCs w:val="22"/>
              </w:rPr>
            </w:pPr>
          </w:p>
        </w:tc>
        <w:tc>
          <w:tcPr>
            <w:tcW w:w="4252" w:type="dxa"/>
            <w:tcBorders>
              <w:top w:val="single" w:sz="4" w:space="0" w:color="auto"/>
              <w:left w:val="single" w:sz="4" w:space="0" w:color="auto"/>
              <w:right w:val="single" w:sz="4" w:space="0" w:color="auto"/>
            </w:tcBorders>
          </w:tcPr>
          <w:p w14:paraId="01C7E5C8" w14:textId="77777777" w:rsidR="009F2BDC" w:rsidRPr="000D756E" w:rsidRDefault="009F2BDC" w:rsidP="009F2BDC">
            <w:pPr>
              <w:rPr>
                <w:rFonts w:ascii="Arial" w:hAnsi="Arial" w:cs="Arial"/>
                <w:sz w:val="22"/>
                <w:szCs w:val="22"/>
              </w:rPr>
            </w:pPr>
          </w:p>
        </w:tc>
        <w:tc>
          <w:tcPr>
            <w:tcW w:w="1276" w:type="dxa"/>
            <w:tcBorders>
              <w:top w:val="single" w:sz="4" w:space="0" w:color="auto"/>
              <w:left w:val="single" w:sz="4" w:space="0" w:color="auto"/>
              <w:right w:val="single" w:sz="4" w:space="0" w:color="auto"/>
            </w:tcBorders>
          </w:tcPr>
          <w:p w14:paraId="6CC6D0C4" w14:textId="77777777" w:rsidR="009F2BDC" w:rsidRPr="000D756E" w:rsidRDefault="009F2BDC" w:rsidP="009F2BDC">
            <w:pPr>
              <w:jc w:val="right"/>
              <w:rPr>
                <w:rFonts w:ascii="Arial" w:hAnsi="Arial" w:cs="Arial"/>
                <w:sz w:val="22"/>
                <w:szCs w:val="22"/>
              </w:rPr>
            </w:pPr>
          </w:p>
        </w:tc>
        <w:tc>
          <w:tcPr>
            <w:tcW w:w="851" w:type="dxa"/>
            <w:tcBorders>
              <w:top w:val="single" w:sz="4" w:space="0" w:color="auto"/>
              <w:left w:val="single" w:sz="4" w:space="0" w:color="auto"/>
              <w:right w:val="single" w:sz="4" w:space="0" w:color="auto"/>
            </w:tcBorders>
          </w:tcPr>
          <w:p w14:paraId="2243E85E" w14:textId="77777777" w:rsidR="009F2BDC" w:rsidRPr="000D756E" w:rsidRDefault="009F2BDC" w:rsidP="009F2BDC">
            <w:pPr>
              <w:jc w:val="right"/>
              <w:rPr>
                <w:rFonts w:ascii="Arial" w:hAnsi="Arial" w:cs="Arial"/>
                <w:sz w:val="22"/>
                <w:szCs w:val="22"/>
              </w:rPr>
            </w:pPr>
          </w:p>
        </w:tc>
        <w:tc>
          <w:tcPr>
            <w:tcW w:w="1275" w:type="dxa"/>
            <w:tcBorders>
              <w:top w:val="single" w:sz="4" w:space="0" w:color="auto"/>
              <w:left w:val="single" w:sz="4" w:space="0" w:color="auto"/>
              <w:right w:val="single" w:sz="4" w:space="0" w:color="auto"/>
            </w:tcBorders>
          </w:tcPr>
          <w:p w14:paraId="22361D9D" w14:textId="77777777" w:rsidR="009F2BDC" w:rsidRPr="000D756E" w:rsidRDefault="009F2BDC" w:rsidP="00406E4E">
            <w:pPr>
              <w:jc w:val="right"/>
              <w:rPr>
                <w:rFonts w:ascii="Arial" w:hAnsi="Arial" w:cs="Arial"/>
                <w:sz w:val="22"/>
                <w:szCs w:val="22"/>
              </w:rPr>
            </w:pPr>
          </w:p>
        </w:tc>
      </w:tr>
      <w:tr w:rsidR="006329E6" w:rsidRPr="000D756E" w14:paraId="06D45C47" w14:textId="77777777" w:rsidTr="00884152">
        <w:tc>
          <w:tcPr>
            <w:tcW w:w="1277" w:type="dxa"/>
            <w:tcBorders>
              <w:top w:val="single" w:sz="4" w:space="0" w:color="auto"/>
              <w:left w:val="single" w:sz="4" w:space="0" w:color="auto"/>
              <w:right w:val="single" w:sz="4" w:space="0" w:color="auto"/>
            </w:tcBorders>
          </w:tcPr>
          <w:p w14:paraId="4FADB201" w14:textId="77777777" w:rsidR="009F2BDC" w:rsidRPr="000D756E" w:rsidRDefault="009F2BDC" w:rsidP="009F2BDC">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5592B42B" w14:textId="77777777" w:rsidR="009F2BDC" w:rsidRPr="000D756E" w:rsidRDefault="009F2BDC" w:rsidP="009F2BDC">
            <w:pPr>
              <w:jc w:val="right"/>
              <w:rPr>
                <w:rFonts w:ascii="Arial" w:hAnsi="Arial" w:cs="Arial"/>
              </w:rPr>
            </w:pPr>
          </w:p>
        </w:tc>
        <w:tc>
          <w:tcPr>
            <w:tcW w:w="1418" w:type="dxa"/>
            <w:tcBorders>
              <w:top w:val="single" w:sz="4" w:space="0" w:color="auto"/>
              <w:left w:val="single" w:sz="4" w:space="0" w:color="auto"/>
              <w:right w:val="single" w:sz="4" w:space="0" w:color="auto"/>
            </w:tcBorders>
          </w:tcPr>
          <w:p w14:paraId="7816AD5C" w14:textId="77777777" w:rsidR="009F2BDC" w:rsidRPr="000D756E" w:rsidRDefault="009F2BDC" w:rsidP="009F2BDC">
            <w:pPr>
              <w:jc w:val="right"/>
              <w:rPr>
                <w:rFonts w:ascii="Arial" w:hAnsi="Arial" w:cs="Arial"/>
                <w:b/>
                <w:sz w:val="22"/>
                <w:szCs w:val="22"/>
              </w:rPr>
            </w:pPr>
          </w:p>
        </w:tc>
        <w:tc>
          <w:tcPr>
            <w:tcW w:w="4252" w:type="dxa"/>
            <w:tcBorders>
              <w:top w:val="single" w:sz="4" w:space="0" w:color="auto"/>
              <w:left w:val="single" w:sz="4" w:space="0" w:color="auto"/>
              <w:right w:val="single" w:sz="4" w:space="0" w:color="auto"/>
            </w:tcBorders>
          </w:tcPr>
          <w:p w14:paraId="1905972A" w14:textId="77777777" w:rsidR="009F2BDC" w:rsidRPr="000D756E" w:rsidRDefault="009F2BDC" w:rsidP="009F2BDC">
            <w:pPr>
              <w:rPr>
                <w:rFonts w:ascii="Arial" w:hAnsi="Arial" w:cs="Arial"/>
                <w:b/>
                <w:sz w:val="22"/>
                <w:szCs w:val="22"/>
              </w:rPr>
            </w:pPr>
          </w:p>
        </w:tc>
        <w:tc>
          <w:tcPr>
            <w:tcW w:w="1276" w:type="dxa"/>
            <w:tcBorders>
              <w:top w:val="single" w:sz="4" w:space="0" w:color="auto"/>
              <w:left w:val="single" w:sz="4" w:space="0" w:color="auto"/>
              <w:right w:val="single" w:sz="4" w:space="0" w:color="auto"/>
            </w:tcBorders>
          </w:tcPr>
          <w:p w14:paraId="0684D9BD" w14:textId="77777777" w:rsidR="009F2BDC" w:rsidRPr="000D756E" w:rsidRDefault="009F2BDC" w:rsidP="009F2BDC">
            <w:pPr>
              <w:jc w:val="right"/>
              <w:rPr>
                <w:rFonts w:ascii="Arial" w:hAnsi="Arial" w:cs="Arial"/>
                <w:b/>
                <w:sz w:val="22"/>
                <w:szCs w:val="22"/>
              </w:rPr>
            </w:pPr>
          </w:p>
        </w:tc>
        <w:tc>
          <w:tcPr>
            <w:tcW w:w="851" w:type="dxa"/>
            <w:tcBorders>
              <w:top w:val="single" w:sz="4" w:space="0" w:color="auto"/>
              <w:left w:val="single" w:sz="4" w:space="0" w:color="auto"/>
              <w:right w:val="single" w:sz="4" w:space="0" w:color="auto"/>
            </w:tcBorders>
          </w:tcPr>
          <w:p w14:paraId="31A1D2F8" w14:textId="77777777" w:rsidR="009F2BDC" w:rsidRPr="000D756E" w:rsidRDefault="009F2BDC" w:rsidP="009F2BDC">
            <w:pPr>
              <w:jc w:val="right"/>
              <w:rPr>
                <w:rFonts w:ascii="Arial" w:hAnsi="Arial" w:cs="Arial"/>
                <w:b/>
                <w:sz w:val="22"/>
                <w:szCs w:val="22"/>
              </w:rPr>
            </w:pPr>
          </w:p>
        </w:tc>
        <w:tc>
          <w:tcPr>
            <w:tcW w:w="1275" w:type="dxa"/>
            <w:tcBorders>
              <w:top w:val="single" w:sz="4" w:space="0" w:color="auto"/>
              <w:left w:val="single" w:sz="4" w:space="0" w:color="auto"/>
              <w:right w:val="single" w:sz="4" w:space="0" w:color="auto"/>
            </w:tcBorders>
          </w:tcPr>
          <w:p w14:paraId="28274D7C" w14:textId="77777777" w:rsidR="009F2BDC" w:rsidRPr="000D756E" w:rsidRDefault="009F2BDC" w:rsidP="00406E4E">
            <w:pPr>
              <w:jc w:val="right"/>
              <w:rPr>
                <w:rFonts w:ascii="Arial" w:hAnsi="Arial" w:cs="Arial"/>
                <w:b/>
                <w:sz w:val="22"/>
                <w:szCs w:val="22"/>
              </w:rPr>
            </w:pPr>
          </w:p>
        </w:tc>
      </w:tr>
      <w:tr w:rsidR="00C17633" w:rsidRPr="000D756E" w14:paraId="4BF37F86" w14:textId="77777777" w:rsidTr="00884152">
        <w:tc>
          <w:tcPr>
            <w:tcW w:w="1277" w:type="dxa"/>
            <w:tcBorders>
              <w:left w:val="single" w:sz="4" w:space="0" w:color="auto"/>
              <w:right w:val="single" w:sz="4" w:space="0" w:color="auto"/>
            </w:tcBorders>
          </w:tcPr>
          <w:p w14:paraId="1BE4B52F" w14:textId="77777777" w:rsidR="00C17633" w:rsidRPr="000D756E" w:rsidRDefault="00C17633" w:rsidP="00C17633">
            <w:pPr>
              <w:ind w:left="-108"/>
              <w:jc w:val="right"/>
              <w:rPr>
                <w:rFonts w:ascii="Arial" w:hAnsi="Arial" w:cs="Arial"/>
              </w:rPr>
            </w:pPr>
          </w:p>
        </w:tc>
        <w:tc>
          <w:tcPr>
            <w:tcW w:w="850" w:type="dxa"/>
            <w:tcBorders>
              <w:left w:val="single" w:sz="4" w:space="0" w:color="auto"/>
              <w:right w:val="single" w:sz="4" w:space="0" w:color="auto"/>
            </w:tcBorders>
          </w:tcPr>
          <w:p w14:paraId="3007980E" w14:textId="77777777" w:rsidR="00C17633" w:rsidRPr="000D756E" w:rsidRDefault="00C17633" w:rsidP="00C17633">
            <w:pPr>
              <w:jc w:val="right"/>
              <w:rPr>
                <w:rFonts w:ascii="Arial" w:hAnsi="Arial" w:cs="Arial"/>
              </w:rPr>
            </w:pPr>
          </w:p>
        </w:tc>
        <w:tc>
          <w:tcPr>
            <w:tcW w:w="1418" w:type="dxa"/>
            <w:tcBorders>
              <w:left w:val="single" w:sz="4" w:space="0" w:color="auto"/>
              <w:right w:val="single" w:sz="4" w:space="0" w:color="auto"/>
            </w:tcBorders>
          </w:tcPr>
          <w:p w14:paraId="2E610B9B" w14:textId="3A86D0EC" w:rsidR="00C17633" w:rsidRPr="000D756E" w:rsidRDefault="00C17633" w:rsidP="00C17633">
            <w:pPr>
              <w:jc w:val="right"/>
              <w:rPr>
                <w:rFonts w:ascii="Arial" w:hAnsi="Arial" w:cs="Arial"/>
                <w:sz w:val="22"/>
                <w:szCs w:val="22"/>
              </w:rPr>
            </w:pPr>
            <w:r w:rsidRPr="000D756E">
              <w:rPr>
                <w:rFonts w:ascii="Arial" w:hAnsi="Arial" w:cs="Arial"/>
                <w:sz w:val="22"/>
                <w:szCs w:val="22"/>
              </w:rPr>
              <w:t>-42</w:t>
            </w:r>
          </w:p>
        </w:tc>
        <w:tc>
          <w:tcPr>
            <w:tcW w:w="4252" w:type="dxa"/>
            <w:tcBorders>
              <w:left w:val="single" w:sz="4" w:space="0" w:color="auto"/>
              <w:right w:val="single" w:sz="4" w:space="0" w:color="auto"/>
            </w:tcBorders>
          </w:tcPr>
          <w:p w14:paraId="5C070DD4" w14:textId="2BB85213" w:rsidR="00C17633" w:rsidRPr="000D756E" w:rsidRDefault="00C17633" w:rsidP="00C17633">
            <w:pPr>
              <w:rPr>
                <w:rFonts w:ascii="Arial" w:hAnsi="Arial" w:cs="Arial"/>
                <w:sz w:val="22"/>
                <w:szCs w:val="22"/>
              </w:rPr>
            </w:pPr>
            <w:r w:rsidRPr="000D756E">
              <w:rPr>
                <w:rFonts w:ascii="Arial" w:hAnsi="Arial" w:cs="Arial"/>
                <w:sz w:val="22"/>
                <w:szCs w:val="22"/>
              </w:rPr>
              <w:t>Profit on disposal of non current assets</w:t>
            </w:r>
          </w:p>
        </w:tc>
        <w:tc>
          <w:tcPr>
            <w:tcW w:w="1276" w:type="dxa"/>
            <w:tcBorders>
              <w:left w:val="single" w:sz="4" w:space="0" w:color="auto"/>
              <w:right w:val="single" w:sz="4" w:space="0" w:color="auto"/>
            </w:tcBorders>
          </w:tcPr>
          <w:p w14:paraId="15AA53A9" w14:textId="77777777" w:rsidR="00C17633" w:rsidRPr="000D756E" w:rsidRDefault="00C17633" w:rsidP="00C17633">
            <w:pPr>
              <w:jc w:val="right"/>
              <w:rPr>
                <w:rFonts w:ascii="Arial" w:hAnsi="Arial" w:cs="Arial"/>
                <w:sz w:val="22"/>
                <w:szCs w:val="22"/>
              </w:rPr>
            </w:pPr>
          </w:p>
        </w:tc>
        <w:tc>
          <w:tcPr>
            <w:tcW w:w="851" w:type="dxa"/>
            <w:tcBorders>
              <w:left w:val="single" w:sz="4" w:space="0" w:color="auto"/>
              <w:right w:val="single" w:sz="4" w:space="0" w:color="auto"/>
            </w:tcBorders>
          </w:tcPr>
          <w:p w14:paraId="42584579" w14:textId="77777777" w:rsidR="00C17633" w:rsidRPr="000D756E" w:rsidRDefault="00C17633" w:rsidP="00C17633">
            <w:pPr>
              <w:jc w:val="right"/>
              <w:rPr>
                <w:rFonts w:ascii="Arial" w:hAnsi="Arial" w:cs="Arial"/>
                <w:sz w:val="22"/>
                <w:szCs w:val="22"/>
              </w:rPr>
            </w:pPr>
          </w:p>
        </w:tc>
        <w:tc>
          <w:tcPr>
            <w:tcW w:w="1275" w:type="dxa"/>
            <w:tcBorders>
              <w:left w:val="single" w:sz="4" w:space="0" w:color="auto"/>
              <w:right w:val="single" w:sz="4" w:space="0" w:color="auto"/>
            </w:tcBorders>
          </w:tcPr>
          <w:p w14:paraId="4F6E0CF2" w14:textId="0E880921" w:rsidR="00C17633" w:rsidRPr="000D756E" w:rsidRDefault="00B935B3" w:rsidP="00406E4E">
            <w:pPr>
              <w:jc w:val="right"/>
              <w:rPr>
                <w:rFonts w:ascii="Arial" w:hAnsi="Arial" w:cs="Arial"/>
                <w:sz w:val="22"/>
                <w:szCs w:val="22"/>
              </w:rPr>
            </w:pPr>
            <w:r>
              <w:rPr>
                <w:rFonts w:ascii="Arial" w:hAnsi="Arial" w:cs="Arial"/>
                <w:sz w:val="22"/>
                <w:szCs w:val="22"/>
              </w:rPr>
              <w:t>-24</w:t>
            </w:r>
          </w:p>
        </w:tc>
      </w:tr>
      <w:tr w:rsidR="00C17633" w:rsidRPr="000D756E" w14:paraId="06C8F2A0" w14:textId="77777777" w:rsidTr="00884152">
        <w:tc>
          <w:tcPr>
            <w:tcW w:w="1277" w:type="dxa"/>
            <w:tcBorders>
              <w:left w:val="single" w:sz="4" w:space="0" w:color="auto"/>
              <w:bottom w:val="single" w:sz="4" w:space="0" w:color="auto"/>
              <w:right w:val="single" w:sz="4" w:space="0" w:color="auto"/>
            </w:tcBorders>
          </w:tcPr>
          <w:p w14:paraId="577008D3" w14:textId="77777777" w:rsidR="00C17633" w:rsidRPr="000D756E" w:rsidRDefault="00C17633" w:rsidP="00C17633">
            <w:pPr>
              <w:ind w:left="-108"/>
              <w:jc w:val="right"/>
              <w:rPr>
                <w:rFonts w:ascii="Arial" w:hAnsi="Arial" w:cs="Arial"/>
              </w:rPr>
            </w:pPr>
          </w:p>
        </w:tc>
        <w:tc>
          <w:tcPr>
            <w:tcW w:w="850" w:type="dxa"/>
            <w:tcBorders>
              <w:left w:val="single" w:sz="4" w:space="0" w:color="auto"/>
              <w:bottom w:val="single" w:sz="4" w:space="0" w:color="auto"/>
              <w:right w:val="single" w:sz="4" w:space="0" w:color="auto"/>
            </w:tcBorders>
          </w:tcPr>
          <w:p w14:paraId="000F7BFF" w14:textId="77777777" w:rsidR="00C17633" w:rsidRPr="000D756E" w:rsidRDefault="00C17633" w:rsidP="00C17633">
            <w:pPr>
              <w:jc w:val="right"/>
              <w:rPr>
                <w:rFonts w:ascii="Arial" w:hAnsi="Arial" w:cs="Arial"/>
              </w:rPr>
            </w:pPr>
          </w:p>
        </w:tc>
        <w:tc>
          <w:tcPr>
            <w:tcW w:w="1418" w:type="dxa"/>
            <w:tcBorders>
              <w:left w:val="single" w:sz="4" w:space="0" w:color="auto"/>
              <w:bottom w:val="single" w:sz="4" w:space="0" w:color="auto"/>
              <w:right w:val="single" w:sz="4" w:space="0" w:color="auto"/>
            </w:tcBorders>
          </w:tcPr>
          <w:p w14:paraId="6D1483FB" w14:textId="77777777" w:rsidR="00C17633" w:rsidRPr="000D756E" w:rsidRDefault="00C17633" w:rsidP="00C17633">
            <w:pPr>
              <w:jc w:val="right"/>
              <w:rPr>
                <w:rFonts w:ascii="Arial" w:hAnsi="Arial" w:cs="Arial"/>
                <w:sz w:val="22"/>
                <w:szCs w:val="22"/>
              </w:rPr>
            </w:pPr>
          </w:p>
        </w:tc>
        <w:tc>
          <w:tcPr>
            <w:tcW w:w="4252" w:type="dxa"/>
            <w:tcBorders>
              <w:left w:val="single" w:sz="4" w:space="0" w:color="auto"/>
              <w:bottom w:val="single" w:sz="4" w:space="0" w:color="auto"/>
              <w:right w:val="single" w:sz="4" w:space="0" w:color="auto"/>
            </w:tcBorders>
          </w:tcPr>
          <w:p w14:paraId="471823AE" w14:textId="77777777" w:rsidR="00C17633" w:rsidRPr="000D756E" w:rsidRDefault="00C17633" w:rsidP="00C17633">
            <w:pPr>
              <w:rPr>
                <w:rFonts w:ascii="Arial" w:hAnsi="Arial" w:cs="Arial"/>
                <w:sz w:val="22"/>
                <w:szCs w:val="22"/>
              </w:rPr>
            </w:pPr>
          </w:p>
        </w:tc>
        <w:tc>
          <w:tcPr>
            <w:tcW w:w="1276" w:type="dxa"/>
            <w:tcBorders>
              <w:left w:val="single" w:sz="4" w:space="0" w:color="auto"/>
              <w:bottom w:val="single" w:sz="4" w:space="0" w:color="auto"/>
              <w:right w:val="single" w:sz="4" w:space="0" w:color="auto"/>
            </w:tcBorders>
          </w:tcPr>
          <w:p w14:paraId="041D9644" w14:textId="77777777" w:rsidR="00C17633" w:rsidRPr="000D756E" w:rsidRDefault="00C17633" w:rsidP="00C17633">
            <w:pPr>
              <w:jc w:val="right"/>
              <w:rPr>
                <w:rFonts w:ascii="Arial" w:hAnsi="Arial" w:cs="Arial"/>
                <w:sz w:val="22"/>
                <w:szCs w:val="22"/>
              </w:rPr>
            </w:pPr>
          </w:p>
        </w:tc>
        <w:tc>
          <w:tcPr>
            <w:tcW w:w="851" w:type="dxa"/>
            <w:tcBorders>
              <w:left w:val="single" w:sz="4" w:space="0" w:color="auto"/>
              <w:bottom w:val="single" w:sz="4" w:space="0" w:color="auto"/>
              <w:right w:val="single" w:sz="4" w:space="0" w:color="auto"/>
            </w:tcBorders>
          </w:tcPr>
          <w:p w14:paraId="7E1A7030" w14:textId="77777777" w:rsidR="00C17633" w:rsidRPr="000D756E" w:rsidRDefault="00C17633" w:rsidP="00C17633">
            <w:pPr>
              <w:jc w:val="right"/>
              <w:rPr>
                <w:rFonts w:ascii="Arial" w:hAnsi="Arial" w:cs="Arial"/>
                <w:sz w:val="22"/>
                <w:szCs w:val="22"/>
              </w:rPr>
            </w:pPr>
          </w:p>
        </w:tc>
        <w:tc>
          <w:tcPr>
            <w:tcW w:w="1275" w:type="dxa"/>
            <w:tcBorders>
              <w:left w:val="single" w:sz="4" w:space="0" w:color="auto"/>
              <w:bottom w:val="single" w:sz="4" w:space="0" w:color="auto"/>
              <w:right w:val="single" w:sz="4" w:space="0" w:color="auto"/>
            </w:tcBorders>
          </w:tcPr>
          <w:p w14:paraId="574ED833" w14:textId="77777777" w:rsidR="00C17633" w:rsidRPr="000D756E" w:rsidRDefault="00C17633" w:rsidP="00406E4E">
            <w:pPr>
              <w:jc w:val="right"/>
              <w:rPr>
                <w:rFonts w:ascii="Arial" w:hAnsi="Arial" w:cs="Arial"/>
                <w:sz w:val="22"/>
                <w:szCs w:val="22"/>
              </w:rPr>
            </w:pPr>
          </w:p>
        </w:tc>
      </w:tr>
      <w:tr w:rsidR="00C17633" w:rsidRPr="000D756E" w14:paraId="08D623CE" w14:textId="77777777" w:rsidTr="00884152">
        <w:tc>
          <w:tcPr>
            <w:tcW w:w="1277" w:type="dxa"/>
            <w:tcBorders>
              <w:top w:val="single" w:sz="4" w:space="0" w:color="auto"/>
              <w:left w:val="single" w:sz="4" w:space="0" w:color="auto"/>
              <w:bottom w:val="single" w:sz="4" w:space="0" w:color="auto"/>
              <w:right w:val="single" w:sz="4" w:space="0" w:color="auto"/>
            </w:tcBorders>
          </w:tcPr>
          <w:p w14:paraId="66108C49"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3E2B426"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4B25D14C" w14:textId="4E798CBD" w:rsidR="00C17633" w:rsidRPr="000D756E" w:rsidRDefault="00C17633" w:rsidP="00C17633">
            <w:pPr>
              <w:jc w:val="right"/>
              <w:rPr>
                <w:rFonts w:ascii="Arial" w:hAnsi="Arial" w:cs="Arial"/>
                <w:b/>
                <w:sz w:val="22"/>
                <w:szCs w:val="22"/>
              </w:rPr>
            </w:pPr>
            <w:r w:rsidRPr="000D756E">
              <w:rPr>
                <w:rFonts w:ascii="Arial" w:hAnsi="Arial" w:cs="Arial"/>
                <w:b/>
                <w:sz w:val="22"/>
                <w:szCs w:val="22"/>
              </w:rPr>
              <w:t>-42</w:t>
            </w:r>
          </w:p>
        </w:tc>
        <w:tc>
          <w:tcPr>
            <w:tcW w:w="4252" w:type="dxa"/>
            <w:tcBorders>
              <w:top w:val="single" w:sz="4" w:space="0" w:color="auto"/>
              <w:left w:val="single" w:sz="4" w:space="0" w:color="auto"/>
              <w:bottom w:val="single" w:sz="4" w:space="0" w:color="auto"/>
              <w:right w:val="single" w:sz="4" w:space="0" w:color="auto"/>
            </w:tcBorders>
          </w:tcPr>
          <w:p w14:paraId="04DB32FF" w14:textId="77777777" w:rsidR="00C17633" w:rsidRPr="000D756E" w:rsidRDefault="00C17633" w:rsidP="00C17633">
            <w:pPr>
              <w:rPr>
                <w:rFonts w:ascii="Arial" w:hAnsi="Arial" w:cs="Arial"/>
                <w:b/>
                <w:sz w:val="22"/>
                <w:szCs w:val="22"/>
              </w:rPr>
            </w:pPr>
            <w:r w:rsidRPr="000D756E">
              <w:rPr>
                <w:rFonts w:ascii="Arial" w:hAnsi="Arial" w:cs="Arial"/>
                <w:b/>
                <w:sz w:val="22"/>
                <w:szCs w:val="22"/>
              </w:rPr>
              <w:t>Other Operating Expenditure</w:t>
            </w:r>
          </w:p>
        </w:tc>
        <w:tc>
          <w:tcPr>
            <w:tcW w:w="1276" w:type="dxa"/>
            <w:tcBorders>
              <w:top w:val="single" w:sz="4" w:space="0" w:color="auto"/>
              <w:left w:val="single" w:sz="4" w:space="0" w:color="auto"/>
              <w:bottom w:val="single" w:sz="4" w:space="0" w:color="auto"/>
              <w:right w:val="single" w:sz="4" w:space="0" w:color="auto"/>
            </w:tcBorders>
          </w:tcPr>
          <w:p w14:paraId="684000B4"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A67EFB3" w14:textId="77777777" w:rsidR="00C17633" w:rsidRPr="000D756E" w:rsidRDefault="00C17633" w:rsidP="00C17633">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0639EF7" w14:textId="3DC53727" w:rsidR="00C17633" w:rsidRPr="000D756E" w:rsidRDefault="00B935B3" w:rsidP="00406E4E">
            <w:pPr>
              <w:jc w:val="right"/>
              <w:rPr>
                <w:rFonts w:ascii="Arial" w:hAnsi="Arial" w:cs="Arial"/>
                <w:b/>
                <w:sz w:val="22"/>
                <w:szCs w:val="22"/>
              </w:rPr>
            </w:pPr>
            <w:r>
              <w:rPr>
                <w:rFonts w:ascii="Arial" w:hAnsi="Arial" w:cs="Arial"/>
                <w:b/>
                <w:sz w:val="22"/>
                <w:szCs w:val="22"/>
              </w:rPr>
              <w:t>-24</w:t>
            </w:r>
          </w:p>
        </w:tc>
      </w:tr>
      <w:tr w:rsidR="00C17633" w:rsidRPr="000D756E" w14:paraId="02944F12" w14:textId="77777777" w:rsidTr="00884152">
        <w:tc>
          <w:tcPr>
            <w:tcW w:w="1277" w:type="dxa"/>
            <w:tcBorders>
              <w:top w:val="single" w:sz="4" w:space="0" w:color="auto"/>
              <w:left w:val="single" w:sz="4" w:space="0" w:color="auto"/>
              <w:right w:val="single" w:sz="4" w:space="0" w:color="auto"/>
            </w:tcBorders>
          </w:tcPr>
          <w:p w14:paraId="1A28408D"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1541113F"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right w:val="single" w:sz="4" w:space="0" w:color="auto"/>
            </w:tcBorders>
          </w:tcPr>
          <w:p w14:paraId="7C3F52AC" w14:textId="77777777" w:rsidR="00C17633" w:rsidRPr="000D756E" w:rsidRDefault="00C17633" w:rsidP="00C17633">
            <w:pPr>
              <w:jc w:val="right"/>
              <w:rPr>
                <w:rFonts w:ascii="Arial" w:hAnsi="Arial" w:cs="Arial"/>
                <w:sz w:val="22"/>
                <w:szCs w:val="22"/>
              </w:rPr>
            </w:pPr>
          </w:p>
        </w:tc>
        <w:tc>
          <w:tcPr>
            <w:tcW w:w="4252" w:type="dxa"/>
            <w:tcBorders>
              <w:top w:val="single" w:sz="4" w:space="0" w:color="auto"/>
              <w:left w:val="single" w:sz="4" w:space="0" w:color="auto"/>
              <w:right w:val="single" w:sz="4" w:space="0" w:color="auto"/>
            </w:tcBorders>
          </w:tcPr>
          <w:p w14:paraId="24537C32" w14:textId="77777777" w:rsidR="00C17633" w:rsidRPr="000D756E" w:rsidRDefault="00C17633" w:rsidP="00C17633">
            <w:pPr>
              <w:rPr>
                <w:rFonts w:ascii="Arial" w:hAnsi="Arial" w:cs="Arial"/>
                <w:sz w:val="22"/>
                <w:szCs w:val="22"/>
              </w:rPr>
            </w:pPr>
          </w:p>
        </w:tc>
        <w:tc>
          <w:tcPr>
            <w:tcW w:w="1276" w:type="dxa"/>
            <w:tcBorders>
              <w:top w:val="single" w:sz="4" w:space="0" w:color="auto"/>
              <w:left w:val="single" w:sz="4" w:space="0" w:color="auto"/>
              <w:right w:val="single" w:sz="4" w:space="0" w:color="auto"/>
            </w:tcBorders>
          </w:tcPr>
          <w:p w14:paraId="31D05505"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right w:val="single" w:sz="4" w:space="0" w:color="auto"/>
            </w:tcBorders>
          </w:tcPr>
          <w:p w14:paraId="205A65E7" w14:textId="77777777" w:rsidR="00C17633" w:rsidRPr="000D756E" w:rsidRDefault="00C17633" w:rsidP="00C17633">
            <w:pPr>
              <w:jc w:val="right"/>
              <w:rPr>
                <w:rFonts w:ascii="Arial" w:hAnsi="Arial" w:cs="Arial"/>
                <w:sz w:val="22"/>
                <w:szCs w:val="22"/>
              </w:rPr>
            </w:pPr>
          </w:p>
        </w:tc>
        <w:tc>
          <w:tcPr>
            <w:tcW w:w="1275" w:type="dxa"/>
            <w:tcBorders>
              <w:top w:val="single" w:sz="4" w:space="0" w:color="auto"/>
              <w:left w:val="single" w:sz="4" w:space="0" w:color="auto"/>
              <w:right w:val="single" w:sz="4" w:space="0" w:color="auto"/>
            </w:tcBorders>
          </w:tcPr>
          <w:p w14:paraId="47041487" w14:textId="77777777" w:rsidR="00C17633" w:rsidRPr="000D756E" w:rsidRDefault="00C17633" w:rsidP="00406E4E">
            <w:pPr>
              <w:jc w:val="right"/>
              <w:rPr>
                <w:rFonts w:ascii="Arial" w:hAnsi="Arial" w:cs="Arial"/>
                <w:sz w:val="22"/>
                <w:szCs w:val="22"/>
              </w:rPr>
            </w:pPr>
          </w:p>
        </w:tc>
      </w:tr>
      <w:tr w:rsidR="00C17633" w:rsidRPr="000D756E" w14:paraId="5B4C4F85" w14:textId="77777777" w:rsidTr="00884152">
        <w:tc>
          <w:tcPr>
            <w:tcW w:w="1277" w:type="dxa"/>
            <w:tcBorders>
              <w:left w:val="single" w:sz="4" w:space="0" w:color="auto"/>
              <w:right w:val="single" w:sz="4" w:space="0" w:color="auto"/>
            </w:tcBorders>
          </w:tcPr>
          <w:p w14:paraId="0EAA18B8" w14:textId="77777777" w:rsidR="00C17633" w:rsidRPr="000D756E" w:rsidRDefault="00C17633" w:rsidP="00C17633">
            <w:pPr>
              <w:ind w:left="-108"/>
              <w:jc w:val="right"/>
              <w:rPr>
                <w:rFonts w:ascii="Arial" w:hAnsi="Arial" w:cs="Arial"/>
              </w:rPr>
            </w:pPr>
          </w:p>
        </w:tc>
        <w:tc>
          <w:tcPr>
            <w:tcW w:w="850" w:type="dxa"/>
            <w:tcBorders>
              <w:left w:val="single" w:sz="4" w:space="0" w:color="auto"/>
              <w:right w:val="single" w:sz="4" w:space="0" w:color="auto"/>
            </w:tcBorders>
          </w:tcPr>
          <w:p w14:paraId="2E8300A5" w14:textId="77777777" w:rsidR="00C17633" w:rsidRPr="000D756E" w:rsidRDefault="00C17633" w:rsidP="00C17633">
            <w:pPr>
              <w:jc w:val="right"/>
              <w:rPr>
                <w:rFonts w:ascii="Arial" w:hAnsi="Arial" w:cs="Arial"/>
              </w:rPr>
            </w:pPr>
          </w:p>
        </w:tc>
        <w:tc>
          <w:tcPr>
            <w:tcW w:w="1418" w:type="dxa"/>
            <w:tcBorders>
              <w:left w:val="single" w:sz="4" w:space="0" w:color="auto"/>
              <w:right w:val="single" w:sz="4" w:space="0" w:color="auto"/>
            </w:tcBorders>
          </w:tcPr>
          <w:p w14:paraId="72BC9474" w14:textId="6478FBE2" w:rsidR="00C17633" w:rsidRPr="000D756E" w:rsidRDefault="00C17633" w:rsidP="00C17633">
            <w:pPr>
              <w:jc w:val="right"/>
              <w:rPr>
                <w:rFonts w:ascii="Arial" w:hAnsi="Arial" w:cs="Arial"/>
                <w:sz w:val="22"/>
                <w:szCs w:val="22"/>
              </w:rPr>
            </w:pPr>
            <w:r w:rsidRPr="000D756E">
              <w:rPr>
                <w:rFonts w:ascii="Arial" w:hAnsi="Arial" w:cs="Arial"/>
                <w:sz w:val="22"/>
                <w:szCs w:val="22"/>
              </w:rPr>
              <w:t>234</w:t>
            </w:r>
          </w:p>
        </w:tc>
        <w:tc>
          <w:tcPr>
            <w:tcW w:w="4252" w:type="dxa"/>
            <w:tcBorders>
              <w:left w:val="single" w:sz="4" w:space="0" w:color="auto"/>
              <w:right w:val="single" w:sz="4" w:space="0" w:color="auto"/>
            </w:tcBorders>
          </w:tcPr>
          <w:p w14:paraId="4798102A" w14:textId="77777777" w:rsidR="00C17633" w:rsidRPr="000D756E" w:rsidRDefault="00C17633" w:rsidP="00C17633">
            <w:pPr>
              <w:rPr>
                <w:rFonts w:ascii="Arial" w:hAnsi="Arial" w:cs="Arial"/>
                <w:sz w:val="22"/>
                <w:szCs w:val="22"/>
              </w:rPr>
            </w:pPr>
            <w:r w:rsidRPr="000D756E">
              <w:rPr>
                <w:rFonts w:ascii="Arial" w:hAnsi="Arial" w:cs="Arial"/>
                <w:sz w:val="22"/>
                <w:szCs w:val="22"/>
              </w:rPr>
              <w:t>Interest payable and similar charges</w:t>
            </w:r>
          </w:p>
        </w:tc>
        <w:tc>
          <w:tcPr>
            <w:tcW w:w="1276" w:type="dxa"/>
            <w:tcBorders>
              <w:left w:val="single" w:sz="4" w:space="0" w:color="auto"/>
              <w:right w:val="single" w:sz="4" w:space="0" w:color="auto"/>
            </w:tcBorders>
          </w:tcPr>
          <w:p w14:paraId="2FB0F5FF" w14:textId="77777777" w:rsidR="00C17633" w:rsidRPr="000D756E" w:rsidRDefault="00C17633" w:rsidP="00C17633">
            <w:pPr>
              <w:jc w:val="right"/>
              <w:rPr>
                <w:rFonts w:ascii="Arial" w:hAnsi="Arial" w:cs="Arial"/>
                <w:sz w:val="22"/>
                <w:szCs w:val="22"/>
              </w:rPr>
            </w:pPr>
          </w:p>
        </w:tc>
        <w:tc>
          <w:tcPr>
            <w:tcW w:w="851" w:type="dxa"/>
            <w:tcBorders>
              <w:left w:val="single" w:sz="4" w:space="0" w:color="auto"/>
              <w:right w:val="single" w:sz="4" w:space="0" w:color="auto"/>
            </w:tcBorders>
          </w:tcPr>
          <w:p w14:paraId="32DA1034" w14:textId="77777777" w:rsidR="00C17633" w:rsidRPr="000D756E" w:rsidRDefault="00C17633" w:rsidP="00C17633">
            <w:pPr>
              <w:jc w:val="right"/>
              <w:rPr>
                <w:rFonts w:ascii="Arial" w:hAnsi="Arial" w:cs="Arial"/>
                <w:sz w:val="22"/>
                <w:szCs w:val="22"/>
              </w:rPr>
            </w:pPr>
          </w:p>
        </w:tc>
        <w:tc>
          <w:tcPr>
            <w:tcW w:w="1275" w:type="dxa"/>
            <w:tcBorders>
              <w:left w:val="single" w:sz="4" w:space="0" w:color="auto"/>
              <w:right w:val="single" w:sz="4" w:space="0" w:color="auto"/>
            </w:tcBorders>
          </w:tcPr>
          <w:p w14:paraId="72AC6930" w14:textId="6EDE579D" w:rsidR="00C17633" w:rsidRPr="000D756E" w:rsidRDefault="00B935B3" w:rsidP="00406E4E">
            <w:pPr>
              <w:jc w:val="right"/>
              <w:rPr>
                <w:rFonts w:ascii="Arial" w:hAnsi="Arial" w:cs="Arial"/>
                <w:sz w:val="22"/>
                <w:szCs w:val="22"/>
              </w:rPr>
            </w:pPr>
            <w:r>
              <w:rPr>
                <w:rFonts w:ascii="Arial" w:hAnsi="Arial" w:cs="Arial"/>
                <w:sz w:val="22"/>
                <w:szCs w:val="22"/>
              </w:rPr>
              <w:t>232</w:t>
            </w:r>
          </w:p>
        </w:tc>
      </w:tr>
      <w:tr w:rsidR="00C17633" w:rsidRPr="000D756E" w14:paraId="20F8C4AA" w14:textId="77777777" w:rsidTr="00884152">
        <w:tc>
          <w:tcPr>
            <w:tcW w:w="1277" w:type="dxa"/>
            <w:tcBorders>
              <w:left w:val="single" w:sz="4" w:space="0" w:color="auto"/>
              <w:right w:val="single" w:sz="4" w:space="0" w:color="auto"/>
            </w:tcBorders>
          </w:tcPr>
          <w:p w14:paraId="19938F8A" w14:textId="77777777" w:rsidR="00C17633" w:rsidRPr="000D756E" w:rsidRDefault="00C17633" w:rsidP="00C17633">
            <w:pPr>
              <w:ind w:left="-108"/>
              <w:jc w:val="right"/>
              <w:rPr>
                <w:rFonts w:ascii="Arial" w:hAnsi="Arial" w:cs="Arial"/>
              </w:rPr>
            </w:pPr>
          </w:p>
        </w:tc>
        <w:tc>
          <w:tcPr>
            <w:tcW w:w="850" w:type="dxa"/>
            <w:tcBorders>
              <w:left w:val="single" w:sz="4" w:space="0" w:color="auto"/>
              <w:right w:val="single" w:sz="4" w:space="0" w:color="auto"/>
            </w:tcBorders>
          </w:tcPr>
          <w:p w14:paraId="4CF65C07" w14:textId="77777777" w:rsidR="00C17633" w:rsidRPr="000D756E" w:rsidRDefault="00C17633" w:rsidP="00C17633">
            <w:pPr>
              <w:jc w:val="right"/>
              <w:rPr>
                <w:rFonts w:ascii="Arial" w:hAnsi="Arial" w:cs="Arial"/>
              </w:rPr>
            </w:pPr>
          </w:p>
        </w:tc>
        <w:tc>
          <w:tcPr>
            <w:tcW w:w="1418" w:type="dxa"/>
            <w:tcBorders>
              <w:left w:val="single" w:sz="4" w:space="0" w:color="auto"/>
              <w:right w:val="single" w:sz="4" w:space="0" w:color="auto"/>
            </w:tcBorders>
          </w:tcPr>
          <w:p w14:paraId="2235498B" w14:textId="6820295C" w:rsidR="00C17633" w:rsidRPr="000D756E" w:rsidRDefault="00C17633" w:rsidP="00C17633">
            <w:pPr>
              <w:jc w:val="right"/>
              <w:rPr>
                <w:rFonts w:ascii="Arial" w:hAnsi="Arial" w:cs="Arial"/>
                <w:sz w:val="22"/>
                <w:szCs w:val="22"/>
              </w:rPr>
            </w:pPr>
            <w:r w:rsidRPr="000D756E">
              <w:rPr>
                <w:rFonts w:ascii="Arial" w:hAnsi="Arial" w:cs="Arial"/>
                <w:sz w:val="22"/>
                <w:szCs w:val="22"/>
              </w:rPr>
              <w:t>-543</w:t>
            </w:r>
          </w:p>
        </w:tc>
        <w:tc>
          <w:tcPr>
            <w:tcW w:w="4252" w:type="dxa"/>
            <w:tcBorders>
              <w:left w:val="single" w:sz="4" w:space="0" w:color="auto"/>
              <w:right w:val="single" w:sz="4" w:space="0" w:color="auto"/>
            </w:tcBorders>
          </w:tcPr>
          <w:p w14:paraId="71531A88" w14:textId="77777777" w:rsidR="00C17633" w:rsidRPr="000D756E" w:rsidRDefault="00C17633" w:rsidP="00C17633">
            <w:pPr>
              <w:rPr>
                <w:rFonts w:ascii="Arial" w:hAnsi="Arial" w:cs="Arial"/>
                <w:sz w:val="22"/>
                <w:szCs w:val="22"/>
              </w:rPr>
            </w:pPr>
            <w:r w:rsidRPr="000D756E">
              <w:rPr>
                <w:rFonts w:ascii="Arial" w:hAnsi="Arial" w:cs="Arial"/>
                <w:sz w:val="22"/>
                <w:szCs w:val="22"/>
              </w:rPr>
              <w:t>Interest and investment income</w:t>
            </w:r>
          </w:p>
        </w:tc>
        <w:tc>
          <w:tcPr>
            <w:tcW w:w="1276" w:type="dxa"/>
            <w:tcBorders>
              <w:left w:val="single" w:sz="4" w:space="0" w:color="auto"/>
              <w:right w:val="single" w:sz="4" w:space="0" w:color="auto"/>
            </w:tcBorders>
          </w:tcPr>
          <w:p w14:paraId="1C2DC6B9" w14:textId="77777777" w:rsidR="00C17633" w:rsidRPr="000D756E" w:rsidRDefault="00C17633" w:rsidP="00C17633">
            <w:pPr>
              <w:jc w:val="right"/>
              <w:rPr>
                <w:rFonts w:ascii="Arial" w:hAnsi="Arial" w:cs="Arial"/>
                <w:sz w:val="22"/>
                <w:szCs w:val="22"/>
              </w:rPr>
            </w:pPr>
          </w:p>
        </w:tc>
        <w:tc>
          <w:tcPr>
            <w:tcW w:w="851" w:type="dxa"/>
            <w:tcBorders>
              <w:left w:val="single" w:sz="4" w:space="0" w:color="auto"/>
              <w:right w:val="single" w:sz="4" w:space="0" w:color="auto"/>
            </w:tcBorders>
          </w:tcPr>
          <w:p w14:paraId="232D6FAA" w14:textId="77777777" w:rsidR="00C17633" w:rsidRPr="000D756E" w:rsidRDefault="00C17633" w:rsidP="00C17633">
            <w:pPr>
              <w:jc w:val="right"/>
              <w:rPr>
                <w:rFonts w:ascii="Arial" w:hAnsi="Arial" w:cs="Arial"/>
                <w:sz w:val="22"/>
                <w:szCs w:val="22"/>
              </w:rPr>
            </w:pPr>
          </w:p>
        </w:tc>
        <w:tc>
          <w:tcPr>
            <w:tcW w:w="1275" w:type="dxa"/>
            <w:tcBorders>
              <w:left w:val="single" w:sz="4" w:space="0" w:color="auto"/>
              <w:right w:val="single" w:sz="4" w:space="0" w:color="auto"/>
            </w:tcBorders>
          </w:tcPr>
          <w:p w14:paraId="21219909" w14:textId="34F7C0C4" w:rsidR="00C17633" w:rsidRPr="000D756E" w:rsidRDefault="00B935B3" w:rsidP="00406E4E">
            <w:pPr>
              <w:jc w:val="right"/>
              <w:rPr>
                <w:rFonts w:ascii="Arial" w:hAnsi="Arial" w:cs="Arial"/>
                <w:sz w:val="22"/>
                <w:szCs w:val="22"/>
              </w:rPr>
            </w:pPr>
            <w:r>
              <w:rPr>
                <w:rFonts w:ascii="Arial" w:hAnsi="Arial" w:cs="Arial"/>
                <w:sz w:val="22"/>
                <w:szCs w:val="22"/>
              </w:rPr>
              <w:t>-474</w:t>
            </w:r>
          </w:p>
        </w:tc>
      </w:tr>
      <w:tr w:rsidR="00C17633" w:rsidRPr="000D756E" w14:paraId="18C74309" w14:textId="77777777" w:rsidTr="00884152">
        <w:trPr>
          <w:trHeight w:val="410"/>
        </w:trPr>
        <w:tc>
          <w:tcPr>
            <w:tcW w:w="1277" w:type="dxa"/>
            <w:tcBorders>
              <w:left w:val="single" w:sz="4" w:space="0" w:color="auto"/>
              <w:right w:val="single" w:sz="4" w:space="0" w:color="auto"/>
            </w:tcBorders>
          </w:tcPr>
          <w:p w14:paraId="029D71CC" w14:textId="77777777" w:rsidR="00C17633" w:rsidRPr="000D756E" w:rsidRDefault="00C17633" w:rsidP="00C17633">
            <w:pPr>
              <w:ind w:left="-108"/>
              <w:jc w:val="right"/>
              <w:rPr>
                <w:rFonts w:ascii="Arial" w:hAnsi="Arial" w:cs="Arial"/>
              </w:rPr>
            </w:pPr>
          </w:p>
        </w:tc>
        <w:tc>
          <w:tcPr>
            <w:tcW w:w="850" w:type="dxa"/>
            <w:tcBorders>
              <w:left w:val="single" w:sz="4" w:space="0" w:color="auto"/>
              <w:right w:val="single" w:sz="4" w:space="0" w:color="auto"/>
            </w:tcBorders>
          </w:tcPr>
          <w:p w14:paraId="6D234FE3" w14:textId="77777777" w:rsidR="00C17633" w:rsidRPr="000D756E" w:rsidRDefault="00C17633" w:rsidP="00C17633">
            <w:pPr>
              <w:jc w:val="right"/>
              <w:rPr>
                <w:rFonts w:ascii="Arial" w:hAnsi="Arial" w:cs="Arial"/>
              </w:rPr>
            </w:pPr>
          </w:p>
        </w:tc>
        <w:tc>
          <w:tcPr>
            <w:tcW w:w="1418" w:type="dxa"/>
            <w:tcBorders>
              <w:left w:val="single" w:sz="4" w:space="0" w:color="auto"/>
              <w:right w:val="single" w:sz="4" w:space="0" w:color="auto"/>
            </w:tcBorders>
          </w:tcPr>
          <w:p w14:paraId="7EBC9AD2" w14:textId="03B9A79F" w:rsidR="00C17633" w:rsidRPr="000D756E" w:rsidRDefault="00C17633" w:rsidP="00C17633">
            <w:pPr>
              <w:jc w:val="right"/>
              <w:rPr>
                <w:rFonts w:ascii="Arial" w:hAnsi="Arial" w:cs="Arial"/>
                <w:sz w:val="22"/>
                <w:szCs w:val="22"/>
              </w:rPr>
            </w:pPr>
            <w:r w:rsidRPr="000D756E">
              <w:rPr>
                <w:rFonts w:ascii="Arial" w:hAnsi="Arial" w:cs="Arial"/>
                <w:sz w:val="22"/>
                <w:szCs w:val="22"/>
              </w:rPr>
              <w:t>8,749</w:t>
            </w:r>
          </w:p>
        </w:tc>
        <w:tc>
          <w:tcPr>
            <w:tcW w:w="4252" w:type="dxa"/>
            <w:tcBorders>
              <w:left w:val="single" w:sz="4" w:space="0" w:color="auto"/>
              <w:right w:val="single" w:sz="4" w:space="0" w:color="auto"/>
            </w:tcBorders>
          </w:tcPr>
          <w:p w14:paraId="248C55AA" w14:textId="77777777" w:rsidR="00C17633" w:rsidRPr="000D756E" w:rsidRDefault="00C17633" w:rsidP="00C17633">
            <w:pPr>
              <w:rPr>
                <w:rFonts w:ascii="Arial" w:hAnsi="Arial" w:cs="Arial"/>
                <w:sz w:val="22"/>
                <w:szCs w:val="22"/>
              </w:rPr>
            </w:pPr>
            <w:r w:rsidRPr="000D756E">
              <w:rPr>
                <w:rFonts w:ascii="Arial" w:hAnsi="Arial" w:cs="Arial"/>
                <w:sz w:val="22"/>
                <w:szCs w:val="22"/>
              </w:rPr>
              <w:t>Net interest on the net defined liability</w:t>
            </w:r>
          </w:p>
          <w:p w14:paraId="36BF1979" w14:textId="40027551" w:rsidR="00C17633" w:rsidRPr="000D756E" w:rsidRDefault="00C17633" w:rsidP="00C17633">
            <w:pPr>
              <w:rPr>
                <w:rFonts w:ascii="Arial" w:hAnsi="Arial" w:cs="Arial"/>
                <w:sz w:val="22"/>
                <w:szCs w:val="22"/>
              </w:rPr>
            </w:pPr>
            <w:r w:rsidRPr="000D756E">
              <w:rPr>
                <w:rFonts w:ascii="Arial" w:hAnsi="Arial" w:cs="Arial"/>
                <w:sz w:val="22"/>
                <w:szCs w:val="22"/>
              </w:rPr>
              <w:t>(note 5)</w:t>
            </w:r>
          </w:p>
        </w:tc>
        <w:tc>
          <w:tcPr>
            <w:tcW w:w="1276" w:type="dxa"/>
            <w:tcBorders>
              <w:left w:val="single" w:sz="4" w:space="0" w:color="auto"/>
              <w:right w:val="single" w:sz="4" w:space="0" w:color="auto"/>
            </w:tcBorders>
          </w:tcPr>
          <w:p w14:paraId="5C411212" w14:textId="77777777" w:rsidR="00C17633" w:rsidRPr="000D756E" w:rsidRDefault="00C17633" w:rsidP="00C17633">
            <w:pPr>
              <w:jc w:val="right"/>
              <w:rPr>
                <w:rFonts w:ascii="Arial" w:hAnsi="Arial" w:cs="Arial"/>
                <w:sz w:val="22"/>
                <w:szCs w:val="22"/>
              </w:rPr>
            </w:pPr>
          </w:p>
        </w:tc>
        <w:tc>
          <w:tcPr>
            <w:tcW w:w="851" w:type="dxa"/>
            <w:tcBorders>
              <w:left w:val="single" w:sz="4" w:space="0" w:color="auto"/>
              <w:right w:val="single" w:sz="4" w:space="0" w:color="auto"/>
            </w:tcBorders>
          </w:tcPr>
          <w:p w14:paraId="475F1195" w14:textId="77777777" w:rsidR="00C17633" w:rsidRPr="000D756E" w:rsidRDefault="00C17633" w:rsidP="00C17633">
            <w:pPr>
              <w:jc w:val="right"/>
              <w:rPr>
                <w:rFonts w:ascii="Arial" w:hAnsi="Arial" w:cs="Arial"/>
                <w:sz w:val="22"/>
                <w:szCs w:val="22"/>
              </w:rPr>
            </w:pPr>
          </w:p>
        </w:tc>
        <w:tc>
          <w:tcPr>
            <w:tcW w:w="1275" w:type="dxa"/>
            <w:tcBorders>
              <w:left w:val="single" w:sz="4" w:space="0" w:color="auto"/>
              <w:right w:val="single" w:sz="4" w:space="0" w:color="auto"/>
            </w:tcBorders>
          </w:tcPr>
          <w:p w14:paraId="25326130" w14:textId="6CF04ABE" w:rsidR="00C17633" w:rsidRPr="000D756E" w:rsidRDefault="00FE08A1" w:rsidP="00406E4E">
            <w:pPr>
              <w:jc w:val="right"/>
              <w:rPr>
                <w:rFonts w:ascii="Arial" w:hAnsi="Arial" w:cs="Arial"/>
                <w:sz w:val="22"/>
                <w:szCs w:val="22"/>
              </w:rPr>
            </w:pPr>
            <w:r>
              <w:rPr>
                <w:rFonts w:ascii="Arial" w:hAnsi="Arial" w:cs="Arial"/>
                <w:sz w:val="22"/>
                <w:szCs w:val="22"/>
              </w:rPr>
              <w:t>8,780</w:t>
            </w:r>
          </w:p>
        </w:tc>
      </w:tr>
      <w:tr w:rsidR="00C17633" w:rsidRPr="000D756E" w14:paraId="77145EAA" w14:textId="77777777" w:rsidTr="00884152">
        <w:tc>
          <w:tcPr>
            <w:tcW w:w="1277" w:type="dxa"/>
            <w:tcBorders>
              <w:left w:val="single" w:sz="4" w:space="0" w:color="auto"/>
              <w:bottom w:val="single" w:sz="4" w:space="0" w:color="auto"/>
              <w:right w:val="single" w:sz="4" w:space="0" w:color="auto"/>
            </w:tcBorders>
          </w:tcPr>
          <w:p w14:paraId="2F636685" w14:textId="77777777" w:rsidR="00C17633" w:rsidRPr="000D756E" w:rsidRDefault="00C17633" w:rsidP="00C17633">
            <w:pPr>
              <w:ind w:left="-108"/>
              <w:jc w:val="right"/>
              <w:rPr>
                <w:rFonts w:ascii="Arial" w:hAnsi="Arial" w:cs="Arial"/>
              </w:rPr>
            </w:pPr>
          </w:p>
        </w:tc>
        <w:tc>
          <w:tcPr>
            <w:tcW w:w="850" w:type="dxa"/>
            <w:tcBorders>
              <w:left w:val="single" w:sz="4" w:space="0" w:color="auto"/>
              <w:bottom w:val="single" w:sz="4" w:space="0" w:color="auto"/>
              <w:right w:val="single" w:sz="4" w:space="0" w:color="auto"/>
            </w:tcBorders>
          </w:tcPr>
          <w:p w14:paraId="1360C347" w14:textId="77777777" w:rsidR="00C17633" w:rsidRPr="000D756E" w:rsidRDefault="00C17633" w:rsidP="00C17633">
            <w:pPr>
              <w:jc w:val="right"/>
              <w:rPr>
                <w:rFonts w:ascii="Arial" w:hAnsi="Arial" w:cs="Arial"/>
              </w:rPr>
            </w:pPr>
          </w:p>
        </w:tc>
        <w:tc>
          <w:tcPr>
            <w:tcW w:w="1418" w:type="dxa"/>
            <w:tcBorders>
              <w:left w:val="single" w:sz="4" w:space="0" w:color="auto"/>
              <w:bottom w:val="single" w:sz="4" w:space="0" w:color="auto"/>
              <w:right w:val="single" w:sz="4" w:space="0" w:color="auto"/>
            </w:tcBorders>
          </w:tcPr>
          <w:p w14:paraId="02302ECC" w14:textId="77777777" w:rsidR="00C17633" w:rsidRPr="000D756E" w:rsidRDefault="00C17633" w:rsidP="00C17633">
            <w:pPr>
              <w:jc w:val="right"/>
              <w:rPr>
                <w:rFonts w:ascii="Arial" w:hAnsi="Arial" w:cs="Arial"/>
              </w:rPr>
            </w:pPr>
          </w:p>
        </w:tc>
        <w:tc>
          <w:tcPr>
            <w:tcW w:w="4252" w:type="dxa"/>
            <w:tcBorders>
              <w:left w:val="single" w:sz="4" w:space="0" w:color="auto"/>
              <w:bottom w:val="single" w:sz="4" w:space="0" w:color="auto"/>
              <w:right w:val="single" w:sz="4" w:space="0" w:color="auto"/>
            </w:tcBorders>
          </w:tcPr>
          <w:p w14:paraId="0D7FFDD6" w14:textId="77777777" w:rsidR="00C17633" w:rsidRPr="000D756E" w:rsidRDefault="00C17633" w:rsidP="00C17633">
            <w:pPr>
              <w:rPr>
                <w:rFonts w:ascii="Arial" w:hAnsi="Arial" w:cs="Arial"/>
                <w:sz w:val="22"/>
                <w:szCs w:val="22"/>
              </w:rPr>
            </w:pPr>
          </w:p>
        </w:tc>
        <w:tc>
          <w:tcPr>
            <w:tcW w:w="1276" w:type="dxa"/>
            <w:tcBorders>
              <w:left w:val="single" w:sz="4" w:space="0" w:color="auto"/>
              <w:bottom w:val="single" w:sz="4" w:space="0" w:color="auto"/>
              <w:right w:val="single" w:sz="4" w:space="0" w:color="auto"/>
            </w:tcBorders>
          </w:tcPr>
          <w:p w14:paraId="0239B74A" w14:textId="77777777" w:rsidR="00C17633" w:rsidRPr="000D756E" w:rsidRDefault="00C17633" w:rsidP="00C17633">
            <w:pPr>
              <w:jc w:val="right"/>
              <w:rPr>
                <w:rFonts w:ascii="Arial" w:hAnsi="Arial" w:cs="Arial"/>
                <w:sz w:val="22"/>
                <w:szCs w:val="22"/>
              </w:rPr>
            </w:pPr>
          </w:p>
        </w:tc>
        <w:tc>
          <w:tcPr>
            <w:tcW w:w="851" w:type="dxa"/>
            <w:tcBorders>
              <w:left w:val="single" w:sz="4" w:space="0" w:color="auto"/>
              <w:bottom w:val="single" w:sz="4" w:space="0" w:color="auto"/>
              <w:right w:val="single" w:sz="4" w:space="0" w:color="auto"/>
            </w:tcBorders>
          </w:tcPr>
          <w:p w14:paraId="7B39535E" w14:textId="77777777" w:rsidR="00C17633" w:rsidRPr="000D756E" w:rsidRDefault="00C17633" w:rsidP="00C17633">
            <w:pPr>
              <w:jc w:val="right"/>
              <w:rPr>
                <w:rFonts w:ascii="Arial" w:hAnsi="Arial" w:cs="Arial"/>
              </w:rPr>
            </w:pPr>
          </w:p>
        </w:tc>
        <w:tc>
          <w:tcPr>
            <w:tcW w:w="1275" w:type="dxa"/>
            <w:tcBorders>
              <w:left w:val="single" w:sz="4" w:space="0" w:color="auto"/>
              <w:bottom w:val="single" w:sz="4" w:space="0" w:color="auto"/>
              <w:right w:val="single" w:sz="4" w:space="0" w:color="auto"/>
            </w:tcBorders>
          </w:tcPr>
          <w:p w14:paraId="614033E9" w14:textId="77777777" w:rsidR="00C17633" w:rsidRPr="000D756E" w:rsidRDefault="00C17633" w:rsidP="00406E4E">
            <w:pPr>
              <w:jc w:val="right"/>
              <w:rPr>
                <w:rFonts w:ascii="Arial" w:hAnsi="Arial" w:cs="Arial"/>
              </w:rPr>
            </w:pPr>
          </w:p>
        </w:tc>
      </w:tr>
      <w:tr w:rsidR="00C17633" w:rsidRPr="000D756E" w14:paraId="06AA2A1E" w14:textId="77777777" w:rsidTr="00884152">
        <w:tc>
          <w:tcPr>
            <w:tcW w:w="1277" w:type="dxa"/>
            <w:tcBorders>
              <w:top w:val="single" w:sz="4" w:space="0" w:color="auto"/>
              <w:left w:val="single" w:sz="4" w:space="0" w:color="auto"/>
              <w:bottom w:val="single" w:sz="4" w:space="0" w:color="auto"/>
              <w:right w:val="single" w:sz="4" w:space="0" w:color="auto"/>
            </w:tcBorders>
          </w:tcPr>
          <w:p w14:paraId="6380849C"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46C4164"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81588AC" w14:textId="786E8B99" w:rsidR="00C17633" w:rsidRPr="000D756E" w:rsidRDefault="00C17633" w:rsidP="00C17633">
            <w:pPr>
              <w:jc w:val="right"/>
              <w:rPr>
                <w:rFonts w:ascii="Arial" w:hAnsi="Arial" w:cs="Arial"/>
                <w:b/>
                <w:sz w:val="22"/>
                <w:szCs w:val="22"/>
              </w:rPr>
            </w:pPr>
            <w:r w:rsidRPr="000D756E">
              <w:rPr>
                <w:rFonts w:ascii="Arial" w:hAnsi="Arial" w:cs="Arial"/>
                <w:b/>
                <w:sz w:val="22"/>
                <w:szCs w:val="22"/>
              </w:rPr>
              <w:t>8,440</w:t>
            </w:r>
          </w:p>
        </w:tc>
        <w:tc>
          <w:tcPr>
            <w:tcW w:w="4252" w:type="dxa"/>
            <w:tcBorders>
              <w:top w:val="single" w:sz="4" w:space="0" w:color="auto"/>
              <w:left w:val="single" w:sz="4" w:space="0" w:color="auto"/>
              <w:bottom w:val="single" w:sz="4" w:space="0" w:color="auto"/>
              <w:right w:val="single" w:sz="4" w:space="0" w:color="auto"/>
            </w:tcBorders>
          </w:tcPr>
          <w:p w14:paraId="4D29052D" w14:textId="55313B61" w:rsidR="00C17633" w:rsidRPr="000D756E" w:rsidRDefault="00C17633" w:rsidP="00C17633">
            <w:pPr>
              <w:rPr>
                <w:rFonts w:ascii="Arial" w:hAnsi="Arial" w:cs="Arial"/>
                <w:b/>
                <w:sz w:val="22"/>
                <w:szCs w:val="22"/>
              </w:rPr>
            </w:pPr>
            <w:r w:rsidRPr="000D756E">
              <w:rPr>
                <w:rFonts w:ascii="Arial" w:hAnsi="Arial" w:cs="Arial"/>
                <w:b/>
                <w:sz w:val="22"/>
                <w:szCs w:val="22"/>
              </w:rPr>
              <w:t>Financing and Investment Income and Expenditure (note 6)</w:t>
            </w:r>
          </w:p>
        </w:tc>
        <w:tc>
          <w:tcPr>
            <w:tcW w:w="1276" w:type="dxa"/>
            <w:tcBorders>
              <w:top w:val="single" w:sz="4" w:space="0" w:color="auto"/>
              <w:left w:val="single" w:sz="4" w:space="0" w:color="auto"/>
              <w:bottom w:val="single" w:sz="4" w:space="0" w:color="auto"/>
              <w:right w:val="single" w:sz="4" w:space="0" w:color="auto"/>
            </w:tcBorders>
          </w:tcPr>
          <w:p w14:paraId="39B86F42"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390FDA2" w14:textId="77777777" w:rsidR="00C17633" w:rsidRPr="000D756E" w:rsidRDefault="00C17633" w:rsidP="00C17633">
            <w:pPr>
              <w:jc w:val="right"/>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1C5F14B5" w14:textId="3F7CED22" w:rsidR="00C17633" w:rsidRPr="000D756E" w:rsidRDefault="00FE08A1" w:rsidP="00406E4E">
            <w:pPr>
              <w:jc w:val="right"/>
              <w:rPr>
                <w:rFonts w:ascii="Arial" w:hAnsi="Arial" w:cs="Arial"/>
                <w:b/>
                <w:sz w:val="22"/>
                <w:szCs w:val="22"/>
              </w:rPr>
            </w:pPr>
            <w:r>
              <w:rPr>
                <w:rFonts w:ascii="Arial" w:hAnsi="Arial" w:cs="Arial"/>
                <w:b/>
                <w:sz w:val="22"/>
                <w:szCs w:val="22"/>
              </w:rPr>
              <w:t>8,538</w:t>
            </w:r>
          </w:p>
        </w:tc>
      </w:tr>
      <w:tr w:rsidR="00C17633" w:rsidRPr="000D756E" w14:paraId="15035A05" w14:textId="77777777" w:rsidTr="00884152">
        <w:tc>
          <w:tcPr>
            <w:tcW w:w="1277" w:type="dxa"/>
            <w:tcBorders>
              <w:top w:val="single" w:sz="4" w:space="0" w:color="auto"/>
              <w:left w:val="single" w:sz="4" w:space="0" w:color="auto"/>
              <w:right w:val="single" w:sz="4" w:space="0" w:color="auto"/>
            </w:tcBorders>
          </w:tcPr>
          <w:p w14:paraId="491E6384"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2DDC95A6"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right w:val="single" w:sz="4" w:space="0" w:color="auto"/>
            </w:tcBorders>
          </w:tcPr>
          <w:p w14:paraId="0265BADB" w14:textId="77777777" w:rsidR="00C17633" w:rsidRPr="000D756E" w:rsidRDefault="00C17633" w:rsidP="00C17633">
            <w:pPr>
              <w:jc w:val="right"/>
              <w:rPr>
                <w:rFonts w:ascii="Arial" w:hAnsi="Arial" w:cs="Arial"/>
                <w:sz w:val="22"/>
                <w:szCs w:val="22"/>
              </w:rPr>
            </w:pPr>
          </w:p>
        </w:tc>
        <w:tc>
          <w:tcPr>
            <w:tcW w:w="4252" w:type="dxa"/>
            <w:tcBorders>
              <w:top w:val="single" w:sz="4" w:space="0" w:color="auto"/>
              <w:left w:val="single" w:sz="4" w:space="0" w:color="auto"/>
              <w:right w:val="single" w:sz="4" w:space="0" w:color="auto"/>
            </w:tcBorders>
          </w:tcPr>
          <w:p w14:paraId="13BE03DB" w14:textId="77777777" w:rsidR="00C17633" w:rsidRPr="000D756E" w:rsidRDefault="00C17633" w:rsidP="00C17633">
            <w:pPr>
              <w:rPr>
                <w:rFonts w:ascii="Arial" w:hAnsi="Arial" w:cs="Arial"/>
                <w:sz w:val="22"/>
                <w:szCs w:val="22"/>
              </w:rPr>
            </w:pPr>
          </w:p>
        </w:tc>
        <w:tc>
          <w:tcPr>
            <w:tcW w:w="1276" w:type="dxa"/>
            <w:tcBorders>
              <w:top w:val="single" w:sz="4" w:space="0" w:color="auto"/>
              <w:left w:val="single" w:sz="4" w:space="0" w:color="auto"/>
              <w:right w:val="single" w:sz="4" w:space="0" w:color="auto"/>
            </w:tcBorders>
          </w:tcPr>
          <w:p w14:paraId="7BA6A70C"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right w:val="single" w:sz="4" w:space="0" w:color="auto"/>
            </w:tcBorders>
          </w:tcPr>
          <w:p w14:paraId="43637AEF" w14:textId="77777777" w:rsidR="00C17633" w:rsidRPr="000D756E" w:rsidRDefault="00C17633" w:rsidP="00C17633">
            <w:pPr>
              <w:jc w:val="right"/>
              <w:rPr>
                <w:rFonts w:ascii="Arial" w:hAnsi="Arial" w:cs="Arial"/>
                <w:sz w:val="22"/>
                <w:szCs w:val="22"/>
              </w:rPr>
            </w:pPr>
          </w:p>
        </w:tc>
        <w:tc>
          <w:tcPr>
            <w:tcW w:w="1275" w:type="dxa"/>
            <w:tcBorders>
              <w:top w:val="single" w:sz="4" w:space="0" w:color="auto"/>
              <w:left w:val="single" w:sz="4" w:space="0" w:color="auto"/>
              <w:right w:val="single" w:sz="4" w:space="0" w:color="auto"/>
            </w:tcBorders>
          </w:tcPr>
          <w:p w14:paraId="5A6FFB2A" w14:textId="77777777" w:rsidR="00C17633" w:rsidRPr="000D756E" w:rsidRDefault="00C17633" w:rsidP="00406E4E">
            <w:pPr>
              <w:jc w:val="right"/>
              <w:rPr>
                <w:rFonts w:ascii="Arial" w:hAnsi="Arial" w:cs="Arial"/>
                <w:sz w:val="22"/>
                <w:szCs w:val="22"/>
              </w:rPr>
            </w:pPr>
          </w:p>
        </w:tc>
      </w:tr>
      <w:tr w:rsidR="00C17633" w:rsidRPr="000D756E" w14:paraId="3C73AA2D" w14:textId="77777777" w:rsidTr="00884152">
        <w:tc>
          <w:tcPr>
            <w:tcW w:w="1277" w:type="dxa"/>
            <w:tcBorders>
              <w:left w:val="single" w:sz="4" w:space="0" w:color="auto"/>
              <w:right w:val="single" w:sz="4" w:space="0" w:color="auto"/>
            </w:tcBorders>
          </w:tcPr>
          <w:p w14:paraId="3CA12A8A" w14:textId="77777777" w:rsidR="00C17633" w:rsidRPr="000D756E" w:rsidRDefault="00C17633" w:rsidP="00C17633">
            <w:pPr>
              <w:ind w:left="-108"/>
              <w:jc w:val="right"/>
              <w:rPr>
                <w:rFonts w:ascii="Arial" w:hAnsi="Arial" w:cs="Arial"/>
              </w:rPr>
            </w:pPr>
          </w:p>
        </w:tc>
        <w:tc>
          <w:tcPr>
            <w:tcW w:w="850" w:type="dxa"/>
            <w:tcBorders>
              <w:left w:val="single" w:sz="4" w:space="0" w:color="auto"/>
              <w:right w:val="single" w:sz="4" w:space="0" w:color="auto"/>
            </w:tcBorders>
          </w:tcPr>
          <w:p w14:paraId="0DE9B6DE" w14:textId="77777777" w:rsidR="00C17633" w:rsidRPr="000D756E" w:rsidRDefault="00C17633" w:rsidP="00C17633">
            <w:pPr>
              <w:jc w:val="right"/>
              <w:rPr>
                <w:rFonts w:ascii="Arial" w:hAnsi="Arial" w:cs="Arial"/>
              </w:rPr>
            </w:pPr>
          </w:p>
        </w:tc>
        <w:tc>
          <w:tcPr>
            <w:tcW w:w="1418" w:type="dxa"/>
            <w:tcBorders>
              <w:left w:val="single" w:sz="4" w:space="0" w:color="auto"/>
              <w:right w:val="single" w:sz="4" w:space="0" w:color="auto"/>
            </w:tcBorders>
          </w:tcPr>
          <w:p w14:paraId="5A19281B" w14:textId="2B745C7E" w:rsidR="00C17633" w:rsidRPr="000D756E" w:rsidRDefault="00C17633" w:rsidP="00C17633">
            <w:pPr>
              <w:jc w:val="right"/>
              <w:rPr>
                <w:rFonts w:ascii="Arial" w:hAnsi="Arial" w:cs="Arial"/>
                <w:sz w:val="22"/>
                <w:szCs w:val="22"/>
              </w:rPr>
            </w:pPr>
            <w:r w:rsidRPr="000D756E">
              <w:rPr>
                <w:rFonts w:ascii="Arial" w:hAnsi="Arial" w:cs="Arial"/>
                <w:sz w:val="22"/>
                <w:szCs w:val="22"/>
              </w:rPr>
              <w:t>-23,368</w:t>
            </w:r>
          </w:p>
        </w:tc>
        <w:tc>
          <w:tcPr>
            <w:tcW w:w="4252" w:type="dxa"/>
            <w:tcBorders>
              <w:left w:val="single" w:sz="4" w:space="0" w:color="auto"/>
              <w:right w:val="single" w:sz="4" w:space="0" w:color="auto"/>
            </w:tcBorders>
          </w:tcPr>
          <w:p w14:paraId="221629BD" w14:textId="77777777" w:rsidR="00C17633" w:rsidRPr="000D756E" w:rsidRDefault="00C17633" w:rsidP="00C17633">
            <w:pPr>
              <w:rPr>
                <w:rFonts w:ascii="Arial" w:hAnsi="Arial" w:cs="Arial"/>
                <w:sz w:val="22"/>
                <w:szCs w:val="22"/>
              </w:rPr>
            </w:pPr>
            <w:r w:rsidRPr="000D756E">
              <w:rPr>
                <w:rFonts w:ascii="Arial" w:hAnsi="Arial" w:cs="Arial"/>
                <w:sz w:val="22"/>
                <w:szCs w:val="22"/>
              </w:rPr>
              <w:t>Precepts and Non Domestic Rates</w:t>
            </w:r>
          </w:p>
          <w:p w14:paraId="12247C43" w14:textId="6F40FB06" w:rsidR="00C17633" w:rsidRPr="000D756E" w:rsidRDefault="00C17633" w:rsidP="00C17633">
            <w:pPr>
              <w:rPr>
                <w:rFonts w:ascii="Arial" w:hAnsi="Arial" w:cs="Arial"/>
                <w:sz w:val="22"/>
                <w:szCs w:val="22"/>
              </w:rPr>
            </w:pPr>
            <w:r w:rsidRPr="000D756E">
              <w:rPr>
                <w:rFonts w:ascii="Arial" w:hAnsi="Arial" w:cs="Arial"/>
                <w:sz w:val="22"/>
                <w:szCs w:val="22"/>
              </w:rPr>
              <w:t xml:space="preserve"> (note </w:t>
            </w:r>
            <w:r w:rsidR="00693492">
              <w:rPr>
                <w:rFonts w:ascii="Arial" w:hAnsi="Arial" w:cs="Arial"/>
                <w:sz w:val="22"/>
                <w:szCs w:val="22"/>
              </w:rPr>
              <w:t>6</w:t>
            </w:r>
            <w:r w:rsidRPr="000D756E">
              <w:rPr>
                <w:rFonts w:ascii="Arial" w:hAnsi="Arial" w:cs="Arial"/>
                <w:sz w:val="22"/>
                <w:szCs w:val="22"/>
              </w:rPr>
              <w:t xml:space="preserve">)                           </w:t>
            </w:r>
          </w:p>
        </w:tc>
        <w:tc>
          <w:tcPr>
            <w:tcW w:w="1276" w:type="dxa"/>
            <w:tcBorders>
              <w:left w:val="single" w:sz="4" w:space="0" w:color="auto"/>
              <w:right w:val="single" w:sz="4" w:space="0" w:color="auto"/>
            </w:tcBorders>
          </w:tcPr>
          <w:p w14:paraId="1CBFD1C3" w14:textId="77777777" w:rsidR="00C17633" w:rsidRPr="000D756E" w:rsidRDefault="00C17633" w:rsidP="00C17633">
            <w:pPr>
              <w:jc w:val="right"/>
              <w:rPr>
                <w:rFonts w:ascii="Arial" w:hAnsi="Arial" w:cs="Arial"/>
                <w:b/>
                <w:sz w:val="22"/>
                <w:szCs w:val="22"/>
              </w:rPr>
            </w:pPr>
          </w:p>
        </w:tc>
        <w:tc>
          <w:tcPr>
            <w:tcW w:w="851" w:type="dxa"/>
            <w:tcBorders>
              <w:left w:val="single" w:sz="4" w:space="0" w:color="auto"/>
              <w:right w:val="single" w:sz="4" w:space="0" w:color="auto"/>
            </w:tcBorders>
          </w:tcPr>
          <w:p w14:paraId="05DEDAE5" w14:textId="77777777" w:rsidR="00C17633" w:rsidRPr="000D756E" w:rsidRDefault="00C17633" w:rsidP="00C17633">
            <w:pPr>
              <w:jc w:val="right"/>
              <w:rPr>
                <w:rFonts w:ascii="Arial" w:hAnsi="Arial" w:cs="Arial"/>
                <w:b/>
                <w:sz w:val="22"/>
                <w:szCs w:val="22"/>
              </w:rPr>
            </w:pPr>
          </w:p>
        </w:tc>
        <w:tc>
          <w:tcPr>
            <w:tcW w:w="1275" w:type="dxa"/>
            <w:tcBorders>
              <w:left w:val="single" w:sz="4" w:space="0" w:color="auto"/>
              <w:right w:val="single" w:sz="4" w:space="0" w:color="auto"/>
            </w:tcBorders>
          </w:tcPr>
          <w:p w14:paraId="3DF33870" w14:textId="451DED0C" w:rsidR="00C17633" w:rsidRDefault="00FE08A1" w:rsidP="00406E4E">
            <w:pPr>
              <w:jc w:val="right"/>
              <w:rPr>
                <w:rFonts w:ascii="Arial" w:hAnsi="Arial" w:cs="Arial"/>
                <w:sz w:val="22"/>
                <w:szCs w:val="22"/>
              </w:rPr>
            </w:pPr>
            <w:r>
              <w:rPr>
                <w:rFonts w:ascii="Arial" w:hAnsi="Arial" w:cs="Arial"/>
                <w:sz w:val="22"/>
                <w:szCs w:val="22"/>
              </w:rPr>
              <w:t>-2</w:t>
            </w:r>
            <w:r w:rsidR="00422AA4">
              <w:rPr>
                <w:rFonts w:ascii="Arial" w:hAnsi="Arial" w:cs="Arial"/>
                <w:sz w:val="22"/>
                <w:szCs w:val="22"/>
              </w:rPr>
              <w:t>4,526</w:t>
            </w:r>
          </w:p>
          <w:p w14:paraId="51802762" w14:textId="6A72ECF0" w:rsidR="00FE08A1" w:rsidRPr="000D756E" w:rsidRDefault="00FE08A1" w:rsidP="00406E4E">
            <w:pPr>
              <w:jc w:val="right"/>
              <w:rPr>
                <w:rFonts w:ascii="Arial" w:hAnsi="Arial" w:cs="Arial"/>
                <w:sz w:val="22"/>
                <w:szCs w:val="22"/>
              </w:rPr>
            </w:pPr>
          </w:p>
        </w:tc>
      </w:tr>
      <w:tr w:rsidR="00C17633" w:rsidRPr="000D756E" w14:paraId="73A09D30" w14:textId="77777777" w:rsidTr="00884152">
        <w:trPr>
          <w:trHeight w:val="258"/>
        </w:trPr>
        <w:tc>
          <w:tcPr>
            <w:tcW w:w="1277" w:type="dxa"/>
            <w:tcBorders>
              <w:left w:val="single" w:sz="4" w:space="0" w:color="auto"/>
              <w:right w:val="single" w:sz="4" w:space="0" w:color="auto"/>
            </w:tcBorders>
          </w:tcPr>
          <w:p w14:paraId="3C545671" w14:textId="77777777" w:rsidR="00C17633" w:rsidRPr="000D756E" w:rsidRDefault="00C17633" w:rsidP="00C17633">
            <w:pPr>
              <w:ind w:left="-108"/>
              <w:jc w:val="right"/>
              <w:rPr>
                <w:rFonts w:ascii="Arial" w:hAnsi="Arial" w:cs="Arial"/>
              </w:rPr>
            </w:pPr>
          </w:p>
        </w:tc>
        <w:tc>
          <w:tcPr>
            <w:tcW w:w="850" w:type="dxa"/>
            <w:tcBorders>
              <w:left w:val="single" w:sz="4" w:space="0" w:color="auto"/>
              <w:right w:val="single" w:sz="4" w:space="0" w:color="auto"/>
            </w:tcBorders>
          </w:tcPr>
          <w:p w14:paraId="0A84FB94" w14:textId="77777777" w:rsidR="00C17633" w:rsidRPr="000D756E" w:rsidRDefault="00C17633" w:rsidP="00C17633">
            <w:pPr>
              <w:jc w:val="right"/>
              <w:rPr>
                <w:rFonts w:ascii="Arial" w:hAnsi="Arial" w:cs="Arial"/>
              </w:rPr>
            </w:pPr>
          </w:p>
        </w:tc>
        <w:tc>
          <w:tcPr>
            <w:tcW w:w="1418" w:type="dxa"/>
            <w:tcBorders>
              <w:left w:val="single" w:sz="4" w:space="0" w:color="auto"/>
              <w:right w:val="single" w:sz="4" w:space="0" w:color="auto"/>
            </w:tcBorders>
          </w:tcPr>
          <w:p w14:paraId="2AB41E08" w14:textId="51F84EC6" w:rsidR="00C17633" w:rsidRPr="000D756E" w:rsidRDefault="00C17633" w:rsidP="00C17633">
            <w:pPr>
              <w:jc w:val="right"/>
              <w:rPr>
                <w:rFonts w:ascii="Arial" w:hAnsi="Arial" w:cs="Arial"/>
                <w:sz w:val="22"/>
                <w:szCs w:val="22"/>
              </w:rPr>
            </w:pPr>
            <w:r w:rsidRPr="000D756E">
              <w:rPr>
                <w:rFonts w:ascii="Arial" w:hAnsi="Arial" w:cs="Arial"/>
                <w:sz w:val="22"/>
                <w:szCs w:val="22"/>
              </w:rPr>
              <w:t>-4,361</w:t>
            </w:r>
          </w:p>
        </w:tc>
        <w:tc>
          <w:tcPr>
            <w:tcW w:w="4252" w:type="dxa"/>
            <w:tcBorders>
              <w:left w:val="single" w:sz="4" w:space="0" w:color="auto"/>
              <w:right w:val="single" w:sz="4" w:space="0" w:color="auto"/>
            </w:tcBorders>
          </w:tcPr>
          <w:p w14:paraId="5AF0D466" w14:textId="23449B81" w:rsidR="00C17633" w:rsidRPr="000D756E" w:rsidRDefault="00C17633" w:rsidP="00C17633">
            <w:pPr>
              <w:rPr>
                <w:rFonts w:ascii="Arial" w:hAnsi="Arial" w:cs="Arial"/>
                <w:sz w:val="22"/>
                <w:szCs w:val="22"/>
              </w:rPr>
            </w:pPr>
            <w:r w:rsidRPr="000D756E">
              <w:rPr>
                <w:rFonts w:ascii="Arial" w:hAnsi="Arial" w:cs="Arial"/>
                <w:sz w:val="22"/>
                <w:szCs w:val="22"/>
              </w:rPr>
              <w:t xml:space="preserve">Government Grants (notes </w:t>
            </w:r>
            <w:r w:rsidR="00693492">
              <w:rPr>
                <w:rFonts w:ascii="Arial" w:hAnsi="Arial" w:cs="Arial"/>
                <w:sz w:val="22"/>
                <w:szCs w:val="22"/>
              </w:rPr>
              <w:t>6</w:t>
            </w:r>
            <w:r w:rsidRPr="000D756E">
              <w:rPr>
                <w:rFonts w:ascii="Arial" w:hAnsi="Arial" w:cs="Arial"/>
                <w:sz w:val="22"/>
                <w:szCs w:val="22"/>
              </w:rPr>
              <w:t xml:space="preserve"> and 1</w:t>
            </w:r>
            <w:r w:rsidR="00693492">
              <w:rPr>
                <w:rFonts w:ascii="Arial" w:hAnsi="Arial" w:cs="Arial"/>
                <w:sz w:val="22"/>
                <w:szCs w:val="22"/>
              </w:rPr>
              <w:t>0</w:t>
            </w:r>
            <w:r w:rsidRPr="000D756E">
              <w:rPr>
                <w:rFonts w:ascii="Arial" w:hAnsi="Arial" w:cs="Arial"/>
                <w:sz w:val="22"/>
                <w:szCs w:val="22"/>
              </w:rPr>
              <w:t>)</w:t>
            </w:r>
          </w:p>
        </w:tc>
        <w:tc>
          <w:tcPr>
            <w:tcW w:w="1276" w:type="dxa"/>
            <w:tcBorders>
              <w:left w:val="single" w:sz="4" w:space="0" w:color="auto"/>
              <w:right w:val="single" w:sz="4" w:space="0" w:color="auto"/>
            </w:tcBorders>
          </w:tcPr>
          <w:p w14:paraId="64112F6F" w14:textId="77777777" w:rsidR="00C17633" w:rsidRPr="000D756E" w:rsidRDefault="00C17633" w:rsidP="00C17633">
            <w:pPr>
              <w:jc w:val="right"/>
              <w:rPr>
                <w:rFonts w:ascii="Arial" w:hAnsi="Arial" w:cs="Arial"/>
                <w:sz w:val="22"/>
                <w:szCs w:val="22"/>
              </w:rPr>
            </w:pPr>
          </w:p>
        </w:tc>
        <w:tc>
          <w:tcPr>
            <w:tcW w:w="851" w:type="dxa"/>
            <w:tcBorders>
              <w:left w:val="single" w:sz="4" w:space="0" w:color="auto"/>
              <w:right w:val="single" w:sz="4" w:space="0" w:color="auto"/>
            </w:tcBorders>
          </w:tcPr>
          <w:p w14:paraId="0255A220" w14:textId="77777777" w:rsidR="00C17633" w:rsidRPr="000D756E" w:rsidRDefault="00C17633" w:rsidP="00C17633">
            <w:pPr>
              <w:jc w:val="right"/>
              <w:rPr>
                <w:rFonts w:ascii="Arial" w:hAnsi="Arial" w:cs="Arial"/>
                <w:sz w:val="22"/>
                <w:szCs w:val="22"/>
              </w:rPr>
            </w:pPr>
          </w:p>
        </w:tc>
        <w:tc>
          <w:tcPr>
            <w:tcW w:w="1275" w:type="dxa"/>
            <w:tcBorders>
              <w:left w:val="single" w:sz="4" w:space="0" w:color="auto"/>
              <w:right w:val="single" w:sz="4" w:space="0" w:color="auto"/>
            </w:tcBorders>
          </w:tcPr>
          <w:p w14:paraId="2A394F36" w14:textId="5B9C1284" w:rsidR="00C17633" w:rsidRPr="000D756E" w:rsidRDefault="00A81D05" w:rsidP="00406E4E">
            <w:pPr>
              <w:jc w:val="right"/>
              <w:rPr>
                <w:rFonts w:ascii="Arial" w:hAnsi="Arial" w:cs="Arial"/>
                <w:sz w:val="22"/>
                <w:szCs w:val="22"/>
              </w:rPr>
            </w:pPr>
            <w:r>
              <w:rPr>
                <w:rFonts w:ascii="Arial" w:hAnsi="Arial" w:cs="Arial"/>
                <w:sz w:val="22"/>
                <w:szCs w:val="22"/>
              </w:rPr>
              <w:t>-</w:t>
            </w:r>
            <w:r w:rsidR="00B75B89">
              <w:rPr>
                <w:rFonts w:ascii="Arial" w:hAnsi="Arial" w:cs="Arial"/>
                <w:sz w:val="22"/>
                <w:szCs w:val="22"/>
              </w:rPr>
              <w:t>5,858</w:t>
            </w:r>
          </w:p>
        </w:tc>
      </w:tr>
      <w:tr w:rsidR="00C17633" w:rsidRPr="000D756E" w14:paraId="2022514A" w14:textId="77777777" w:rsidTr="00884152">
        <w:trPr>
          <w:trHeight w:val="82"/>
        </w:trPr>
        <w:tc>
          <w:tcPr>
            <w:tcW w:w="1277" w:type="dxa"/>
            <w:tcBorders>
              <w:left w:val="single" w:sz="4" w:space="0" w:color="auto"/>
              <w:bottom w:val="single" w:sz="4" w:space="0" w:color="auto"/>
              <w:right w:val="single" w:sz="4" w:space="0" w:color="auto"/>
            </w:tcBorders>
          </w:tcPr>
          <w:p w14:paraId="73BB31B8" w14:textId="77777777" w:rsidR="00C17633" w:rsidRPr="000D756E" w:rsidRDefault="00C17633" w:rsidP="00C17633">
            <w:pPr>
              <w:ind w:left="-108"/>
              <w:jc w:val="right"/>
              <w:rPr>
                <w:rFonts w:ascii="Arial" w:hAnsi="Arial" w:cs="Arial"/>
              </w:rPr>
            </w:pPr>
          </w:p>
        </w:tc>
        <w:tc>
          <w:tcPr>
            <w:tcW w:w="850" w:type="dxa"/>
            <w:tcBorders>
              <w:left w:val="single" w:sz="4" w:space="0" w:color="auto"/>
              <w:bottom w:val="single" w:sz="4" w:space="0" w:color="auto"/>
              <w:right w:val="single" w:sz="4" w:space="0" w:color="auto"/>
            </w:tcBorders>
          </w:tcPr>
          <w:p w14:paraId="6F6F66A3" w14:textId="77777777" w:rsidR="00C17633" w:rsidRPr="000D756E" w:rsidRDefault="00C17633" w:rsidP="00C17633">
            <w:pPr>
              <w:jc w:val="right"/>
              <w:rPr>
                <w:rFonts w:ascii="Arial" w:hAnsi="Arial" w:cs="Arial"/>
              </w:rPr>
            </w:pPr>
          </w:p>
        </w:tc>
        <w:tc>
          <w:tcPr>
            <w:tcW w:w="1418" w:type="dxa"/>
            <w:tcBorders>
              <w:left w:val="single" w:sz="4" w:space="0" w:color="auto"/>
              <w:bottom w:val="single" w:sz="4" w:space="0" w:color="auto"/>
              <w:right w:val="single" w:sz="4" w:space="0" w:color="auto"/>
            </w:tcBorders>
          </w:tcPr>
          <w:p w14:paraId="1FC172BA" w14:textId="77777777" w:rsidR="00C17633" w:rsidRPr="000D756E" w:rsidRDefault="00C17633" w:rsidP="00C17633">
            <w:pPr>
              <w:rPr>
                <w:rFonts w:ascii="Arial" w:hAnsi="Arial" w:cs="Arial"/>
                <w:sz w:val="22"/>
                <w:szCs w:val="22"/>
              </w:rPr>
            </w:pPr>
          </w:p>
        </w:tc>
        <w:tc>
          <w:tcPr>
            <w:tcW w:w="4252" w:type="dxa"/>
            <w:tcBorders>
              <w:left w:val="single" w:sz="4" w:space="0" w:color="auto"/>
              <w:bottom w:val="single" w:sz="4" w:space="0" w:color="auto"/>
              <w:right w:val="single" w:sz="4" w:space="0" w:color="auto"/>
            </w:tcBorders>
          </w:tcPr>
          <w:p w14:paraId="5B5B189E" w14:textId="77777777" w:rsidR="00C17633" w:rsidRPr="000D756E" w:rsidRDefault="00C17633" w:rsidP="00C17633">
            <w:pPr>
              <w:rPr>
                <w:rFonts w:ascii="Arial" w:hAnsi="Arial" w:cs="Arial"/>
                <w:sz w:val="22"/>
                <w:szCs w:val="22"/>
              </w:rPr>
            </w:pPr>
          </w:p>
        </w:tc>
        <w:tc>
          <w:tcPr>
            <w:tcW w:w="1276" w:type="dxa"/>
            <w:tcBorders>
              <w:left w:val="single" w:sz="4" w:space="0" w:color="auto"/>
              <w:bottom w:val="single" w:sz="4" w:space="0" w:color="auto"/>
              <w:right w:val="single" w:sz="4" w:space="0" w:color="auto"/>
            </w:tcBorders>
          </w:tcPr>
          <w:p w14:paraId="50CC5770" w14:textId="77777777" w:rsidR="00C17633" w:rsidRPr="000D756E" w:rsidRDefault="00C17633" w:rsidP="00C17633">
            <w:pPr>
              <w:jc w:val="right"/>
              <w:rPr>
                <w:rFonts w:ascii="Arial" w:hAnsi="Arial" w:cs="Arial"/>
                <w:sz w:val="22"/>
                <w:szCs w:val="22"/>
              </w:rPr>
            </w:pPr>
          </w:p>
        </w:tc>
        <w:tc>
          <w:tcPr>
            <w:tcW w:w="851" w:type="dxa"/>
            <w:tcBorders>
              <w:left w:val="single" w:sz="4" w:space="0" w:color="auto"/>
              <w:bottom w:val="single" w:sz="4" w:space="0" w:color="auto"/>
              <w:right w:val="single" w:sz="4" w:space="0" w:color="auto"/>
            </w:tcBorders>
          </w:tcPr>
          <w:p w14:paraId="4A434F0F" w14:textId="77777777" w:rsidR="00C17633" w:rsidRPr="000D756E" w:rsidRDefault="00C17633" w:rsidP="00C17633">
            <w:pPr>
              <w:jc w:val="right"/>
              <w:rPr>
                <w:rFonts w:ascii="Arial" w:hAnsi="Arial" w:cs="Arial"/>
                <w:sz w:val="22"/>
                <w:szCs w:val="22"/>
              </w:rPr>
            </w:pPr>
          </w:p>
        </w:tc>
        <w:tc>
          <w:tcPr>
            <w:tcW w:w="1275" w:type="dxa"/>
            <w:tcBorders>
              <w:left w:val="single" w:sz="4" w:space="0" w:color="auto"/>
              <w:bottom w:val="single" w:sz="4" w:space="0" w:color="auto"/>
              <w:right w:val="single" w:sz="4" w:space="0" w:color="auto"/>
            </w:tcBorders>
          </w:tcPr>
          <w:p w14:paraId="133CD775" w14:textId="77777777" w:rsidR="00C17633" w:rsidRPr="000D756E" w:rsidRDefault="00C17633" w:rsidP="00C17633">
            <w:pPr>
              <w:jc w:val="right"/>
              <w:rPr>
                <w:rFonts w:ascii="Arial" w:hAnsi="Arial" w:cs="Arial"/>
                <w:sz w:val="22"/>
                <w:szCs w:val="22"/>
              </w:rPr>
            </w:pPr>
          </w:p>
        </w:tc>
      </w:tr>
      <w:tr w:rsidR="00C17633" w:rsidRPr="000D756E" w14:paraId="647B9C8E" w14:textId="77777777" w:rsidTr="00884152">
        <w:tc>
          <w:tcPr>
            <w:tcW w:w="1277" w:type="dxa"/>
            <w:tcBorders>
              <w:top w:val="single" w:sz="4" w:space="0" w:color="auto"/>
              <w:left w:val="single" w:sz="4" w:space="0" w:color="auto"/>
              <w:bottom w:val="single" w:sz="4" w:space="0" w:color="auto"/>
              <w:right w:val="single" w:sz="4" w:space="0" w:color="auto"/>
            </w:tcBorders>
          </w:tcPr>
          <w:p w14:paraId="5F9536AF"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A5FB741"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7845626" w14:textId="77777777" w:rsidR="00C17633" w:rsidRPr="000D756E" w:rsidRDefault="00C17633" w:rsidP="00C17633">
            <w:pPr>
              <w:jc w:val="right"/>
              <w:rPr>
                <w:rFonts w:ascii="Arial" w:hAnsi="Arial" w:cs="Arial"/>
                <w:b/>
                <w:sz w:val="22"/>
                <w:szCs w:val="22"/>
              </w:rPr>
            </w:pPr>
          </w:p>
          <w:p w14:paraId="1A7C5E93" w14:textId="1AE9AB00" w:rsidR="00C17633" w:rsidRPr="000D756E" w:rsidRDefault="00C17633" w:rsidP="00C17633">
            <w:pPr>
              <w:jc w:val="right"/>
              <w:rPr>
                <w:rFonts w:ascii="Arial" w:hAnsi="Arial" w:cs="Arial"/>
                <w:b/>
                <w:sz w:val="22"/>
                <w:szCs w:val="22"/>
              </w:rPr>
            </w:pPr>
            <w:r w:rsidRPr="000D756E">
              <w:rPr>
                <w:rFonts w:ascii="Arial" w:hAnsi="Arial" w:cs="Arial"/>
                <w:b/>
                <w:sz w:val="22"/>
                <w:szCs w:val="22"/>
              </w:rPr>
              <w:t>-27,729</w:t>
            </w:r>
          </w:p>
        </w:tc>
        <w:tc>
          <w:tcPr>
            <w:tcW w:w="4252" w:type="dxa"/>
            <w:tcBorders>
              <w:top w:val="single" w:sz="4" w:space="0" w:color="auto"/>
              <w:left w:val="single" w:sz="4" w:space="0" w:color="auto"/>
              <w:bottom w:val="single" w:sz="4" w:space="0" w:color="auto"/>
              <w:right w:val="single" w:sz="4" w:space="0" w:color="auto"/>
            </w:tcBorders>
          </w:tcPr>
          <w:p w14:paraId="3044F27D" w14:textId="77777777" w:rsidR="00C17633" w:rsidRPr="000D756E" w:rsidRDefault="00C17633" w:rsidP="00C17633">
            <w:pPr>
              <w:rPr>
                <w:rFonts w:ascii="Arial" w:hAnsi="Arial" w:cs="Arial"/>
                <w:b/>
                <w:sz w:val="22"/>
                <w:szCs w:val="22"/>
              </w:rPr>
            </w:pPr>
          </w:p>
          <w:p w14:paraId="60176B04" w14:textId="353BFF21" w:rsidR="00C17633" w:rsidRPr="000D756E" w:rsidRDefault="00C17633" w:rsidP="00C17633">
            <w:pPr>
              <w:rPr>
                <w:rFonts w:ascii="Arial" w:hAnsi="Arial" w:cs="Arial"/>
                <w:b/>
                <w:sz w:val="22"/>
                <w:szCs w:val="22"/>
              </w:rPr>
            </w:pPr>
            <w:r w:rsidRPr="000D756E">
              <w:rPr>
                <w:rFonts w:ascii="Arial" w:hAnsi="Arial" w:cs="Arial"/>
                <w:b/>
                <w:sz w:val="22"/>
                <w:szCs w:val="22"/>
              </w:rPr>
              <w:t xml:space="preserve">Taxation and Non Specific Grant Income </w:t>
            </w:r>
            <w:r w:rsidRPr="000D756E">
              <w:rPr>
                <w:rFonts w:ascii="Arial" w:hAnsi="Arial" w:cs="Arial"/>
                <w:sz w:val="22"/>
                <w:szCs w:val="22"/>
              </w:rPr>
              <w:t xml:space="preserve">(note </w:t>
            </w:r>
            <w:r w:rsidR="00693492">
              <w:rPr>
                <w:rFonts w:ascii="Arial" w:hAnsi="Arial" w:cs="Arial"/>
                <w:sz w:val="22"/>
                <w:szCs w:val="22"/>
              </w:rPr>
              <w:t>6</w:t>
            </w:r>
            <w:r w:rsidRPr="000D756E">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D716ED6"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03B607A6" w14:textId="77777777" w:rsidR="00C17633" w:rsidRPr="000D756E" w:rsidRDefault="00C17633" w:rsidP="00C17633">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68B70B4" w14:textId="77777777" w:rsidR="00C17633" w:rsidRDefault="00C17633" w:rsidP="00C17633">
            <w:pPr>
              <w:jc w:val="right"/>
              <w:rPr>
                <w:rFonts w:ascii="Arial" w:hAnsi="Arial" w:cs="Arial"/>
                <w:b/>
                <w:sz w:val="22"/>
                <w:szCs w:val="22"/>
              </w:rPr>
            </w:pPr>
          </w:p>
          <w:p w14:paraId="1215AC31" w14:textId="1B23392D" w:rsidR="00B75B89" w:rsidRPr="000D756E" w:rsidRDefault="00E62D25" w:rsidP="00C17633">
            <w:pPr>
              <w:jc w:val="right"/>
              <w:rPr>
                <w:rFonts w:ascii="Arial" w:hAnsi="Arial" w:cs="Arial"/>
                <w:b/>
                <w:sz w:val="22"/>
                <w:szCs w:val="22"/>
              </w:rPr>
            </w:pPr>
            <w:r>
              <w:rPr>
                <w:rFonts w:ascii="Arial" w:hAnsi="Arial" w:cs="Arial"/>
                <w:b/>
                <w:sz w:val="22"/>
                <w:szCs w:val="22"/>
              </w:rPr>
              <w:t>-</w:t>
            </w:r>
            <w:r w:rsidR="00B75B89">
              <w:rPr>
                <w:rFonts w:ascii="Arial" w:hAnsi="Arial" w:cs="Arial"/>
                <w:b/>
                <w:sz w:val="22"/>
                <w:szCs w:val="22"/>
              </w:rPr>
              <w:t>30,384</w:t>
            </w:r>
          </w:p>
        </w:tc>
      </w:tr>
      <w:tr w:rsidR="00C17633" w:rsidRPr="000D756E" w14:paraId="38495B75" w14:textId="77777777" w:rsidTr="00884152">
        <w:tc>
          <w:tcPr>
            <w:tcW w:w="1277" w:type="dxa"/>
            <w:tcBorders>
              <w:top w:val="single" w:sz="4" w:space="0" w:color="auto"/>
              <w:left w:val="single" w:sz="4" w:space="0" w:color="auto"/>
              <w:bottom w:val="single" w:sz="4" w:space="0" w:color="auto"/>
              <w:right w:val="single" w:sz="4" w:space="0" w:color="auto"/>
            </w:tcBorders>
          </w:tcPr>
          <w:p w14:paraId="7531DBBC"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4C7A792"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4A7451A6" w14:textId="77777777" w:rsidR="00C17633" w:rsidRPr="000D756E" w:rsidRDefault="00C17633" w:rsidP="00C17633">
            <w:pPr>
              <w:jc w:val="right"/>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6B6D1D53" w14:textId="77777777" w:rsidR="00C17633" w:rsidRPr="000D756E" w:rsidRDefault="00C17633" w:rsidP="00C17633">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0AF90E"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44016A53" w14:textId="77777777" w:rsidR="00C17633" w:rsidRPr="000D756E" w:rsidRDefault="00C17633" w:rsidP="00C17633">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558BCA3" w14:textId="77777777" w:rsidR="00C17633" w:rsidRPr="000D756E" w:rsidRDefault="00C17633" w:rsidP="00C17633">
            <w:pPr>
              <w:jc w:val="right"/>
              <w:rPr>
                <w:rFonts w:ascii="Arial" w:hAnsi="Arial" w:cs="Arial"/>
                <w:sz w:val="22"/>
                <w:szCs w:val="22"/>
              </w:rPr>
            </w:pPr>
          </w:p>
        </w:tc>
      </w:tr>
      <w:tr w:rsidR="00C17633" w:rsidRPr="000D756E" w14:paraId="40BBF2C2" w14:textId="77777777" w:rsidTr="00884152">
        <w:tc>
          <w:tcPr>
            <w:tcW w:w="1277" w:type="dxa"/>
            <w:tcBorders>
              <w:top w:val="single" w:sz="4" w:space="0" w:color="auto"/>
              <w:left w:val="single" w:sz="4" w:space="0" w:color="auto"/>
              <w:bottom w:val="single" w:sz="4" w:space="0" w:color="auto"/>
              <w:right w:val="single" w:sz="4" w:space="0" w:color="auto"/>
            </w:tcBorders>
          </w:tcPr>
          <w:p w14:paraId="714671B7"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6856DFF"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0DDE8326" w14:textId="77777777" w:rsidR="00C17633" w:rsidRPr="000D756E" w:rsidRDefault="00C17633" w:rsidP="00C17633">
            <w:pPr>
              <w:jc w:val="right"/>
              <w:rPr>
                <w:rFonts w:ascii="Arial" w:hAnsi="Arial" w:cs="Arial"/>
                <w:b/>
                <w:sz w:val="22"/>
                <w:szCs w:val="22"/>
              </w:rPr>
            </w:pPr>
          </w:p>
          <w:p w14:paraId="3122A334" w14:textId="2C59F0E5" w:rsidR="00C17633" w:rsidRPr="000D756E" w:rsidRDefault="00C17633" w:rsidP="00C17633">
            <w:pPr>
              <w:jc w:val="right"/>
              <w:rPr>
                <w:rFonts w:ascii="Arial" w:hAnsi="Arial" w:cs="Arial"/>
                <w:b/>
                <w:sz w:val="22"/>
                <w:szCs w:val="22"/>
              </w:rPr>
            </w:pPr>
            <w:r w:rsidRPr="000D756E">
              <w:rPr>
                <w:rFonts w:ascii="Arial" w:hAnsi="Arial" w:cs="Arial"/>
                <w:b/>
                <w:sz w:val="22"/>
                <w:szCs w:val="22"/>
              </w:rPr>
              <w:t>10,681</w:t>
            </w:r>
          </w:p>
        </w:tc>
        <w:tc>
          <w:tcPr>
            <w:tcW w:w="4252" w:type="dxa"/>
            <w:tcBorders>
              <w:top w:val="single" w:sz="4" w:space="0" w:color="auto"/>
              <w:left w:val="single" w:sz="4" w:space="0" w:color="auto"/>
              <w:bottom w:val="single" w:sz="4" w:space="0" w:color="auto"/>
              <w:right w:val="single" w:sz="4" w:space="0" w:color="auto"/>
            </w:tcBorders>
          </w:tcPr>
          <w:p w14:paraId="18DBDE48" w14:textId="77777777" w:rsidR="00C17633" w:rsidRPr="000D756E" w:rsidRDefault="00C17633" w:rsidP="00C17633">
            <w:pPr>
              <w:rPr>
                <w:rFonts w:ascii="Arial" w:hAnsi="Arial" w:cs="Arial"/>
                <w:b/>
                <w:sz w:val="22"/>
                <w:szCs w:val="22"/>
              </w:rPr>
            </w:pPr>
          </w:p>
          <w:p w14:paraId="45EB2235" w14:textId="3BEF4E9F" w:rsidR="00C17633" w:rsidRPr="000D756E" w:rsidRDefault="00C17633" w:rsidP="00C17633">
            <w:pPr>
              <w:rPr>
                <w:rFonts w:ascii="Arial" w:hAnsi="Arial" w:cs="Arial"/>
                <w:b/>
                <w:sz w:val="22"/>
                <w:szCs w:val="22"/>
              </w:rPr>
            </w:pPr>
            <w:r w:rsidRPr="000D756E">
              <w:rPr>
                <w:rFonts w:ascii="Arial" w:hAnsi="Arial" w:cs="Arial"/>
                <w:b/>
                <w:sz w:val="22"/>
                <w:szCs w:val="22"/>
              </w:rPr>
              <w:t>Deficit on Provision of Services</w:t>
            </w:r>
          </w:p>
        </w:tc>
        <w:tc>
          <w:tcPr>
            <w:tcW w:w="1276" w:type="dxa"/>
            <w:tcBorders>
              <w:top w:val="single" w:sz="4" w:space="0" w:color="auto"/>
              <w:left w:val="single" w:sz="4" w:space="0" w:color="auto"/>
              <w:bottom w:val="single" w:sz="4" w:space="0" w:color="auto"/>
              <w:right w:val="single" w:sz="4" w:space="0" w:color="auto"/>
            </w:tcBorders>
          </w:tcPr>
          <w:p w14:paraId="688C31FA"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65664525" w14:textId="77777777" w:rsidR="00C17633" w:rsidRPr="000D756E" w:rsidRDefault="00C17633" w:rsidP="00C17633">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9A5B4C0" w14:textId="77777777" w:rsidR="00C17633" w:rsidRDefault="00C17633" w:rsidP="00C17633">
            <w:pPr>
              <w:jc w:val="right"/>
              <w:rPr>
                <w:rFonts w:ascii="Arial" w:hAnsi="Arial" w:cs="Arial"/>
                <w:b/>
                <w:sz w:val="22"/>
                <w:szCs w:val="22"/>
              </w:rPr>
            </w:pPr>
          </w:p>
          <w:p w14:paraId="47F297F2" w14:textId="0EB378BC" w:rsidR="00204F4D" w:rsidRPr="000D756E" w:rsidRDefault="00204F4D" w:rsidP="00C17633">
            <w:pPr>
              <w:jc w:val="right"/>
              <w:rPr>
                <w:rFonts w:ascii="Arial" w:hAnsi="Arial" w:cs="Arial"/>
                <w:b/>
                <w:sz w:val="22"/>
                <w:szCs w:val="22"/>
              </w:rPr>
            </w:pPr>
            <w:r>
              <w:rPr>
                <w:rFonts w:ascii="Arial" w:hAnsi="Arial" w:cs="Arial"/>
                <w:b/>
                <w:sz w:val="22"/>
                <w:szCs w:val="22"/>
              </w:rPr>
              <w:t>9,74</w:t>
            </w:r>
            <w:r w:rsidR="00C03C71">
              <w:rPr>
                <w:rFonts w:ascii="Arial" w:hAnsi="Arial" w:cs="Arial"/>
                <w:b/>
                <w:sz w:val="22"/>
                <w:szCs w:val="22"/>
              </w:rPr>
              <w:t>0</w:t>
            </w:r>
          </w:p>
        </w:tc>
      </w:tr>
      <w:tr w:rsidR="00C17633" w:rsidRPr="000D756E" w14:paraId="7E828E2D" w14:textId="77777777" w:rsidTr="00884152">
        <w:tc>
          <w:tcPr>
            <w:tcW w:w="1277" w:type="dxa"/>
            <w:tcBorders>
              <w:top w:val="single" w:sz="4" w:space="0" w:color="auto"/>
              <w:left w:val="single" w:sz="4" w:space="0" w:color="auto"/>
              <w:right w:val="single" w:sz="4" w:space="0" w:color="auto"/>
            </w:tcBorders>
          </w:tcPr>
          <w:p w14:paraId="055CE023"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570F4228"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right w:val="single" w:sz="4" w:space="0" w:color="auto"/>
            </w:tcBorders>
          </w:tcPr>
          <w:p w14:paraId="7F69CF25" w14:textId="77777777" w:rsidR="00C17633" w:rsidRPr="000D756E" w:rsidRDefault="00C17633" w:rsidP="00C17633">
            <w:pPr>
              <w:jc w:val="right"/>
              <w:rPr>
                <w:rFonts w:ascii="Arial" w:hAnsi="Arial" w:cs="Arial"/>
                <w:b/>
                <w:sz w:val="22"/>
                <w:szCs w:val="22"/>
              </w:rPr>
            </w:pPr>
          </w:p>
        </w:tc>
        <w:tc>
          <w:tcPr>
            <w:tcW w:w="4252" w:type="dxa"/>
            <w:tcBorders>
              <w:top w:val="single" w:sz="4" w:space="0" w:color="auto"/>
              <w:left w:val="single" w:sz="4" w:space="0" w:color="auto"/>
              <w:right w:val="single" w:sz="4" w:space="0" w:color="auto"/>
            </w:tcBorders>
          </w:tcPr>
          <w:p w14:paraId="193CBDBF" w14:textId="77777777" w:rsidR="00C17633" w:rsidRPr="000D756E" w:rsidRDefault="00C17633" w:rsidP="00C17633">
            <w:pPr>
              <w:rPr>
                <w:rFonts w:ascii="Arial" w:hAnsi="Arial" w:cs="Arial"/>
                <w:b/>
                <w:sz w:val="22"/>
                <w:szCs w:val="22"/>
              </w:rPr>
            </w:pPr>
          </w:p>
        </w:tc>
        <w:tc>
          <w:tcPr>
            <w:tcW w:w="1276" w:type="dxa"/>
            <w:tcBorders>
              <w:top w:val="single" w:sz="4" w:space="0" w:color="auto"/>
              <w:left w:val="single" w:sz="4" w:space="0" w:color="auto"/>
              <w:right w:val="single" w:sz="4" w:space="0" w:color="auto"/>
            </w:tcBorders>
          </w:tcPr>
          <w:p w14:paraId="4A48133D" w14:textId="77777777" w:rsidR="00C17633" w:rsidRPr="000D756E" w:rsidRDefault="00C17633" w:rsidP="00C17633">
            <w:pPr>
              <w:jc w:val="right"/>
              <w:rPr>
                <w:rFonts w:ascii="Arial" w:hAnsi="Arial" w:cs="Arial"/>
                <w:b/>
                <w:sz w:val="22"/>
                <w:szCs w:val="22"/>
              </w:rPr>
            </w:pPr>
          </w:p>
        </w:tc>
        <w:tc>
          <w:tcPr>
            <w:tcW w:w="851" w:type="dxa"/>
            <w:tcBorders>
              <w:top w:val="single" w:sz="4" w:space="0" w:color="auto"/>
              <w:left w:val="single" w:sz="4" w:space="0" w:color="auto"/>
              <w:right w:val="single" w:sz="4" w:space="0" w:color="auto"/>
            </w:tcBorders>
          </w:tcPr>
          <w:p w14:paraId="4A16F69B" w14:textId="77777777" w:rsidR="00C17633" w:rsidRPr="000D756E" w:rsidRDefault="00C17633" w:rsidP="00C17633">
            <w:pPr>
              <w:jc w:val="right"/>
              <w:rPr>
                <w:rFonts w:ascii="Arial" w:hAnsi="Arial" w:cs="Arial"/>
                <w:b/>
                <w:sz w:val="22"/>
                <w:szCs w:val="22"/>
              </w:rPr>
            </w:pPr>
          </w:p>
        </w:tc>
        <w:tc>
          <w:tcPr>
            <w:tcW w:w="1275" w:type="dxa"/>
            <w:tcBorders>
              <w:top w:val="single" w:sz="4" w:space="0" w:color="auto"/>
              <w:left w:val="single" w:sz="4" w:space="0" w:color="auto"/>
              <w:right w:val="single" w:sz="4" w:space="0" w:color="auto"/>
            </w:tcBorders>
          </w:tcPr>
          <w:p w14:paraId="6DFF8447" w14:textId="77777777" w:rsidR="00C17633" w:rsidRPr="000D756E" w:rsidRDefault="00C17633" w:rsidP="00C17633">
            <w:pPr>
              <w:jc w:val="right"/>
              <w:rPr>
                <w:rFonts w:ascii="Arial" w:hAnsi="Arial" w:cs="Arial"/>
                <w:b/>
                <w:sz w:val="22"/>
                <w:szCs w:val="22"/>
              </w:rPr>
            </w:pPr>
          </w:p>
        </w:tc>
      </w:tr>
      <w:tr w:rsidR="00C17633" w:rsidRPr="000D756E" w14:paraId="060207D6" w14:textId="77777777" w:rsidTr="00884152">
        <w:tc>
          <w:tcPr>
            <w:tcW w:w="1277" w:type="dxa"/>
            <w:tcBorders>
              <w:left w:val="single" w:sz="4" w:space="0" w:color="auto"/>
              <w:right w:val="single" w:sz="4" w:space="0" w:color="auto"/>
            </w:tcBorders>
          </w:tcPr>
          <w:p w14:paraId="7195543F" w14:textId="77777777" w:rsidR="00C17633" w:rsidRPr="000D756E" w:rsidRDefault="00C17633" w:rsidP="00C17633">
            <w:pPr>
              <w:ind w:left="-108"/>
              <w:jc w:val="right"/>
              <w:rPr>
                <w:rFonts w:ascii="Arial" w:hAnsi="Arial" w:cs="Arial"/>
              </w:rPr>
            </w:pPr>
          </w:p>
        </w:tc>
        <w:tc>
          <w:tcPr>
            <w:tcW w:w="850" w:type="dxa"/>
            <w:tcBorders>
              <w:left w:val="single" w:sz="4" w:space="0" w:color="auto"/>
              <w:right w:val="single" w:sz="4" w:space="0" w:color="auto"/>
            </w:tcBorders>
          </w:tcPr>
          <w:p w14:paraId="08CDF77E" w14:textId="77777777" w:rsidR="00C17633" w:rsidRPr="000D756E" w:rsidRDefault="00C17633" w:rsidP="00C17633">
            <w:pPr>
              <w:jc w:val="right"/>
              <w:rPr>
                <w:rFonts w:ascii="Arial" w:hAnsi="Arial" w:cs="Arial"/>
              </w:rPr>
            </w:pPr>
          </w:p>
        </w:tc>
        <w:tc>
          <w:tcPr>
            <w:tcW w:w="1418" w:type="dxa"/>
            <w:tcBorders>
              <w:left w:val="single" w:sz="4" w:space="0" w:color="auto"/>
              <w:right w:val="single" w:sz="4" w:space="0" w:color="auto"/>
            </w:tcBorders>
          </w:tcPr>
          <w:p w14:paraId="3FA5EA06" w14:textId="77777777" w:rsidR="00C17633" w:rsidRPr="000D756E" w:rsidRDefault="00C17633" w:rsidP="00C17633">
            <w:pPr>
              <w:jc w:val="right"/>
              <w:rPr>
                <w:rFonts w:ascii="Arial" w:hAnsi="Arial" w:cs="Arial"/>
                <w:sz w:val="22"/>
                <w:szCs w:val="22"/>
              </w:rPr>
            </w:pPr>
          </w:p>
          <w:p w14:paraId="5B0FCA2F" w14:textId="77777777" w:rsidR="00C17633" w:rsidRPr="000D756E" w:rsidRDefault="00C17633" w:rsidP="00C17633">
            <w:pPr>
              <w:jc w:val="right"/>
              <w:rPr>
                <w:rFonts w:ascii="Arial" w:hAnsi="Arial" w:cs="Arial"/>
                <w:sz w:val="22"/>
                <w:szCs w:val="22"/>
              </w:rPr>
            </w:pPr>
            <w:r w:rsidRPr="000D756E">
              <w:rPr>
                <w:rFonts w:ascii="Arial" w:hAnsi="Arial" w:cs="Arial"/>
                <w:sz w:val="22"/>
                <w:szCs w:val="22"/>
              </w:rPr>
              <w:t>-930</w:t>
            </w:r>
          </w:p>
          <w:p w14:paraId="57726D6D" w14:textId="07CC5D65" w:rsidR="00C17633" w:rsidRPr="000D756E" w:rsidRDefault="00C17633" w:rsidP="00C17633">
            <w:pPr>
              <w:jc w:val="right"/>
              <w:rPr>
                <w:rFonts w:ascii="Arial" w:hAnsi="Arial" w:cs="Arial"/>
                <w:sz w:val="22"/>
                <w:szCs w:val="22"/>
              </w:rPr>
            </w:pPr>
            <w:r w:rsidRPr="000D756E">
              <w:rPr>
                <w:rFonts w:ascii="Arial" w:hAnsi="Arial" w:cs="Arial"/>
                <w:sz w:val="22"/>
                <w:szCs w:val="22"/>
              </w:rPr>
              <w:t>-7,405</w:t>
            </w:r>
          </w:p>
        </w:tc>
        <w:tc>
          <w:tcPr>
            <w:tcW w:w="4252" w:type="dxa"/>
            <w:tcBorders>
              <w:left w:val="single" w:sz="4" w:space="0" w:color="auto"/>
              <w:right w:val="single" w:sz="4" w:space="0" w:color="auto"/>
            </w:tcBorders>
          </w:tcPr>
          <w:p w14:paraId="5BDCE37C" w14:textId="77777777" w:rsidR="00C17633" w:rsidRPr="000D756E" w:rsidRDefault="00C17633" w:rsidP="00C17633">
            <w:pPr>
              <w:rPr>
                <w:rFonts w:ascii="Arial" w:hAnsi="Arial" w:cs="Arial"/>
                <w:sz w:val="22"/>
                <w:szCs w:val="22"/>
              </w:rPr>
            </w:pPr>
            <w:r w:rsidRPr="000D756E">
              <w:rPr>
                <w:rFonts w:ascii="Arial" w:hAnsi="Arial" w:cs="Arial"/>
                <w:sz w:val="22"/>
                <w:szCs w:val="22"/>
              </w:rPr>
              <w:t>Surplus arising on the revaluation of property plant and equipment</w:t>
            </w:r>
          </w:p>
          <w:p w14:paraId="440FF3AC" w14:textId="18697CF4" w:rsidR="00C17633" w:rsidRPr="000D756E" w:rsidRDefault="00C17633" w:rsidP="00C17633">
            <w:pPr>
              <w:rPr>
                <w:rFonts w:ascii="Arial" w:hAnsi="Arial" w:cs="Arial"/>
                <w:sz w:val="22"/>
                <w:szCs w:val="22"/>
              </w:rPr>
            </w:pPr>
            <w:r w:rsidRPr="000D756E">
              <w:rPr>
                <w:rFonts w:ascii="Arial" w:hAnsi="Arial" w:cs="Arial"/>
                <w:sz w:val="22"/>
                <w:szCs w:val="22"/>
              </w:rPr>
              <w:t>Remeasurement of the net defined benefit liability  (note 1</w:t>
            </w:r>
            <w:r w:rsidR="00693492">
              <w:rPr>
                <w:rFonts w:ascii="Arial" w:hAnsi="Arial" w:cs="Arial"/>
                <w:sz w:val="22"/>
                <w:szCs w:val="22"/>
              </w:rPr>
              <w:t>2</w:t>
            </w:r>
            <w:r w:rsidRPr="000D756E">
              <w:rPr>
                <w:rFonts w:ascii="Arial" w:hAnsi="Arial" w:cs="Arial"/>
                <w:sz w:val="22"/>
                <w:szCs w:val="22"/>
              </w:rPr>
              <w:t>/2</w:t>
            </w:r>
            <w:r w:rsidR="00693492">
              <w:rPr>
                <w:rFonts w:ascii="Arial" w:hAnsi="Arial" w:cs="Arial"/>
                <w:sz w:val="22"/>
                <w:szCs w:val="22"/>
              </w:rPr>
              <w:t>3</w:t>
            </w:r>
            <w:r w:rsidRPr="000D756E">
              <w:rPr>
                <w:rFonts w:ascii="Arial" w:hAnsi="Arial" w:cs="Arial"/>
                <w:sz w:val="22"/>
                <w:szCs w:val="22"/>
              </w:rPr>
              <w:t>)</w:t>
            </w:r>
          </w:p>
        </w:tc>
        <w:tc>
          <w:tcPr>
            <w:tcW w:w="1276" w:type="dxa"/>
            <w:tcBorders>
              <w:left w:val="single" w:sz="4" w:space="0" w:color="auto"/>
              <w:right w:val="single" w:sz="4" w:space="0" w:color="auto"/>
            </w:tcBorders>
          </w:tcPr>
          <w:p w14:paraId="3303EF58" w14:textId="77777777" w:rsidR="00C17633" w:rsidRPr="000D756E" w:rsidRDefault="00C17633" w:rsidP="00C17633">
            <w:pPr>
              <w:jc w:val="right"/>
              <w:rPr>
                <w:rFonts w:ascii="Arial" w:hAnsi="Arial" w:cs="Arial"/>
                <w:sz w:val="22"/>
                <w:szCs w:val="22"/>
              </w:rPr>
            </w:pPr>
          </w:p>
        </w:tc>
        <w:tc>
          <w:tcPr>
            <w:tcW w:w="851" w:type="dxa"/>
            <w:tcBorders>
              <w:left w:val="single" w:sz="4" w:space="0" w:color="auto"/>
              <w:right w:val="single" w:sz="4" w:space="0" w:color="auto"/>
            </w:tcBorders>
          </w:tcPr>
          <w:p w14:paraId="3901BEFD" w14:textId="77777777" w:rsidR="00C17633" w:rsidRPr="000D756E" w:rsidRDefault="00C17633" w:rsidP="00C17633">
            <w:pPr>
              <w:jc w:val="right"/>
              <w:rPr>
                <w:rFonts w:ascii="Arial" w:hAnsi="Arial" w:cs="Arial"/>
                <w:sz w:val="22"/>
                <w:szCs w:val="22"/>
              </w:rPr>
            </w:pPr>
          </w:p>
        </w:tc>
        <w:tc>
          <w:tcPr>
            <w:tcW w:w="1275" w:type="dxa"/>
            <w:tcBorders>
              <w:left w:val="single" w:sz="4" w:space="0" w:color="auto"/>
              <w:right w:val="single" w:sz="4" w:space="0" w:color="auto"/>
            </w:tcBorders>
          </w:tcPr>
          <w:p w14:paraId="2DE41A1D" w14:textId="77777777" w:rsidR="00C17633" w:rsidRDefault="00C17633" w:rsidP="00C17633">
            <w:pPr>
              <w:jc w:val="right"/>
              <w:rPr>
                <w:rFonts w:ascii="Arial" w:hAnsi="Arial" w:cs="Arial"/>
                <w:sz w:val="22"/>
                <w:szCs w:val="22"/>
              </w:rPr>
            </w:pPr>
          </w:p>
          <w:p w14:paraId="5710D74C" w14:textId="77777777" w:rsidR="00E62D25" w:rsidRDefault="00E62D25" w:rsidP="00C17633">
            <w:pPr>
              <w:jc w:val="right"/>
              <w:rPr>
                <w:rFonts w:ascii="Arial" w:hAnsi="Arial" w:cs="Arial"/>
                <w:sz w:val="22"/>
                <w:szCs w:val="22"/>
              </w:rPr>
            </w:pPr>
            <w:r>
              <w:rPr>
                <w:rFonts w:ascii="Arial" w:hAnsi="Arial" w:cs="Arial"/>
                <w:sz w:val="22"/>
                <w:szCs w:val="22"/>
              </w:rPr>
              <w:t>-4,055</w:t>
            </w:r>
          </w:p>
          <w:p w14:paraId="79B092F0" w14:textId="5CC2F69E" w:rsidR="00E62D25" w:rsidRPr="000D756E" w:rsidRDefault="00E62D25" w:rsidP="00C17633">
            <w:pPr>
              <w:jc w:val="right"/>
              <w:rPr>
                <w:rFonts w:ascii="Arial" w:hAnsi="Arial" w:cs="Arial"/>
                <w:sz w:val="22"/>
                <w:szCs w:val="22"/>
              </w:rPr>
            </w:pPr>
            <w:r>
              <w:rPr>
                <w:rFonts w:ascii="Arial" w:hAnsi="Arial" w:cs="Arial"/>
                <w:sz w:val="22"/>
                <w:szCs w:val="22"/>
              </w:rPr>
              <w:t>-30,229</w:t>
            </w:r>
          </w:p>
        </w:tc>
      </w:tr>
      <w:tr w:rsidR="00C17633" w:rsidRPr="000D756E" w14:paraId="4789E5E5" w14:textId="77777777" w:rsidTr="00884152">
        <w:tc>
          <w:tcPr>
            <w:tcW w:w="1277" w:type="dxa"/>
            <w:tcBorders>
              <w:top w:val="single" w:sz="4" w:space="0" w:color="auto"/>
              <w:left w:val="single" w:sz="4" w:space="0" w:color="auto"/>
              <w:bottom w:val="single" w:sz="4" w:space="0" w:color="auto"/>
              <w:right w:val="single" w:sz="4" w:space="0" w:color="auto"/>
            </w:tcBorders>
          </w:tcPr>
          <w:p w14:paraId="16F35FF5"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1B4EADC"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25B5746" w14:textId="7AAD13CC" w:rsidR="00C17633" w:rsidRPr="000D756E" w:rsidRDefault="00C17633" w:rsidP="00C17633">
            <w:pPr>
              <w:jc w:val="right"/>
              <w:rPr>
                <w:rFonts w:ascii="Arial" w:hAnsi="Arial" w:cs="Arial"/>
                <w:b/>
                <w:sz w:val="22"/>
                <w:szCs w:val="22"/>
              </w:rPr>
            </w:pPr>
            <w:r w:rsidRPr="000D756E">
              <w:rPr>
                <w:rFonts w:ascii="Arial" w:hAnsi="Arial" w:cs="Arial"/>
                <w:b/>
                <w:sz w:val="22"/>
                <w:szCs w:val="22"/>
              </w:rPr>
              <w:t>-8,335</w:t>
            </w:r>
          </w:p>
        </w:tc>
        <w:tc>
          <w:tcPr>
            <w:tcW w:w="4252" w:type="dxa"/>
            <w:tcBorders>
              <w:top w:val="single" w:sz="4" w:space="0" w:color="auto"/>
              <w:left w:val="single" w:sz="4" w:space="0" w:color="auto"/>
              <w:bottom w:val="single" w:sz="4" w:space="0" w:color="auto"/>
              <w:right w:val="single" w:sz="4" w:space="0" w:color="auto"/>
            </w:tcBorders>
          </w:tcPr>
          <w:p w14:paraId="152FFFE9" w14:textId="77777777" w:rsidR="00C17633" w:rsidRPr="000D756E" w:rsidRDefault="00C17633" w:rsidP="00C17633">
            <w:pPr>
              <w:rPr>
                <w:rFonts w:ascii="Arial" w:hAnsi="Arial" w:cs="Arial"/>
                <w:b/>
                <w:sz w:val="22"/>
                <w:szCs w:val="22"/>
              </w:rPr>
            </w:pPr>
            <w:r w:rsidRPr="000D756E">
              <w:rPr>
                <w:rFonts w:ascii="Arial" w:hAnsi="Arial" w:cs="Arial"/>
                <w:b/>
                <w:sz w:val="22"/>
                <w:szCs w:val="22"/>
              </w:rPr>
              <w:t>Other Comprehensive Income and Expenditure</w:t>
            </w:r>
          </w:p>
        </w:tc>
        <w:tc>
          <w:tcPr>
            <w:tcW w:w="1276" w:type="dxa"/>
            <w:tcBorders>
              <w:top w:val="single" w:sz="4" w:space="0" w:color="auto"/>
              <w:left w:val="single" w:sz="4" w:space="0" w:color="auto"/>
              <w:bottom w:val="single" w:sz="4" w:space="0" w:color="auto"/>
              <w:right w:val="single" w:sz="4" w:space="0" w:color="auto"/>
            </w:tcBorders>
          </w:tcPr>
          <w:p w14:paraId="6D793B33"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5EE0FE26" w14:textId="77777777" w:rsidR="00C17633" w:rsidRPr="000D756E" w:rsidRDefault="00C17633" w:rsidP="00C17633">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06ED90F" w14:textId="6A98992B" w:rsidR="00C17633" w:rsidRPr="000D756E" w:rsidRDefault="00E62D25" w:rsidP="00C17633">
            <w:pPr>
              <w:jc w:val="right"/>
              <w:rPr>
                <w:rFonts w:ascii="Arial" w:hAnsi="Arial" w:cs="Arial"/>
                <w:b/>
                <w:sz w:val="22"/>
                <w:szCs w:val="22"/>
              </w:rPr>
            </w:pPr>
            <w:r>
              <w:rPr>
                <w:rFonts w:ascii="Arial" w:hAnsi="Arial" w:cs="Arial"/>
                <w:b/>
                <w:sz w:val="22"/>
                <w:szCs w:val="22"/>
              </w:rPr>
              <w:t>-34,284</w:t>
            </w:r>
          </w:p>
        </w:tc>
      </w:tr>
      <w:tr w:rsidR="00C17633" w:rsidRPr="000D756E" w14:paraId="63832192" w14:textId="77777777" w:rsidTr="00884152">
        <w:tc>
          <w:tcPr>
            <w:tcW w:w="1277" w:type="dxa"/>
            <w:tcBorders>
              <w:top w:val="single" w:sz="4" w:space="0" w:color="auto"/>
              <w:left w:val="single" w:sz="4" w:space="0" w:color="auto"/>
              <w:bottom w:val="single" w:sz="4" w:space="0" w:color="auto"/>
              <w:right w:val="single" w:sz="4" w:space="0" w:color="auto"/>
            </w:tcBorders>
          </w:tcPr>
          <w:p w14:paraId="10456D0B"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274F338"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BA39C55" w14:textId="77777777" w:rsidR="00C17633" w:rsidRPr="000D756E" w:rsidRDefault="00C17633" w:rsidP="00C17633">
            <w:pPr>
              <w:jc w:val="right"/>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EB165C8" w14:textId="77777777" w:rsidR="00C17633" w:rsidRPr="000D756E" w:rsidRDefault="00C17633" w:rsidP="00C17633">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69AA210"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25483C1F" w14:textId="77777777" w:rsidR="00C17633" w:rsidRPr="000D756E" w:rsidRDefault="00C17633" w:rsidP="00C17633">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3731EC" w14:textId="77777777" w:rsidR="00C17633" w:rsidRPr="000D756E" w:rsidRDefault="00C17633" w:rsidP="00C17633">
            <w:pPr>
              <w:jc w:val="right"/>
              <w:rPr>
                <w:rFonts w:ascii="Arial" w:hAnsi="Arial" w:cs="Arial"/>
                <w:sz w:val="22"/>
                <w:szCs w:val="22"/>
              </w:rPr>
            </w:pPr>
          </w:p>
        </w:tc>
      </w:tr>
      <w:tr w:rsidR="00C17633" w:rsidRPr="000D756E" w14:paraId="07E5AB67" w14:textId="77777777" w:rsidTr="00884152">
        <w:tc>
          <w:tcPr>
            <w:tcW w:w="1277" w:type="dxa"/>
            <w:tcBorders>
              <w:top w:val="single" w:sz="4" w:space="0" w:color="auto"/>
              <w:left w:val="single" w:sz="4" w:space="0" w:color="auto"/>
              <w:bottom w:val="single" w:sz="4" w:space="0" w:color="auto"/>
              <w:right w:val="single" w:sz="4" w:space="0" w:color="auto"/>
            </w:tcBorders>
          </w:tcPr>
          <w:p w14:paraId="38ABBB07" w14:textId="77777777" w:rsidR="00C17633" w:rsidRPr="000D756E" w:rsidRDefault="00C17633" w:rsidP="00C17633">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F32BEFB" w14:textId="77777777" w:rsidR="00C17633" w:rsidRPr="000D756E" w:rsidRDefault="00C17633" w:rsidP="00C17633">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355EBC70" w14:textId="77777777" w:rsidR="00C17633" w:rsidRPr="000D756E" w:rsidRDefault="00C17633" w:rsidP="00C17633">
            <w:pPr>
              <w:jc w:val="right"/>
              <w:rPr>
                <w:rFonts w:ascii="Arial" w:hAnsi="Arial" w:cs="Arial"/>
                <w:b/>
                <w:sz w:val="22"/>
                <w:szCs w:val="22"/>
              </w:rPr>
            </w:pPr>
          </w:p>
          <w:p w14:paraId="3E27C383" w14:textId="0E6FDB93" w:rsidR="00C17633" w:rsidRPr="000D756E" w:rsidRDefault="00C17633" w:rsidP="00C17633">
            <w:pPr>
              <w:jc w:val="right"/>
              <w:rPr>
                <w:rFonts w:ascii="Arial" w:hAnsi="Arial" w:cs="Arial"/>
                <w:b/>
                <w:sz w:val="22"/>
                <w:szCs w:val="22"/>
              </w:rPr>
            </w:pPr>
            <w:r w:rsidRPr="000D756E">
              <w:rPr>
                <w:rFonts w:ascii="Arial" w:hAnsi="Arial" w:cs="Arial"/>
                <w:b/>
                <w:sz w:val="22"/>
                <w:szCs w:val="22"/>
              </w:rPr>
              <w:t>2,346</w:t>
            </w:r>
          </w:p>
        </w:tc>
        <w:tc>
          <w:tcPr>
            <w:tcW w:w="4252" w:type="dxa"/>
            <w:tcBorders>
              <w:top w:val="single" w:sz="4" w:space="0" w:color="auto"/>
              <w:left w:val="single" w:sz="4" w:space="0" w:color="auto"/>
              <w:bottom w:val="single" w:sz="4" w:space="0" w:color="auto"/>
              <w:right w:val="single" w:sz="4" w:space="0" w:color="auto"/>
            </w:tcBorders>
          </w:tcPr>
          <w:p w14:paraId="168449E4" w14:textId="77777777" w:rsidR="00C17633" w:rsidRPr="000D756E" w:rsidRDefault="00C17633" w:rsidP="00C17633">
            <w:pPr>
              <w:rPr>
                <w:rFonts w:ascii="Arial" w:hAnsi="Arial" w:cs="Arial"/>
                <w:b/>
                <w:sz w:val="22"/>
                <w:szCs w:val="22"/>
              </w:rPr>
            </w:pPr>
            <w:r w:rsidRPr="000D756E">
              <w:rPr>
                <w:rFonts w:ascii="Arial" w:hAnsi="Arial" w:cs="Arial"/>
                <w:b/>
                <w:sz w:val="22"/>
                <w:szCs w:val="22"/>
              </w:rPr>
              <w:t>Total Comprehensive Income and Expenditure</w:t>
            </w:r>
          </w:p>
        </w:tc>
        <w:tc>
          <w:tcPr>
            <w:tcW w:w="1276" w:type="dxa"/>
            <w:tcBorders>
              <w:top w:val="single" w:sz="4" w:space="0" w:color="auto"/>
              <w:left w:val="single" w:sz="4" w:space="0" w:color="auto"/>
              <w:bottom w:val="single" w:sz="4" w:space="0" w:color="auto"/>
              <w:right w:val="single" w:sz="4" w:space="0" w:color="auto"/>
            </w:tcBorders>
          </w:tcPr>
          <w:p w14:paraId="6C136660" w14:textId="77777777" w:rsidR="00C17633" w:rsidRPr="000D756E" w:rsidRDefault="00C17633" w:rsidP="00C1763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F4B53B5" w14:textId="77777777" w:rsidR="00C17633" w:rsidRPr="000D756E" w:rsidRDefault="00C17633" w:rsidP="00C17633">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8720A69" w14:textId="77777777" w:rsidR="00C17633" w:rsidRDefault="00C17633" w:rsidP="00C17633">
            <w:pPr>
              <w:jc w:val="right"/>
              <w:rPr>
                <w:rFonts w:ascii="Arial" w:hAnsi="Arial" w:cs="Arial"/>
                <w:b/>
                <w:sz w:val="22"/>
                <w:szCs w:val="22"/>
              </w:rPr>
            </w:pPr>
          </w:p>
          <w:p w14:paraId="20A8D44F" w14:textId="67CF4DAA" w:rsidR="00E34823" w:rsidRPr="000D756E" w:rsidRDefault="00E34823" w:rsidP="00C17633">
            <w:pPr>
              <w:jc w:val="right"/>
              <w:rPr>
                <w:rFonts w:ascii="Arial" w:hAnsi="Arial" w:cs="Arial"/>
                <w:b/>
                <w:sz w:val="22"/>
                <w:szCs w:val="22"/>
              </w:rPr>
            </w:pPr>
            <w:r>
              <w:rPr>
                <w:rFonts w:ascii="Arial" w:hAnsi="Arial" w:cs="Arial"/>
                <w:b/>
                <w:sz w:val="22"/>
                <w:szCs w:val="22"/>
              </w:rPr>
              <w:t>-24,54</w:t>
            </w:r>
            <w:r w:rsidR="00A411C1">
              <w:rPr>
                <w:rFonts w:ascii="Arial" w:hAnsi="Arial" w:cs="Arial"/>
                <w:b/>
                <w:sz w:val="22"/>
                <w:szCs w:val="22"/>
              </w:rPr>
              <w:t>4</w:t>
            </w:r>
          </w:p>
        </w:tc>
      </w:tr>
    </w:tbl>
    <w:p w14:paraId="10ED3396" w14:textId="77777777" w:rsidR="004E205A" w:rsidRPr="000D756E" w:rsidRDefault="004E205A" w:rsidP="002A7C01">
      <w:pPr>
        <w:rPr>
          <w:rFonts w:ascii="Arial" w:hAnsi="Arial" w:cs="Arial"/>
          <w:sz w:val="23"/>
          <w:szCs w:val="23"/>
        </w:rPr>
      </w:pPr>
    </w:p>
    <w:p w14:paraId="76E0B890" w14:textId="77777777" w:rsidR="004E205A" w:rsidRPr="000D756E" w:rsidRDefault="004E205A" w:rsidP="002A7C01">
      <w:pPr>
        <w:rPr>
          <w:rFonts w:ascii="Arial" w:hAnsi="Arial" w:cs="Arial"/>
          <w:sz w:val="23"/>
          <w:szCs w:val="23"/>
        </w:rPr>
        <w:sectPr w:rsidR="004E205A" w:rsidRPr="000D756E" w:rsidSect="00540FFA">
          <w:headerReference w:type="default" r:id="rId31"/>
          <w:pgSz w:w="11909" w:h="16834" w:code="9"/>
          <w:pgMar w:top="1440" w:right="1440" w:bottom="1440" w:left="1440" w:header="431" w:footer="431" w:gutter="0"/>
          <w:cols w:space="720"/>
        </w:sectPr>
      </w:pPr>
    </w:p>
    <w:tbl>
      <w:tblPr>
        <w:tblW w:w="10774" w:type="dxa"/>
        <w:tblInd w:w="-885" w:type="dxa"/>
        <w:tblLayout w:type="fixed"/>
        <w:tblLook w:val="01E0" w:firstRow="1" w:lastRow="1" w:firstColumn="1" w:lastColumn="1" w:noHBand="0" w:noVBand="0"/>
      </w:tblPr>
      <w:tblGrid>
        <w:gridCol w:w="1844"/>
        <w:gridCol w:w="1276"/>
        <w:gridCol w:w="1134"/>
        <w:gridCol w:w="1134"/>
        <w:gridCol w:w="1309"/>
        <w:gridCol w:w="1384"/>
        <w:gridCol w:w="1276"/>
        <w:gridCol w:w="1417"/>
      </w:tblGrid>
      <w:tr w:rsidR="006329E6" w:rsidRPr="000D756E" w14:paraId="3157D87F" w14:textId="77777777" w:rsidTr="00057ED0">
        <w:trPr>
          <w:trHeight w:val="1284"/>
        </w:trPr>
        <w:tc>
          <w:tcPr>
            <w:tcW w:w="1844" w:type="dxa"/>
            <w:tcBorders>
              <w:right w:val="single" w:sz="4" w:space="0" w:color="auto"/>
            </w:tcBorders>
          </w:tcPr>
          <w:p w14:paraId="2615598F" w14:textId="77777777" w:rsidR="004A4F75" w:rsidRPr="000D756E" w:rsidRDefault="004A4F75" w:rsidP="00E40FCB">
            <w:pPr>
              <w:rPr>
                <w:rFonts w:ascii="Arial" w:hAnsi="Arial" w:cs="Arial"/>
                <w:sz w:val="23"/>
                <w:szCs w:val="23"/>
              </w:rPr>
            </w:pPr>
          </w:p>
        </w:tc>
        <w:tc>
          <w:tcPr>
            <w:tcW w:w="1276" w:type="dxa"/>
            <w:tcBorders>
              <w:top w:val="single" w:sz="4" w:space="0" w:color="auto"/>
              <w:left w:val="single" w:sz="4" w:space="0" w:color="auto"/>
              <w:bottom w:val="single" w:sz="4" w:space="0" w:color="auto"/>
              <w:right w:val="single" w:sz="4" w:space="0" w:color="auto"/>
            </w:tcBorders>
            <w:vAlign w:val="bottom"/>
          </w:tcPr>
          <w:p w14:paraId="1C19967F" w14:textId="77777777" w:rsidR="004A4F75" w:rsidRPr="000D756E" w:rsidRDefault="00C308CA" w:rsidP="00E40FCB">
            <w:pPr>
              <w:jc w:val="right"/>
              <w:rPr>
                <w:rFonts w:ascii="Arial" w:hAnsi="Arial" w:cs="Arial"/>
                <w:b/>
              </w:rPr>
            </w:pPr>
            <w:r w:rsidRPr="000D756E">
              <w:rPr>
                <w:rFonts w:ascii="Arial" w:hAnsi="Arial" w:cs="Arial"/>
                <w:b/>
              </w:rPr>
              <w:t>Non Earmarked G</w:t>
            </w:r>
            <w:r w:rsidR="004A4F75" w:rsidRPr="000D756E">
              <w:rPr>
                <w:rFonts w:ascii="Arial" w:hAnsi="Arial" w:cs="Arial"/>
                <w:b/>
              </w:rPr>
              <w:t>eneral Fund Balance</w:t>
            </w:r>
          </w:p>
          <w:p w14:paraId="1CAF4DEC" w14:textId="77777777" w:rsidR="0004479D" w:rsidRPr="000D756E" w:rsidRDefault="0004479D" w:rsidP="00E40FCB">
            <w:pPr>
              <w:jc w:val="right"/>
              <w:rPr>
                <w:rFonts w:ascii="Arial" w:hAnsi="Arial" w:cs="Arial"/>
                <w:b/>
              </w:rPr>
            </w:pPr>
            <w:r w:rsidRPr="000D756E">
              <w:rPr>
                <w:rFonts w:ascii="Arial" w:hAnsi="Arial" w:cs="Arial"/>
                <w:b/>
              </w:rPr>
              <w:t>£’000</w:t>
            </w:r>
          </w:p>
          <w:p w14:paraId="0C4D0AAA" w14:textId="77777777" w:rsidR="004A4F75" w:rsidRPr="000D756E" w:rsidRDefault="004A4F75" w:rsidP="00E40FCB">
            <w:pPr>
              <w:jc w:val="right"/>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029ECA84" w14:textId="77777777" w:rsidR="004A4F75" w:rsidRPr="000D756E" w:rsidRDefault="004A4F75" w:rsidP="00E40FCB">
            <w:pPr>
              <w:jc w:val="right"/>
              <w:rPr>
                <w:rFonts w:ascii="Arial" w:hAnsi="Arial" w:cs="Arial"/>
                <w:b/>
              </w:rPr>
            </w:pPr>
          </w:p>
          <w:p w14:paraId="20CBEA9E" w14:textId="77777777" w:rsidR="004A4F75" w:rsidRPr="000D756E" w:rsidRDefault="004A4F75" w:rsidP="00E40FCB">
            <w:pPr>
              <w:jc w:val="right"/>
              <w:rPr>
                <w:rFonts w:ascii="Arial" w:hAnsi="Arial" w:cs="Arial"/>
                <w:b/>
              </w:rPr>
            </w:pPr>
            <w:r w:rsidRPr="000D756E">
              <w:rPr>
                <w:rFonts w:ascii="Arial" w:hAnsi="Arial" w:cs="Arial"/>
                <w:b/>
              </w:rPr>
              <w:t xml:space="preserve">Ear-marked </w:t>
            </w:r>
            <w:r w:rsidR="00C308CA" w:rsidRPr="000D756E">
              <w:rPr>
                <w:rFonts w:ascii="Arial" w:hAnsi="Arial" w:cs="Arial"/>
                <w:b/>
              </w:rPr>
              <w:t>General Fund Balance</w:t>
            </w:r>
          </w:p>
          <w:p w14:paraId="49F47FE0" w14:textId="77777777" w:rsidR="0004479D" w:rsidRPr="000D756E" w:rsidRDefault="0004479D" w:rsidP="00E40FCB">
            <w:pPr>
              <w:jc w:val="right"/>
              <w:rPr>
                <w:rFonts w:ascii="Arial" w:hAnsi="Arial" w:cs="Arial"/>
                <w:b/>
              </w:rPr>
            </w:pPr>
            <w:r w:rsidRPr="000D756E">
              <w:rPr>
                <w:rFonts w:ascii="Arial" w:hAnsi="Arial" w:cs="Arial"/>
                <w:b/>
              </w:rPr>
              <w:t>£’000</w:t>
            </w:r>
          </w:p>
          <w:p w14:paraId="43DA8200" w14:textId="77777777" w:rsidR="004A4F75" w:rsidRPr="000D756E" w:rsidRDefault="004A4F75" w:rsidP="00E40FCB">
            <w:pPr>
              <w:jc w:val="right"/>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14:paraId="30BA1ABC" w14:textId="77777777" w:rsidR="004A4F75" w:rsidRPr="000D756E" w:rsidRDefault="004A4F75" w:rsidP="00E40FCB">
            <w:pPr>
              <w:jc w:val="right"/>
              <w:rPr>
                <w:rFonts w:ascii="Arial" w:hAnsi="Arial" w:cs="Arial"/>
                <w:b/>
                <w:sz w:val="22"/>
                <w:szCs w:val="22"/>
              </w:rPr>
            </w:pPr>
          </w:p>
          <w:p w14:paraId="6EA064E0" w14:textId="77777777" w:rsidR="00C308CA" w:rsidRPr="000D756E" w:rsidRDefault="00C308CA" w:rsidP="00E40FCB">
            <w:pPr>
              <w:jc w:val="right"/>
              <w:rPr>
                <w:rFonts w:ascii="Arial" w:hAnsi="Arial" w:cs="Arial"/>
                <w:b/>
                <w:sz w:val="22"/>
                <w:szCs w:val="22"/>
              </w:rPr>
            </w:pPr>
          </w:p>
          <w:p w14:paraId="1A4AE9A0" w14:textId="77777777" w:rsidR="004A4F75" w:rsidRPr="000D756E" w:rsidRDefault="004A4F75" w:rsidP="00E40FCB">
            <w:pPr>
              <w:jc w:val="right"/>
              <w:rPr>
                <w:rFonts w:ascii="Arial" w:hAnsi="Arial" w:cs="Arial"/>
                <w:b/>
                <w:sz w:val="22"/>
                <w:szCs w:val="22"/>
              </w:rPr>
            </w:pPr>
            <w:r w:rsidRPr="000D756E">
              <w:rPr>
                <w:rFonts w:ascii="Arial" w:hAnsi="Arial" w:cs="Arial"/>
                <w:b/>
                <w:sz w:val="22"/>
                <w:szCs w:val="22"/>
              </w:rPr>
              <w:t>Total General Fund</w:t>
            </w:r>
            <w:r w:rsidR="00C308CA" w:rsidRPr="000D756E">
              <w:rPr>
                <w:rFonts w:ascii="Arial" w:hAnsi="Arial" w:cs="Arial"/>
                <w:b/>
                <w:sz w:val="22"/>
                <w:szCs w:val="22"/>
              </w:rPr>
              <w:t xml:space="preserve"> Balance</w:t>
            </w:r>
          </w:p>
          <w:p w14:paraId="46F16987" w14:textId="77777777" w:rsidR="0004479D" w:rsidRPr="000D756E" w:rsidRDefault="0004479D" w:rsidP="00E40FCB">
            <w:pPr>
              <w:jc w:val="right"/>
              <w:rPr>
                <w:rFonts w:ascii="Arial" w:hAnsi="Arial" w:cs="Arial"/>
                <w:b/>
                <w:sz w:val="22"/>
                <w:szCs w:val="22"/>
              </w:rPr>
            </w:pPr>
            <w:r w:rsidRPr="000D756E">
              <w:rPr>
                <w:rFonts w:ascii="Arial" w:hAnsi="Arial" w:cs="Arial"/>
                <w:b/>
                <w:sz w:val="22"/>
                <w:szCs w:val="22"/>
              </w:rPr>
              <w:t>£’000</w:t>
            </w:r>
          </w:p>
        </w:tc>
        <w:tc>
          <w:tcPr>
            <w:tcW w:w="1309" w:type="dxa"/>
            <w:tcBorders>
              <w:top w:val="single" w:sz="4" w:space="0" w:color="auto"/>
              <w:left w:val="single" w:sz="4" w:space="0" w:color="auto"/>
              <w:bottom w:val="single" w:sz="4" w:space="0" w:color="auto"/>
              <w:right w:val="single" w:sz="4" w:space="0" w:color="auto"/>
            </w:tcBorders>
            <w:vAlign w:val="bottom"/>
          </w:tcPr>
          <w:p w14:paraId="366A480B" w14:textId="77777777" w:rsidR="004A4F75" w:rsidRPr="000D756E" w:rsidRDefault="004A4F75" w:rsidP="00E40FCB">
            <w:pPr>
              <w:jc w:val="right"/>
              <w:rPr>
                <w:rFonts w:ascii="Arial" w:hAnsi="Arial" w:cs="Arial"/>
                <w:b/>
                <w:sz w:val="22"/>
                <w:szCs w:val="22"/>
              </w:rPr>
            </w:pPr>
            <w:r w:rsidRPr="000D756E">
              <w:rPr>
                <w:rFonts w:ascii="Arial" w:hAnsi="Arial" w:cs="Arial"/>
                <w:b/>
                <w:sz w:val="22"/>
                <w:szCs w:val="22"/>
              </w:rPr>
              <w:t>Capital Grants Unapplied Account</w:t>
            </w:r>
          </w:p>
          <w:p w14:paraId="265AAC55" w14:textId="77777777" w:rsidR="0004479D" w:rsidRPr="000D756E" w:rsidRDefault="0004479D" w:rsidP="00E40FCB">
            <w:pPr>
              <w:jc w:val="right"/>
              <w:rPr>
                <w:rFonts w:ascii="Arial" w:hAnsi="Arial" w:cs="Arial"/>
                <w:b/>
                <w:sz w:val="22"/>
                <w:szCs w:val="22"/>
              </w:rPr>
            </w:pPr>
            <w:r w:rsidRPr="000D756E">
              <w:rPr>
                <w:rFonts w:ascii="Arial" w:hAnsi="Arial" w:cs="Arial"/>
                <w:b/>
                <w:sz w:val="22"/>
                <w:szCs w:val="22"/>
              </w:rPr>
              <w:t>£’000</w:t>
            </w:r>
          </w:p>
          <w:p w14:paraId="7F9206A7" w14:textId="77777777" w:rsidR="004A4F75" w:rsidRPr="000D756E" w:rsidRDefault="004A4F75" w:rsidP="00E40FCB">
            <w:pPr>
              <w:jc w:val="right"/>
              <w:rPr>
                <w:rFonts w:ascii="Arial" w:hAnsi="Arial" w:cs="Arial"/>
                <w:b/>
                <w:sz w:val="22"/>
                <w:szCs w:val="22"/>
              </w:rPr>
            </w:pPr>
          </w:p>
        </w:tc>
        <w:tc>
          <w:tcPr>
            <w:tcW w:w="1384" w:type="dxa"/>
            <w:tcBorders>
              <w:top w:val="single" w:sz="4" w:space="0" w:color="auto"/>
              <w:left w:val="single" w:sz="4" w:space="0" w:color="auto"/>
              <w:bottom w:val="single" w:sz="4" w:space="0" w:color="auto"/>
              <w:right w:val="single" w:sz="4" w:space="0" w:color="auto"/>
            </w:tcBorders>
            <w:vAlign w:val="bottom"/>
          </w:tcPr>
          <w:p w14:paraId="20162357" w14:textId="77777777" w:rsidR="004A4F75" w:rsidRPr="000D756E" w:rsidRDefault="004A4F75" w:rsidP="00E40FCB">
            <w:pPr>
              <w:jc w:val="right"/>
              <w:rPr>
                <w:rFonts w:ascii="Arial" w:hAnsi="Arial" w:cs="Arial"/>
                <w:b/>
                <w:sz w:val="22"/>
                <w:szCs w:val="22"/>
              </w:rPr>
            </w:pPr>
            <w:r w:rsidRPr="000D756E">
              <w:rPr>
                <w:rFonts w:ascii="Arial" w:hAnsi="Arial" w:cs="Arial"/>
                <w:b/>
                <w:sz w:val="22"/>
                <w:szCs w:val="22"/>
              </w:rPr>
              <w:t>Total Usable Reserves</w:t>
            </w:r>
          </w:p>
          <w:p w14:paraId="0C567F06" w14:textId="77777777" w:rsidR="0004479D" w:rsidRPr="000D756E" w:rsidRDefault="0004479D" w:rsidP="00E40FCB">
            <w:pPr>
              <w:jc w:val="right"/>
              <w:rPr>
                <w:rFonts w:ascii="Arial" w:hAnsi="Arial" w:cs="Arial"/>
                <w:b/>
                <w:sz w:val="22"/>
                <w:szCs w:val="22"/>
              </w:rPr>
            </w:pPr>
            <w:r w:rsidRPr="000D756E">
              <w:rPr>
                <w:rFonts w:ascii="Arial" w:hAnsi="Arial" w:cs="Arial"/>
                <w:b/>
                <w:sz w:val="22"/>
                <w:szCs w:val="22"/>
              </w:rPr>
              <w:t>£’000</w:t>
            </w:r>
          </w:p>
          <w:p w14:paraId="6D53C86B" w14:textId="77777777" w:rsidR="004A4F75" w:rsidRPr="000D756E" w:rsidRDefault="004A4F75" w:rsidP="00E40FCB">
            <w:pPr>
              <w:jc w:val="right"/>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bottom"/>
          </w:tcPr>
          <w:p w14:paraId="423C9666" w14:textId="77777777" w:rsidR="004A4F75" w:rsidRPr="000D756E" w:rsidRDefault="004A4F75" w:rsidP="00E40FCB">
            <w:pPr>
              <w:jc w:val="right"/>
              <w:rPr>
                <w:rFonts w:ascii="Arial" w:hAnsi="Arial" w:cs="Arial"/>
                <w:b/>
                <w:sz w:val="22"/>
                <w:szCs w:val="22"/>
              </w:rPr>
            </w:pPr>
          </w:p>
          <w:p w14:paraId="2962A5B1" w14:textId="77777777" w:rsidR="004A4F75" w:rsidRPr="000D756E" w:rsidRDefault="004A4F75" w:rsidP="00E40FCB">
            <w:pPr>
              <w:jc w:val="right"/>
              <w:rPr>
                <w:rFonts w:ascii="Arial" w:hAnsi="Arial" w:cs="Arial"/>
                <w:b/>
                <w:sz w:val="22"/>
                <w:szCs w:val="22"/>
              </w:rPr>
            </w:pPr>
            <w:r w:rsidRPr="000D756E">
              <w:rPr>
                <w:rFonts w:ascii="Arial" w:hAnsi="Arial" w:cs="Arial"/>
                <w:b/>
                <w:sz w:val="22"/>
                <w:szCs w:val="22"/>
              </w:rPr>
              <w:t>Unusable Reserves</w:t>
            </w:r>
          </w:p>
          <w:p w14:paraId="487B3A96" w14:textId="77777777" w:rsidR="0004479D" w:rsidRPr="000D756E" w:rsidRDefault="0004479D" w:rsidP="00E40FCB">
            <w:pPr>
              <w:jc w:val="right"/>
              <w:rPr>
                <w:rFonts w:ascii="Arial" w:hAnsi="Arial" w:cs="Arial"/>
                <w:b/>
                <w:sz w:val="22"/>
                <w:szCs w:val="22"/>
              </w:rPr>
            </w:pPr>
            <w:r w:rsidRPr="000D756E">
              <w:rPr>
                <w:rFonts w:ascii="Arial" w:hAnsi="Arial" w:cs="Arial"/>
                <w:b/>
                <w:sz w:val="22"/>
                <w:szCs w:val="22"/>
              </w:rPr>
              <w:t>£’000</w:t>
            </w:r>
          </w:p>
          <w:p w14:paraId="3A836AAD" w14:textId="77777777" w:rsidR="004A4F75" w:rsidRPr="000D756E" w:rsidRDefault="004A4F75" w:rsidP="00E40FCB">
            <w:pPr>
              <w:jc w:val="right"/>
              <w:rPr>
                <w:rFonts w:ascii="Arial" w:hAnsi="Arial" w:cs="Arial"/>
                <w:b/>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5EA0550C" w14:textId="77777777" w:rsidR="004A4F75" w:rsidRPr="000D756E" w:rsidRDefault="004A4F75" w:rsidP="00E40FCB">
            <w:pPr>
              <w:jc w:val="right"/>
              <w:rPr>
                <w:rFonts w:ascii="Arial" w:hAnsi="Arial" w:cs="Arial"/>
                <w:b/>
                <w:sz w:val="22"/>
                <w:szCs w:val="22"/>
              </w:rPr>
            </w:pPr>
            <w:r w:rsidRPr="000D756E">
              <w:rPr>
                <w:rFonts w:ascii="Arial" w:hAnsi="Arial" w:cs="Arial"/>
                <w:b/>
                <w:sz w:val="22"/>
                <w:szCs w:val="22"/>
              </w:rPr>
              <w:t>Total Authority Reserves</w:t>
            </w:r>
          </w:p>
          <w:p w14:paraId="47EBA445" w14:textId="77777777" w:rsidR="0004479D" w:rsidRPr="000D756E" w:rsidRDefault="0004479D" w:rsidP="00E40FCB">
            <w:pPr>
              <w:jc w:val="right"/>
              <w:rPr>
                <w:rFonts w:ascii="Arial" w:hAnsi="Arial" w:cs="Arial"/>
                <w:b/>
                <w:sz w:val="22"/>
                <w:szCs w:val="22"/>
              </w:rPr>
            </w:pPr>
            <w:r w:rsidRPr="000D756E">
              <w:rPr>
                <w:rFonts w:ascii="Arial" w:hAnsi="Arial" w:cs="Arial"/>
                <w:b/>
                <w:sz w:val="22"/>
                <w:szCs w:val="22"/>
              </w:rPr>
              <w:t>£’000</w:t>
            </w:r>
          </w:p>
          <w:p w14:paraId="3609CF06" w14:textId="77777777" w:rsidR="004A4F75" w:rsidRPr="000D756E" w:rsidRDefault="004A4F75" w:rsidP="00E40FCB">
            <w:pPr>
              <w:jc w:val="right"/>
              <w:rPr>
                <w:rFonts w:ascii="Arial" w:hAnsi="Arial" w:cs="Arial"/>
                <w:b/>
                <w:sz w:val="22"/>
                <w:szCs w:val="22"/>
              </w:rPr>
            </w:pPr>
          </w:p>
        </w:tc>
      </w:tr>
      <w:tr w:rsidR="00C17633" w:rsidRPr="000D756E" w14:paraId="19262E9A" w14:textId="77777777" w:rsidTr="007E1332">
        <w:trPr>
          <w:trHeight w:val="465"/>
        </w:trPr>
        <w:tc>
          <w:tcPr>
            <w:tcW w:w="1844" w:type="dxa"/>
            <w:tcBorders>
              <w:right w:val="single" w:sz="4" w:space="0" w:color="auto"/>
            </w:tcBorders>
          </w:tcPr>
          <w:p w14:paraId="5A1B3597" w14:textId="1D173CA8" w:rsidR="00C17633" w:rsidRDefault="00C17633" w:rsidP="00C17633">
            <w:pPr>
              <w:rPr>
                <w:rFonts w:ascii="Arial" w:hAnsi="Arial" w:cs="Arial"/>
                <w:b/>
                <w:sz w:val="22"/>
                <w:szCs w:val="22"/>
              </w:rPr>
            </w:pPr>
            <w:r w:rsidRPr="000D756E">
              <w:rPr>
                <w:rFonts w:ascii="Arial" w:hAnsi="Arial" w:cs="Arial"/>
                <w:b/>
                <w:sz w:val="22"/>
                <w:szCs w:val="22"/>
              </w:rPr>
              <w:t>Balance at 31 March 202</w:t>
            </w:r>
            <w:r w:rsidR="00C934F4">
              <w:rPr>
                <w:rFonts w:ascii="Arial" w:hAnsi="Arial" w:cs="Arial"/>
                <w:b/>
                <w:sz w:val="22"/>
                <w:szCs w:val="22"/>
              </w:rPr>
              <w:t>4</w:t>
            </w:r>
          </w:p>
          <w:p w14:paraId="12194646" w14:textId="39A7BC7A" w:rsidR="00C934F4" w:rsidRPr="000D756E" w:rsidRDefault="00C934F4" w:rsidP="00C17633">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2B585E5" w14:textId="77777777" w:rsidR="00C17633" w:rsidRPr="000D756E" w:rsidRDefault="00C17633" w:rsidP="00C934F4">
            <w:pPr>
              <w:rPr>
                <w:rFonts w:ascii="Arial" w:hAnsi="Arial" w:cs="Arial"/>
                <w:b/>
                <w:sz w:val="23"/>
                <w:szCs w:val="23"/>
              </w:rPr>
            </w:pPr>
          </w:p>
          <w:p w14:paraId="7C58FAEA" w14:textId="48DE71B1" w:rsidR="00C17633" w:rsidRPr="000D756E" w:rsidRDefault="00C17633" w:rsidP="007E1332">
            <w:pPr>
              <w:jc w:val="right"/>
              <w:rPr>
                <w:rFonts w:ascii="Arial" w:hAnsi="Arial" w:cs="Arial"/>
                <w:b/>
                <w:sz w:val="23"/>
                <w:szCs w:val="23"/>
              </w:rPr>
            </w:pPr>
            <w:r w:rsidRPr="000D756E">
              <w:rPr>
                <w:rFonts w:ascii="Arial" w:hAnsi="Arial" w:cs="Arial"/>
                <w:b/>
                <w:sz w:val="23"/>
                <w:szCs w:val="23"/>
              </w:rPr>
              <w:t>2,433</w:t>
            </w:r>
          </w:p>
        </w:tc>
        <w:tc>
          <w:tcPr>
            <w:tcW w:w="1134" w:type="dxa"/>
            <w:tcBorders>
              <w:top w:val="single" w:sz="4" w:space="0" w:color="auto"/>
              <w:left w:val="single" w:sz="4" w:space="0" w:color="auto"/>
              <w:bottom w:val="single" w:sz="4" w:space="0" w:color="auto"/>
              <w:right w:val="single" w:sz="4" w:space="0" w:color="auto"/>
            </w:tcBorders>
          </w:tcPr>
          <w:p w14:paraId="66E0ABC6" w14:textId="77777777" w:rsidR="00C17633" w:rsidRPr="000D756E" w:rsidRDefault="00C17633" w:rsidP="00C934F4">
            <w:pPr>
              <w:rPr>
                <w:rFonts w:ascii="Arial" w:hAnsi="Arial" w:cs="Arial"/>
                <w:b/>
                <w:sz w:val="23"/>
                <w:szCs w:val="23"/>
              </w:rPr>
            </w:pPr>
          </w:p>
          <w:p w14:paraId="7742D791" w14:textId="542AB04F" w:rsidR="00C17633" w:rsidRPr="000D756E" w:rsidRDefault="00C17633" w:rsidP="007E1332">
            <w:pPr>
              <w:jc w:val="right"/>
              <w:rPr>
                <w:rFonts w:ascii="Arial" w:hAnsi="Arial" w:cs="Arial"/>
                <w:b/>
                <w:sz w:val="23"/>
                <w:szCs w:val="23"/>
              </w:rPr>
            </w:pPr>
            <w:r w:rsidRPr="000D756E">
              <w:rPr>
                <w:rFonts w:ascii="Arial" w:hAnsi="Arial" w:cs="Arial"/>
                <w:b/>
                <w:sz w:val="23"/>
                <w:szCs w:val="23"/>
              </w:rPr>
              <w:t>11,127</w:t>
            </w:r>
          </w:p>
        </w:tc>
        <w:tc>
          <w:tcPr>
            <w:tcW w:w="1134" w:type="dxa"/>
            <w:tcBorders>
              <w:top w:val="single" w:sz="4" w:space="0" w:color="auto"/>
              <w:left w:val="single" w:sz="4" w:space="0" w:color="auto"/>
              <w:bottom w:val="single" w:sz="4" w:space="0" w:color="auto"/>
              <w:right w:val="single" w:sz="4" w:space="0" w:color="auto"/>
            </w:tcBorders>
          </w:tcPr>
          <w:p w14:paraId="52039AAC" w14:textId="77777777" w:rsidR="00C17633" w:rsidRPr="000D756E" w:rsidRDefault="00C17633" w:rsidP="00C934F4">
            <w:pPr>
              <w:rPr>
                <w:rFonts w:ascii="Arial" w:hAnsi="Arial" w:cs="Arial"/>
                <w:b/>
                <w:sz w:val="23"/>
                <w:szCs w:val="23"/>
              </w:rPr>
            </w:pPr>
          </w:p>
          <w:p w14:paraId="02DA7349" w14:textId="6F51A55A" w:rsidR="00C17633" w:rsidRPr="000D756E" w:rsidRDefault="00C17633" w:rsidP="007E1332">
            <w:pPr>
              <w:jc w:val="right"/>
              <w:rPr>
                <w:rFonts w:ascii="Arial" w:hAnsi="Arial" w:cs="Arial"/>
                <w:b/>
                <w:sz w:val="23"/>
                <w:szCs w:val="23"/>
              </w:rPr>
            </w:pPr>
            <w:r w:rsidRPr="000D756E">
              <w:rPr>
                <w:rFonts w:ascii="Arial" w:hAnsi="Arial" w:cs="Arial"/>
                <w:b/>
                <w:sz w:val="23"/>
                <w:szCs w:val="23"/>
              </w:rPr>
              <w:t>13,560</w:t>
            </w:r>
          </w:p>
        </w:tc>
        <w:tc>
          <w:tcPr>
            <w:tcW w:w="1309" w:type="dxa"/>
            <w:tcBorders>
              <w:top w:val="single" w:sz="4" w:space="0" w:color="auto"/>
              <w:left w:val="single" w:sz="4" w:space="0" w:color="auto"/>
              <w:bottom w:val="single" w:sz="4" w:space="0" w:color="auto"/>
              <w:right w:val="single" w:sz="4" w:space="0" w:color="auto"/>
            </w:tcBorders>
          </w:tcPr>
          <w:p w14:paraId="013682BA" w14:textId="77777777" w:rsidR="00C17633" w:rsidRPr="000D756E" w:rsidRDefault="00C17633" w:rsidP="00C934F4">
            <w:pPr>
              <w:rPr>
                <w:rFonts w:ascii="Arial" w:hAnsi="Arial" w:cs="Arial"/>
                <w:b/>
                <w:sz w:val="23"/>
                <w:szCs w:val="23"/>
              </w:rPr>
            </w:pPr>
          </w:p>
          <w:p w14:paraId="43614D1A" w14:textId="2341D930" w:rsidR="00C17633" w:rsidRPr="000D756E" w:rsidRDefault="00C17633" w:rsidP="007E1332">
            <w:pPr>
              <w:jc w:val="right"/>
              <w:rPr>
                <w:rFonts w:ascii="Arial" w:hAnsi="Arial" w:cs="Arial"/>
                <w:b/>
                <w:sz w:val="23"/>
                <w:szCs w:val="23"/>
              </w:rPr>
            </w:pPr>
            <w:r w:rsidRPr="000D756E">
              <w:rPr>
                <w:rFonts w:ascii="Arial" w:hAnsi="Arial" w:cs="Arial"/>
                <w:b/>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178F99D5" w14:textId="77777777" w:rsidR="00C17633" w:rsidRPr="000D756E" w:rsidRDefault="00C17633" w:rsidP="00C934F4">
            <w:pPr>
              <w:rPr>
                <w:rFonts w:ascii="Arial" w:hAnsi="Arial" w:cs="Arial"/>
                <w:b/>
                <w:sz w:val="23"/>
                <w:szCs w:val="23"/>
              </w:rPr>
            </w:pPr>
          </w:p>
          <w:p w14:paraId="19CEBC56" w14:textId="7B0D517C" w:rsidR="00C17633" w:rsidRPr="000D756E" w:rsidRDefault="00C17633" w:rsidP="007E1332">
            <w:pPr>
              <w:jc w:val="right"/>
              <w:rPr>
                <w:rFonts w:ascii="Arial" w:hAnsi="Arial" w:cs="Arial"/>
                <w:b/>
                <w:sz w:val="23"/>
                <w:szCs w:val="23"/>
              </w:rPr>
            </w:pPr>
            <w:r w:rsidRPr="000D756E">
              <w:rPr>
                <w:rFonts w:ascii="Arial" w:hAnsi="Arial" w:cs="Arial"/>
                <w:b/>
                <w:sz w:val="23"/>
                <w:szCs w:val="23"/>
              </w:rPr>
              <w:t>13,560</w:t>
            </w:r>
          </w:p>
        </w:tc>
        <w:tc>
          <w:tcPr>
            <w:tcW w:w="1276" w:type="dxa"/>
            <w:tcBorders>
              <w:top w:val="single" w:sz="4" w:space="0" w:color="auto"/>
              <w:left w:val="single" w:sz="4" w:space="0" w:color="auto"/>
              <w:bottom w:val="single" w:sz="4" w:space="0" w:color="auto"/>
              <w:right w:val="single" w:sz="4" w:space="0" w:color="auto"/>
            </w:tcBorders>
          </w:tcPr>
          <w:p w14:paraId="07A88A9F" w14:textId="77777777" w:rsidR="00C17633" w:rsidRPr="000D756E" w:rsidRDefault="00C17633" w:rsidP="00C934F4">
            <w:pPr>
              <w:rPr>
                <w:rFonts w:ascii="Arial" w:hAnsi="Arial" w:cs="Arial"/>
                <w:b/>
                <w:sz w:val="23"/>
                <w:szCs w:val="23"/>
              </w:rPr>
            </w:pPr>
          </w:p>
          <w:p w14:paraId="69D5277E" w14:textId="67DAAF01" w:rsidR="00C17633" w:rsidRPr="000D756E" w:rsidRDefault="00C17633" w:rsidP="007E1332">
            <w:pPr>
              <w:jc w:val="right"/>
              <w:rPr>
                <w:rFonts w:ascii="Arial" w:hAnsi="Arial" w:cs="Arial"/>
                <w:b/>
                <w:sz w:val="23"/>
                <w:szCs w:val="23"/>
              </w:rPr>
            </w:pPr>
            <w:r w:rsidRPr="000D756E">
              <w:rPr>
                <w:rFonts w:ascii="Arial" w:hAnsi="Arial" w:cs="Arial"/>
                <w:b/>
                <w:sz w:val="23"/>
                <w:szCs w:val="23"/>
              </w:rPr>
              <w:t>-160,896</w:t>
            </w:r>
          </w:p>
        </w:tc>
        <w:tc>
          <w:tcPr>
            <w:tcW w:w="1417" w:type="dxa"/>
            <w:tcBorders>
              <w:top w:val="single" w:sz="4" w:space="0" w:color="auto"/>
              <w:left w:val="single" w:sz="4" w:space="0" w:color="auto"/>
              <w:bottom w:val="single" w:sz="4" w:space="0" w:color="auto"/>
              <w:right w:val="single" w:sz="4" w:space="0" w:color="auto"/>
            </w:tcBorders>
          </w:tcPr>
          <w:p w14:paraId="08E55169" w14:textId="77777777" w:rsidR="00C17633" w:rsidRPr="000D756E" w:rsidRDefault="00C17633" w:rsidP="00C934F4">
            <w:pPr>
              <w:rPr>
                <w:rFonts w:ascii="Arial" w:hAnsi="Arial" w:cs="Arial"/>
                <w:b/>
                <w:sz w:val="23"/>
                <w:szCs w:val="23"/>
              </w:rPr>
            </w:pPr>
          </w:p>
          <w:p w14:paraId="3F902D49" w14:textId="6070CBFC" w:rsidR="00C17633" w:rsidRPr="000D756E" w:rsidRDefault="00C17633" w:rsidP="007E1332">
            <w:pPr>
              <w:jc w:val="right"/>
              <w:rPr>
                <w:rFonts w:ascii="Arial" w:hAnsi="Arial" w:cs="Arial"/>
                <w:b/>
                <w:sz w:val="23"/>
                <w:szCs w:val="23"/>
              </w:rPr>
            </w:pPr>
            <w:r w:rsidRPr="000D756E">
              <w:rPr>
                <w:rFonts w:ascii="Arial" w:hAnsi="Arial" w:cs="Arial"/>
                <w:b/>
                <w:sz w:val="23"/>
                <w:szCs w:val="23"/>
              </w:rPr>
              <w:t>-147,336</w:t>
            </w:r>
          </w:p>
        </w:tc>
      </w:tr>
      <w:tr w:rsidR="006329E6" w:rsidRPr="000D756E" w14:paraId="09B24A69" w14:textId="77777777" w:rsidTr="00057ED0">
        <w:tc>
          <w:tcPr>
            <w:tcW w:w="1844" w:type="dxa"/>
            <w:tcBorders>
              <w:right w:val="single" w:sz="4" w:space="0" w:color="auto"/>
            </w:tcBorders>
          </w:tcPr>
          <w:p w14:paraId="68D67EB1" w14:textId="77777777" w:rsidR="00513339" w:rsidRPr="000D756E" w:rsidRDefault="00513339" w:rsidP="00513339">
            <w:pPr>
              <w:rPr>
                <w:rFonts w:ascii="Arial" w:hAnsi="Arial" w:cs="Arial"/>
                <w:b/>
                <w:sz w:val="22"/>
                <w:szCs w:val="22"/>
              </w:rPr>
            </w:pPr>
          </w:p>
          <w:p w14:paraId="07C747B6" w14:textId="3EAAB3EB" w:rsidR="00513339" w:rsidRPr="000D756E" w:rsidRDefault="00513339" w:rsidP="00513339">
            <w:pPr>
              <w:rPr>
                <w:rFonts w:ascii="Arial" w:hAnsi="Arial" w:cs="Arial"/>
                <w:b/>
                <w:sz w:val="22"/>
                <w:szCs w:val="22"/>
              </w:rPr>
            </w:pPr>
            <w:r w:rsidRPr="000D756E">
              <w:rPr>
                <w:rFonts w:ascii="Arial" w:hAnsi="Arial" w:cs="Arial"/>
                <w:b/>
                <w:sz w:val="22"/>
                <w:szCs w:val="22"/>
              </w:rPr>
              <w:t>Movement in reserves during 202</w:t>
            </w:r>
            <w:r w:rsidR="00C934F4">
              <w:rPr>
                <w:rFonts w:ascii="Arial" w:hAnsi="Arial" w:cs="Arial"/>
                <w:b/>
                <w:sz w:val="22"/>
                <w:szCs w:val="22"/>
              </w:rPr>
              <w:t>4/25</w:t>
            </w:r>
          </w:p>
          <w:p w14:paraId="0316CAD1" w14:textId="77777777" w:rsidR="00513339" w:rsidRPr="000D756E" w:rsidRDefault="00513339" w:rsidP="00513339">
            <w:pPr>
              <w:rPr>
                <w:rFonts w:ascii="Arial" w:hAnsi="Arial" w:cs="Arial"/>
                <w:sz w:val="22"/>
                <w:szCs w:val="22"/>
              </w:rPr>
            </w:pPr>
          </w:p>
          <w:p w14:paraId="1C6F6229" w14:textId="77777777" w:rsidR="00513339" w:rsidRPr="000D756E" w:rsidRDefault="00513339" w:rsidP="00513339">
            <w:pPr>
              <w:rPr>
                <w:rFonts w:ascii="Arial" w:hAnsi="Arial" w:cs="Arial"/>
                <w:sz w:val="22"/>
                <w:szCs w:val="22"/>
              </w:rPr>
            </w:pPr>
            <w:r w:rsidRPr="000D756E">
              <w:rPr>
                <w:rFonts w:ascii="Arial" w:hAnsi="Arial" w:cs="Arial"/>
                <w:sz w:val="22"/>
                <w:szCs w:val="22"/>
              </w:rPr>
              <w:t xml:space="preserve">Total Comprehensive Income and Expenditure </w:t>
            </w:r>
          </w:p>
          <w:p w14:paraId="78157524" w14:textId="77777777" w:rsidR="00513339" w:rsidRPr="000D756E" w:rsidRDefault="00513339" w:rsidP="00513339">
            <w:pPr>
              <w:rPr>
                <w:rFonts w:ascii="Arial" w:hAnsi="Arial" w:cs="Arial"/>
                <w:sz w:val="22"/>
                <w:szCs w:val="22"/>
              </w:rPr>
            </w:pPr>
          </w:p>
          <w:p w14:paraId="6A3BEA66" w14:textId="77777777" w:rsidR="00513339" w:rsidRPr="000D756E" w:rsidRDefault="00513339" w:rsidP="00513339">
            <w:pPr>
              <w:rPr>
                <w:rFonts w:ascii="Arial" w:hAnsi="Arial" w:cs="Arial"/>
                <w:sz w:val="22"/>
                <w:szCs w:val="22"/>
              </w:rPr>
            </w:pPr>
            <w:r w:rsidRPr="000D756E">
              <w:rPr>
                <w:rFonts w:ascii="Arial" w:hAnsi="Arial" w:cs="Arial"/>
                <w:sz w:val="22"/>
                <w:szCs w:val="22"/>
              </w:rPr>
              <w:t>Adjustments between accounting basis &amp; funding basis under regulations (note 4)</w:t>
            </w:r>
          </w:p>
        </w:tc>
        <w:tc>
          <w:tcPr>
            <w:tcW w:w="1276" w:type="dxa"/>
            <w:tcBorders>
              <w:top w:val="single" w:sz="4" w:space="0" w:color="auto"/>
              <w:left w:val="single" w:sz="4" w:space="0" w:color="auto"/>
              <w:bottom w:val="single" w:sz="4" w:space="0" w:color="auto"/>
              <w:right w:val="single" w:sz="4" w:space="0" w:color="auto"/>
            </w:tcBorders>
          </w:tcPr>
          <w:p w14:paraId="23911F5D" w14:textId="77777777" w:rsidR="00280F7B" w:rsidRDefault="00280F7B" w:rsidP="00513339">
            <w:pPr>
              <w:jc w:val="right"/>
              <w:rPr>
                <w:rFonts w:ascii="Arial" w:hAnsi="Arial" w:cs="Arial"/>
                <w:sz w:val="23"/>
                <w:szCs w:val="23"/>
              </w:rPr>
            </w:pPr>
          </w:p>
          <w:p w14:paraId="1D20239B" w14:textId="77777777" w:rsidR="00E34823" w:rsidRDefault="00E34823" w:rsidP="00513339">
            <w:pPr>
              <w:jc w:val="right"/>
              <w:rPr>
                <w:rFonts w:ascii="Arial" w:hAnsi="Arial" w:cs="Arial"/>
                <w:sz w:val="23"/>
                <w:szCs w:val="23"/>
              </w:rPr>
            </w:pPr>
          </w:p>
          <w:p w14:paraId="01F41F22" w14:textId="77777777" w:rsidR="00E34823" w:rsidRDefault="00E34823" w:rsidP="00513339">
            <w:pPr>
              <w:jc w:val="right"/>
              <w:rPr>
                <w:rFonts w:ascii="Arial" w:hAnsi="Arial" w:cs="Arial"/>
                <w:sz w:val="23"/>
                <w:szCs w:val="23"/>
              </w:rPr>
            </w:pPr>
          </w:p>
          <w:p w14:paraId="7B76D41D" w14:textId="77777777" w:rsidR="00E34823" w:rsidRDefault="00E34823" w:rsidP="00513339">
            <w:pPr>
              <w:jc w:val="right"/>
              <w:rPr>
                <w:rFonts w:ascii="Arial" w:hAnsi="Arial" w:cs="Arial"/>
                <w:sz w:val="23"/>
                <w:szCs w:val="23"/>
              </w:rPr>
            </w:pPr>
          </w:p>
          <w:p w14:paraId="5B5C24B6" w14:textId="77777777" w:rsidR="00E34823" w:rsidRDefault="00E34823" w:rsidP="00513339">
            <w:pPr>
              <w:jc w:val="right"/>
              <w:rPr>
                <w:rFonts w:ascii="Arial" w:hAnsi="Arial" w:cs="Arial"/>
                <w:sz w:val="23"/>
                <w:szCs w:val="23"/>
              </w:rPr>
            </w:pPr>
          </w:p>
          <w:p w14:paraId="0E9B0987" w14:textId="77777777" w:rsidR="00E34823" w:rsidRDefault="00E34823" w:rsidP="00513339">
            <w:pPr>
              <w:jc w:val="right"/>
              <w:rPr>
                <w:rFonts w:ascii="Arial" w:hAnsi="Arial" w:cs="Arial"/>
                <w:sz w:val="23"/>
                <w:szCs w:val="23"/>
              </w:rPr>
            </w:pPr>
          </w:p>
          <w:p w14:paraId="7ECD6604" w14:textId="41373F61" w:rsidR="009D42CE" w:rsidRDefault="009D42CE" w:rsidP="00513339">
            <w:pPr>
              <w:jc w:val="right"/>
              <w:rPr>
                <w:rFonts w:ascii="Arial" w:hAnsi="Arial" w:cs="Arial"/>
                <w:sz w:val="23"/>
                <w:szCs w:val="23"/>
              </w:rPr>
            </w:pPr>
            <w:r>
              <w:rPr>
                <w:rFonts w:ascii="Arial" w:hAnsi="Arial" w:cs="Arial"/>
                <w:sz w:val="23"/>
                <w:szCs w:val="23"/>
              </w:rPr>
              <w:t>-9,74</w:t>
            </w:r>
            <w:r w:rsidR="00AC717A">
              <w:rPr>
                <w:rFonts w:ascii="Arial" w:hAnsi="Arial" w:cs="Arial"/>
                <w:sz w:val="23"/>
                <w:szCs w:val="23"/>
              </w:rPr>
              <w:t>0</w:t>
            </w:r>
          </w:p>
          <w:p w14:paraId="3F4901D5" w14:textId="77777777" w:rsidR="009D42CE" w:rsidRDefault="009D42CE" w:rsidP="00513339">
            <w:pPr>
              <w:jc w:val="right"/>
              <w:rPr>
                <w:rFonts w:ascii="Arial" w:hAnsi="Arial" w:cs="Arial"/>
                <w:sz w:val="23"/>
                <w:szCs w:val="23"/>
              </w:rPr>
            </w:pPr>
          </w:p>
          <w:p w14:paraId="7582E60E" w14:textId="77777777" w:rsidR="009D42CE" w:rsidRDefault="009D42CE" w:rsidP="00513339">
            <w:pPr>
              <w:jc w:val="right"/>
              <w:rPr>
                <w:rFonts w:ascii="Arial" w:hAnsi="Arial" w:cs="Arial"/>
                <w:sz w:val="23"/>
                <w:szCs w:val="23"/>
              </w:rPr>
            </w:pPr>
          </w:p>
          <w:p w14:paraId="2D40A641" w14:textId="77777777" w:rsidR="009D42CE" w:rsidRDefault="009D42CE" w:rsidP="00513339">
            <w:pPr>
              <w:jc w:val="right"/>
              <w:rPr>
                <w:rFonts w:ascii="Arial" w:hAnsi="Arial" w:cs="Arial"/>
                <w:sz w:val="23"/>
                <w:szCs w:val="23"/>
              </w:rPr>
            </w:pPr>
          </w:p>
          <w:p w14:paraId="66F99CBC" w14:textId="77777777" w:rsidR="009D42CE" w:rsidRDefault="009D42CE" w:rsidP="00513339">
            <w:pPr>
              <w:jc w:val="right"/>
              <w:rPr>
                <w:rFonts w:ascii="Arial" w:hAnsi="Arial" w:cs="Arial"/>
                <w:sz w:val="23"/>
                <w:szCs w:val="23"/>
              </w:rPr>
            </w:pPr>
          </w:p>
          <w:p w14:paraId="552A2C09" w14:textId="77777777" w:rsidR="00C83F6C" w:rsidRDefault="00C83F6C" w:rsidP="00513339">
            <w:pPr>
              <w:jc w:val="right"/>
              <w:rPr>
                <w:rFonts w:ascii="Arial" w:hAnsi="Arial" w:cs="Arial"/>
                <w:sz w:val="23"/>
                <w:szCs w:val="23"/>
              </w:rPr>
            </w:pPr>
          </w:p>
          <w:p w14:paraId="73BA0DB6" w14:textId="6055C317" w:rsidR="009D42CE" w:rsidRDefault="009D42CE" w:rsidP="00513339">
            <w:pPr>
              <w:jc w:val="right"/>
              <w:rPr>
                <w:rFonts w:ascii="Arial" w:hAnsi="Arial" w:cs="Arial"/>
                <w:sz w:val="23"/>
                <w:szCs w:val="23"/>
              </w:rPr>
            </w:pPr>
            <w:r>
              <w:rPr>
                <w:rFonts w:ascii="Arial" w:hAnsi="Arial" w:cs="Arial"/>
                <w:sz w:val="23"/>
                <w:szCs w:val="23"/>
              </w:rPr>
              <w:t>7,15</w:t>
            </w:r>
            <w:r w:rsidR="00C83F6C">
              <w:rPr>
                <w:rFonts w:ascii="Arial" w:hAnsi="Arial" w:cs="Arial"/>
                <w:sz w:val="23"/>
                <w:szCs w:val="23"/>
              </w:rPr>
              <w:t>7</w:t>
            </w:r>
          </w:p>
          <w:p w14:paraId="277D0CFF" w14:textId="03CEDC7C" w:rsidR="00C83F6C" w:rsidRPr="000D756E" w:rsidRDefault="00C83F6C" w:rsidP="00C83F6C">
            <w:pPr>
              <w:jc w:val="center"/>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385E396" w14:textId="5A4F38AE" w:rsidR="00FC3488" w:rsidRPr="000D756E" w:rsidRDefault="00FC3488" w:rsidP="00FC3488">
            <w:pPr>
              <w:jc w:val="right"/>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F0800AA" w14:textId="77777777" w:rsidR="0021573A" w:rsidRDefault="0021573A" w:rsidP="00513339">
            <w:pPr>
              <w:jc w:val="right"/>
              <w:rPr>
                <w:rFonts w:ascii="Arial" w:hAnsi="Arial" w:cs="Arial"/>
                <w:sz w:val="23"/>
                <w:szCs w:val="23"/>
              </w:rPr>
            </w:pPr>
          </w:p>
          <w:p w14:paraId="0C50F5C7" w14:textId="77777777" w:rsidR="00337E10" w:rsidRDefault="00337E10" w:rsidP="00513339">
            <w:pPr>
              <w:jc w:val="right"/>
              <w:rPr>
                <w:rFonts w:ascii="Arial" w:hAnsi="Arial" w:cs="Arial"/>
                <w:sz w:val="23"/>
                <w:szCs w:val="23"/>
              </w:rPr>
            </w:pPr>
          </w:p>
          <w:p w14:paraId="0419CD43" w14:textId="77777777" w:rsidR="00337E10" w:rsidRDefault="00337E10" w:rsidP="00513339">
            <w:pPr>
              <w:jc w:val="right"/>
              <w:rPr>
                <w:rFonts w:ascii="Arial" w:hAnsi="Arial" w:cs="Arial"/>
                <w:sz w:val="23"/>
                <w:szCs w:val="23"/>
              </w:rPr>
            </w:pPr>
          </w:p>
          <w:p w14:paraId="081258E1" w14:textId="77777777" w:rsidR="00337E10" w:rsidRDefault="00337E10" w:rsidP="00513339">
            <w:pPr>
              <w:jc w:val="right"/>
              <w:rPr>
                <w:rFonts w:ascii="Arial" w:hAnsi="Arial" w:cs="Arial"/>
                <w:sz w:val="23"/>
                <w:szCs w:val="23"/>
              </w:rPr>
            </w:pPr>
          </w:p>
          <w:p w14:paraId="6A15F0EC" w14:textId="77777777" w:rsidR="00337E10" w:rsidRDefault="00337E10" w:rsidP="00513339">
            <w:pPr>
              <w:jc w:val="right"/>
              <w:rPr>
                <w:rFonts w:ascii="Arial" w:hAnsi="Arial" w:cs="Arial"/>
                <w:sz w:val="23"/>
                <w:szCs w:val="23"/>
              </w:rPr>
            </w:pPr>
          </w:p>
          <w:p w14:paraId="36A3C5BD" w14:textId="77777777" w:rsidR="00337E10" w:rsidRDefault="00337E10" w:rsidP="00513339">
            <w:pPr>
              <w:jc w:val="right"/>
              <w:rPr>
                <w:rFonts w:ascii="Arial" w:hAnsi="Arial" w:cs="Arial"/>
                <w:sz w:val="23"/>
                <w:szCs w:val="23"/>
              </w:rPr>
            </w:pPr>
          </w:p>
          <w:p w14:paraId="3BE02C9A" w14:textId="77777777" w:rsidR="00337E10" w:rsidRDefault="00337E10" w:rsidP="00513339">
            <w:pPr>
              <w:jc w:val="right"/>
              <w:rPr>
                <w:rFonts w:ascii="Arial" w:hAnsi="Arial" w:cs="Arial"/>
                <w:sz w:val="23"/>
                <w:szCs w:val="23"/>
              </w:rPr>
            </w:pPr>
            <w:r>
              <w:rPr>
                <w:rFonts w:ascii="Arial" w:hAnsi="Arial" w:cs="Arial"/>
                <w:sz w:val="23"/>
                <w:szCs w:val="23"/>
              </w:rPr>
              <w:t>-9,740</w:t>
            </w:r>
          </w:p>
          <w:p w14:paraId="230A1F86" w14:textId="77777777" w:rsidR="00337E10" w:rsidRDefault="00337E10" w:rsidP="00513339">
            <w:pPr>
              <w:jc w:val="right"/>
              <w:rPr>
                <w:rFonts w:ascii="Arial" w:hAnsi="Arial" w:cs="Arial"/>
                <w:sz w:val="23"/>
                <w:szCs w:val="23"/>
              </w:rPr>
            </w:pPr>
          </w:p>
          <w:p w14:paraId="7161051D" w14:textId="77777777" w:rsidR="00337E10" w:rsidRDefault="00337E10" w:rsidP="00513339">
            <w:pPr>
              <w:jc w:val="right"/>
              <w:rPr>
                <w:rFonts w:ascii="Arial" w:hAnsi="Arial" w:cs="Arial"/>
                <w:sz w:val="23"/>
                <w:szCs w:val="23"/>
              </w:rPr>
            </w:pPr>
          </w:p>
          <w:p w14:paraId="62252345" w14:textId="77777777" w:rsidR="00337E10" w:rsidRDefault="00337E10" w:rsidP="00513339">
            <w:pPr>
              <w:jc w:val="right"/>
              <w:rPr>
                <w:rFonts w:ascii="Arial" w:hAnsi="Arial" w:cs="Arial"/>
                <w:sz w:val="23"/>
                <w:szCs w:val="23"/>
              </w:rPr>
            </w:pPr>
          </w:p>
          <w:p w14:paraId="7E7E75A0" w14:textId="77777777" w:rsidR="00337E10" w:rsidRDefault="00337E10" w:rsidP="00513339">
            <w:pPr>
              <w:jc w:val="right"/>
              <w:rPr>
                <w:rFonts w:ascii="Arial" w:hAnsi="Arial" w:cs="Arial"/>
                <w:sz w:val="23"/>
                <w:szCs w:val="23"/>
              </w:rPr>
            </w:pPr>
          </w:p>
          <w:p w14:paraId="6D51F70E" w14:textId="77777777" w:rsidR="00337E10" w:rsidRDefault="00337E10" w:rsidP="00513339">
            <w:pPr>
              <w:jc w:val="right"/>
              <w:rPr>
                <w:rFonts w:ascii="Arial" w:hAnsi="Arial" w:cs="Arial"/>
                <w:sz w:val="23"/>
                <w:szCs w:val="23"/>
              </w:rPr>
            </w:pPr>
          </w:p>
          <w:p w14:paraId="7BB42F82" w14:textId="31E61DE7" w:rsidR="00337E10" w:rsidRPr="000D756E" w:rsidRDefault="00337E10" w:rsidP="00513339">
            <w:pPr>
              <w:jc w:val="right"/>
              <w:rPr>
                <w:rFonts w:ascii="Arial" w:hAnsi="Arial" w:cs="Arial"/>
                <w:sz w:val="23"/>
                <w:szCs w:val="23"/>
              </w:rPr>
            </w:pPr>
            <w:r>
              <w:rPr>
                <w:rFonts w:ascii="Arial" w:hAnsi="Arial" w:cs="Arial"/>
                <w:sz w:val="23"/>
                <w:szCs w:val="23"/>
              </w:rPr>
              <w:t>7,157</w:t>
            </w:r>
          </w:p>
        </w:tc>
        <w:tc>
          <w:tcPr>
            <w:tcW w:w="1309" w:type="dxa"/>
            <w:tcBorders>
              <w:top w:val="single" w:sz="4" w:space="0" w:color="auto"/>
              <w:left w:val="single" w:sz="4" w:space="0" w:color="auto"/>
              <w:bottom w:val="single" w:sz="4" w:space="0" w:color="auto"/>
              <w:right w:val="single" w:sz="4" w:space="0" w:color="auto"/>
            </w:tcBorders>
          </w:tcPr>
          <w:p w14:paraId="3BE7C9F9" w14:textId="77777777" w:rsidR="0021573A" w:rsidRDefault="0021573A" w:rsidP="0021573A">
            <w:pPr>
              <w:jc w:val="right"/>
              <w:rPr>
                <w:rFonts w:ascii="Arial" w:hAnsi="Arial" w:cs="Arial"/>
                <w:sz w:val="23"/>
                <w:szCs w:val="23"/>
              </w:rPr>
            </w:pPr>
          </w:p>
          <w:p w14:paraId="0B7F8459" w14:textId="77777777" w:rsidR="00AA0690" w:rsidRDefault="00AA0690" w:rsidP="0021573A">
            <w:pPr>
              <w:jc w:val="right"/>
              <w:rPr>
                <w:rFonts w:ascii="Arial" w:hAnsi="Arial" w:cs="Arial"/>
                <w:sz w:val="23"/>
                <w:szCs w:val="23"/>
              </w:rPr>
            </w:pPr>
          </w:p>
          <w:p w14:paraId="7A418C15" w14:textId="77777777" w:rsidR="00AA0690" w:rsidRDefault="00AA0690" w:rsidP="0021573A">
            <w:pPr>
              <w:jc w:val="right"/>
              <w:rPr>
                <w:rFonts w:ascii="Arial" w:hAnsi="Arial" w:cs="Arial"/>
                <w:sz w:val="23"/>
                <w:szCs w:val="23"/>
              </w:rPr>
            </w:pPr>
          </w:p>
          <w:p w14:paraId="28C8D7D1" w14:textId="77777777" w:rsidR="00AA0690" w:rsidRDefault="00AA0690" w:rsidP="0021573A">
            <w:pPr>
              <w:jc w:val="right"/>
              <w:rPr>
                <w:rFonts w:ascii="Arial" w:hAnsi="Arial" w:cs="Arial"/>
                <w:sz w:val="23"/>
                <w:szCs w:val="23"/>
              </w:rPr>
            </w:pPr>
          </w:p>
          <w:p w14:paraId="3DBBC21C" w14:textId="77777777" w:rsidR="00AA0690" w:rsidRDefault="00AA0690" w:rsidP="0021573A">
            <w:pPr>
              <w:jc w:val="right"/>
              <w:rPr>
                <w:rFonts w:ascii="Arial" w:hAnsi="Arial" w:cs="Arial"/>
                <w:sz w:val="23"/>
                <w:szCs w:val="23"/>
              </w:rPr>
            </w:pPr>
          </w:p>
          <w:p w14:paraId="4ACBE85C" w14:textId="77777777" w:rsidR="00AA0690" w:rsidRDefault="00AA0690" w:rsidP="0021573A">
            <w:pPr>
              <w:jc w:val="right"/>
              <w:rPr>
                <w:rFonts w:ascii="Arial" w:hAnsi="Arial" w:cs="Arial"/>
                <w:sz w:val="23"/>
                <w:szCs w:val="23"/>
              </w:rPr>
            </w:pPr>
          </w:p>
          <w:p w14:paraId="71526D86" w14:textId="77777777" w:rsidR="00AA0690" w:rsidRDefault="00AA0690" w:rsidP="0021573A">
            <w:pPr>
              <w:jc w:val="right"/>
              <w:rPr>
                <w:rFonts w:ascii="Arial" w:hAnsi="Arial" w:cs="Arial"/>
                <w:sz w:val="23"/>
                <w:szCs w:val="23"/>
              </w:rPr>
            </w:pPr>
            <w:r>
              <w:rPr>
                <w:rFonts w:ascii="Arial" w:hAnsi="Arial" w:cs="Arial"/>
                <w:sz w:val="23"/>
                <w:szCs w:val="23"/>
              </w:rPr>
              <w:t>0</w:t>
            </w:r>
          </w:p>
          <w:p w14:paraId="028A34D3" w14:textId="77777777" w:rsidR="00AA0690" w:rsidRDefault="00AA0690" w:rsidP="0021573A">
            <w:pPr>
              <w:jc w:val="right"/>
              <w:rPr>
                <w:rFonts w:ascii="Arial" w:hAnsi="Arial" w:cs="Arial"/>
                <w:sz w:val="23"/>
                <w:szCs w:val="23"/>
              </w:rPr>
            </w:pPr>
          </w:p>
          <w:p w14:paraId="5F7B2CF6" w14:textId="77777777" w:rsidR="00AA0690" w:rsidRDefault="00AA0690" w:rsidP="0021573A">
            <w:pPr>
              <w:jc w:val="right"/>
              <w:rPr>
                <w:rFonts w:ascii="Arial" w:hAnsi="Arial" w:cs="Arial"/>
                <w:sz w:val="23"/>
                <w:szCs w:val="23"/>
              </w:rPr>
            </w:pPr>
          </w:p>
          <w:p w14:paraId="1AE7A634" w14:textId="77777777" w:rsidR="00AA0690" w:rsidRDefault="00AA0690" w:rsidP="0021573A">
            <w:pPr>
              <w:jc w:val="right"/>
              <w:rPr>
                <w:rFonts w:ascii="Arial" w:hAnsi="Arial" w:cs="Arial"/>
                <w:sz w:val="23"/>
                <w:szCs w:val="23"/>
              </w:rPr>
            </w:pPr>
          </w:p>
          <w:p w14:paraId="7B45A89A" w14:textId="77777777" w:rsidR="00AA0690" w:rsidRDefault="00AA0690" w:rsidP="0021573A">
            <w:pPr>
              <w:jc w:val="right"/>
              <w:rPr>
                <w:rFonts w:ascii="Arial" w:hAnsi="Arial" w:cs="Arial"/>
                <w:sz w:val="23"/>
                <w:szCs w:val="23"/>
              </w:rPr>
            </w:pPr>
          </w:p>
          <w:p w14:paraId="60A811EF" w14:textId="77777777" w:rsidR="00AA0690" w:rsidRDefault="00AA0690" w:rsidP="0021573A">
            <w:pPr>
              <w:jc w:val="right"/>
              <w:rPr>
                <w:rFonts w:ascii="Arial" w:hAnsi="Arial" w:cs="Arial"/>
                <w:sz w:val="23"/>
                <w:szCs w:val="23"/>
              </w:rPr>
            </w:pPr>
          </w:p>
          <w:p w14:paraId="6D9097B5" w14:textId="77777777" w:rsidR="00AA0690" w:rsidRDefault="00AA0690" w:rsidP="0021573A">
            <w:pPr>
              <w:jc w:val="right"/>
              <w:rPr>
                <w:rFonts w:ascii="Arial" w:hAnsi="Arial" w:cs="Arial"/>
                <w:sz w:val="23"/>
                <w:szCs w:val="23"/>
              </w:rPr>
            </w:pPr>
            <w:r>
              <w:rPr>
                <w:rFonts w:ascii="Arial" w:hAnsi="Arial" w:cs="Arial"/>
                <w:sz w:val="23"/>
                <w:szCs w:val="23"/>
              </w:rPr>
              <w:t>0</w:t>
            </w:r>
          </w:p>
          <w:p w14:paraId="5B7A6518" w14:textId="77777777" w:rsidR="00AA0690" w:rsidRDefault="00AA0690" w:rsidP="0021573A">
            <w:pPr>
              <w:jc w:val="right"/>
              <w:rPr>
                <w:rFonts w:ascii="Arial" w:hAnsi="Arial" w:cs="Arial"/>
                <w:sz w:val="23"/>
                <w:szCs w:val="23"/>
              </w:rPr>
            </w:pPr>
          </w:p>
          <w:p w14:paraId="7015E40D" w14:textId="77777777" w:rsidR="00AA0690" w:rsidRDefault="00AA0690" w:rsidP="0021573A">
            <w:pPr>
              <w:jc w:val="right"/>
              <w:rPr>
                <w:rFonts w:ascii="Arial" w:hAnsi="Arial" w:cs="Arial"/>
                <w:sz w:val="23"/>
                <w:szCs w:val="23"/>
              </w:rPr>
            </w:pPr>
          </w:p>
          <w:p w14:paraId="7A253EA6" w14:textId="2AC4D8CA" w:rsidR="00AA0690" w:rsidRPr="000D756E" w:rsidRDefault="00AA0690" w:rsidP="00AA0690">
            <w:pPr>
              <w:rPr>
                <w:rFonts w:ascii="Arial" w:hAnsi="Arial" w:cs="Arial"/>
                <w:sz w:val="23"/>
                <w:szCs w:val="23"/>
              </w:rPr>
            </w:pPr>
          </w:p>
        </w:tc>
        <w:tc>
          <w:tcPr>
            <w:tcW w:w="1384" w:type="dxa"/>
            <w:tcBorders>
              <w:top w:val="single" w:sz="4" w:space="0" w:color="auto"/>
              <w:left w:val="single" w:sz="4" w:space="0" w:color="auto"/>
              <w:bottom w:val="single" w:sz="4" w:space="0" w:color="auto"/>
              <w:right w:val="single" w:sz="4" w:space="0" w:color="auto"/>
            </w:tcBorders>
          </w:tcPr>
          <w:p w14:paraId="2EF11688" w14:textId="77777777" w:rsidR="00B822A5" w:rsidRDefault="00B822A5" w:rsidP="00513339">
            <w:pPr>
              <w:jc w:val="right"/>
              <w:rPr>
                <w:rFonts w:ascii="Arial" w:hAnsi="Arial" w:cs="Arial"/>
                <w:sz w:val="23"/>
                <w:szCs w:val="23"/>
              </w:rPr>
            </w:pPr>
          </w:p>
          <w:p w14:paraId="23BB825E" w14:textId="77777777" w:rsidR="001D732F" w:rsidRDefault="001D732F" w:rsidP="00513339">
            <w:pPr>
              <w:jc w:val="right"/>
              <w:rPr>
                <w:rFonts w:ascii="Arial" w:hAnsi="Arial" w:cs="Arial"/>
                <w:sz w:val="23"/>
                <w:szCs w:val="23"/>
              </w:rPr>
            </w:pPr>
          </w:p>
          <w:p w14:paraId="6C0DBE95" w14:textId="77777777" w:rsidR="001D732F" w:rsidRDefault="001D732F" w:rsidP="00513339">
            <w:pPr>
              <w:jc w:val="right"/>
              <w:rPr>
                <w:rFonts w:ascii="Arial" w:hAnsi="Arial" w:cs="Arial"/>
                <w:sz w:val="23"/>
                <w:szCs w:val="23"/>
              </w:rPr>
            </w:pPr>
          </w:p>
          <w:p w14:paraId="72F8C650" w14:textId="77777777" w:rsidR="001D732F" w:rsidRDefault="001D732F" w:rsidP="00513339">
            <w:pPr>
              <w:jc w:val="right"/>
              <w:rPr>
                <w:rFonts w:ascii="Arial" w:hAnsi="Arial" w:cs="Arial"/>
                <w:sz w:val="23"/>
                <w:szCs w:val="23"/>
              </w:rPr>
            </w:pPr>
          </w:p>
          <w:p w14:paraId="51A20861" w14:textId="77777777" w:rsidR="001D732F" w:rsidRDefault="001D732F" w:rsidP="00513339">
            <w:pPr>
              <w:jc w:val="right"/>
              <w:rPr>
                <w:rFonts w:ascii="Arial" w:hAnsi="Arial" w:cs="Arial"/>
                <w:sz w:val="23"/>
                <w:szCs w:val="23"/>
              </w:rPr>
            </w:pPr>
          </w:p>
          <w:p w14:paraId="35172CF7" w14:textId="77777777" w:rsidR="001D732F" w:rsidRDefault="001D732F" w:rsidP="00513339">
            <w:pPr>
              <w:jc w:val="right"/>
              <w:rPr>
                <w:rFonts w:ascii="Arial" w:hAnsi="Arial" w:cs="Arial"/>
                <w:sz w:val="23"/>
                <w:szCs w:val="23"/>
              </w:rPr>
            </w:pPr>
          </w:p>
          <w:p w14:paraId="6BF54984" w14:textId="77777777" w:rsidR="001D732F" w:rsidRDefault="00E822A9" w:rsidP="00513339">
            <w:pPr>
              <w:jc w:val="right"/>
              <w:rPr>
                <w:rFonts w:ascii="Arial" w:hAnsi="Arial" w:cs="Arial"/>
                <w:sz w:val="23"/>
                <w:szCs w:val="23"/>
              </w:rPr>
            </w:pPr>
            <w:r>
              <w:rPr>
                <w:rFonts w:ascii="Arial" w:hAnsi="Arial" w:cs="Arial"/>
                <w:sz w:val="23"/>
                <w:szCs w:val="23"/>
              </w:rPr>
              <w:t>-</w:t>
            </w:r>
            <w:r w:rsidR="001D732F">
              <w:rPr>
                <w:rFonts w:ascii="Arial" w:hAnsi="Arial" w:cs="Arial"/>
                <w:sz w:val="23"/>
                <w:szCs w:val="23"/>
              </w:rPr>
              <w:t>9,740</w:t>
            </w:r>
          </w:p>
          <w:p w14:paraId="243DFF38" w14:textId="77777777" w:rsidR="00E822A9" w:rsidRDefault="00E822A9" w:rsidP="00513339">
            <w:pPr>
              <w:jc w:val="right"/>
              <w:rPr>
                <w:rFonts w:ascii="Arial" w:hAnsi="Arial" w:cs="Arial"/>
                <w:sz w:val="23"/>
                <w:szCs w:val="23"/>
              </w:rPr>
            </w:pPr>
          </w:p>
          <w:p w14:paraId="11FE501F" w14:textId="77777777" w:rsidR="00E822A9" w:rsidRDefault="00E822A9" w:rsidP="00513339">
            <w:pPr>
              <w:jc w:val="right"/>
              <w:rPr>
                <w:rFonts w:ascii="Arial" w:hAnsi="Arial" w:cs="Arial"/>
                <w:sz w:val="23"/>
                <w:szCs w:val="23"/>
              </w:rPr>
            </w:pPr>
          </w:p>
          <w:p w14:paraId="18900650" w14:textId="77777777" w:rsidR="00E822A9" w:rsidRDefault="00E822A9" w:rsidP="00513339">
            <w:pPr>
              <w:jc w:val="right"/>
              <w:rPr>
                <w:rFonts w:ascii="Arial" w:hAnsi="Arial" w:cs="Arial"/>
                <w:sz w:val="23"/>
                <w:szCs w:val="23"/>
              </w:rPr>
            </w:pPr>
          </w:p>
          <w:p w14:paraId="37120AE8" w14:textId="77777777" w:rsidR="00E822A9" w:rsidRDefault="00E822A9" w:rsidP="00513339">
            <w:pPr>
              <w:jc w:val="right"/>
              <w:rPr>
                <w:rFonts w:ascii="Arial" w:hAnsi="Arial" w:cs="Arial"/>
                <w:sz w:val="23"/>
                <w:szCs w:val="23"/>
              </w:rPr>
            </w:pPr>
          </w:p>
          <w:p w14:paraId="0F528E79" w14:textId="77777777" w:rsidR="00E822A9" w:rsidRDefault="00E822A9" w:rsidP="00513339">
            <w:pPr>
              <w:jc w:val="right"/>
              <w:rPr>
                <w:rFonts w:ascii="Arial" w:hAnsi="Arial" w:cs="Arial"/>
                <w:sz w:val="23"/>
                <w:szCs w:val="23"/>
              </w:rPr>
            </w:pPr>
          </w:p>
          <w:p w14:paraId="6381B66F" w14:textId="4F6D92D0" w:rsidR="00E822A9" w:rsidRPr="000D756E" w:rsidRDefault="00E822A9" w:rsidP="00513339">
            <w:pPr>
              <w:jc w:val="right"/>
              <w:rPr>
                <w:rFonts w:ascii="Arial" w:hAnsi="Arial" w:cs="Arial"/>
                <w:sz w:val="23"/>
                <w:szCs w:val="23"/>
              </w:rPr>
            </w:pPr>
            <w:r>
              <w:rPr>
                <w:rFonts w:ascii="Arial" w:hAnsi="Arial" w:cs="Arial"/>
                <w:sz w:val="23"/>
                <w:szCs w:val="23"/>
              </w:rPr>
              <w:t>7,157</w:t>
            </w:r>
          </w:p>
        </w:tc>
        <w:tc>
          <w:tcPr>
            <w:tcW w:w="1276" w:type="dxa"/>
            <w:tcBorders>
              <w:top w:val="single" w:sz="4" w:space="0" w:color="auto"/>
              <w:left w:val="single" w:sz="4" w:space="0" w:color="auto"/>
              <w:bottom w:val="single" w:sz="4" w:space="0" w:color="auto"/>
              <w:right w:val="single" w:sz="4" w:space="0" w:color="auto"/>
            </w:tcBorders>
          </w:tcPr>
          <w:p w14:paraId="0A85B013" w14:textId="77777777" w:rsidR="00082084" w:rsidRDefault="00082084" w:rsidP="00513339">
            <w:pPr>
              <w:jc w:val="right"/>
              <w:rPr>
                <w:rFonts w:ascii="Arial" w:hAnsi="Arial" w:cs="Arial"/>
                <w:sz w:val="23"/>
                <w:szCs w:val="23"/>
              </w:rPr>
            </w:pPr>
          </w:p>
          <w:p w14:paraId="03C6CE8B" w14:textId="77777777" w:rsidR="002B0AAB" w:rsidRDefault="002B0AAB" w:rsidP="00513339">
            <w:pPr>
              <w:jc w:val="right"/>
              <w:rPr>
                <w:rFonts w:ascii="Arial" w:hAnsi="Arial" w:cs="Arial"/>
                <w:sz w:val="23"/>
                <w:szCs w:val="23"/>
              </w:rPr>
            </w:pPr>
          </w:p>
          <w:p w14:paraId="6177F588" w14:textId="77777777" w:rsidR="002B0AAB" w:rsidRDefault="002B0AAB" w:rsidP="00513339">
            <w:pPr>
              <w:jc w:val="right"/>
              <w:rPr>
                <w:rFonts w:ascii="Arial" w:hAnsi="Arial" w:cs="Arial"/>
                <w:sz w:val="23"/>
                <w:szCs w:val="23"/>
              </w:rPr>
            </w:pPr>
          </w:p>
          <w:p w14:paraId="4745CB32" w14:textId="77777777" w:rsidR="002B0AAB" w:rsidRDefault="002B0AAB" w:rsidP="00513339">
            <w:pPr>
              <w:jc w:val="right"/>
              <w:rPr>
                <w:rFonts w:ascii="Arial" w:hAnsi="Arial" w:cs="Arial"/>
                <w:sz w:val="23"/>
                <w:szCs w:val="23"/>
              </w:rPr>
            </w:pPr>
          </w:p>
          <w:p w14:paraId="694BC61A" w14:textId="77777777" w:rsidR="002B0AAB" w:rsidRDefault="002B0AAB" w:rsidP="00513339">
            <w:pPr>
              <w:jc w:val="right"/>
              <w:rPr>
                <w:rFonts w:ascii="Arial" w:hAnsi="Arial" w:cs="Arial"/>
                <w:sz w:val="23"/>
                <w:szCs w:val="23"/>
              </w:rPr>
            </w:pPr>
          </w:p>
          <w:p w14:paraId="459DCAE5" w14:textId="77777777" w:rsidR="002B0AAB" w:rsidRDefault="002B0AAB" w:rsidP="00513339">
            <w:pPr>
              <w:jc w:val="right"/>
              <w:rPr>
                <w:rFonts w:ascii="Arial" w:hAnsi="Arial" w:cs="Arial"/>
                <w:sz w:val="23"/>
                <w:szCs w:val="23"/>
              </w:rPr>
            </w:pPr>
          </w:p>
          <w:p w14:paraId="19F6ED3A" w14:textId="77777777" w:rsidR="002B0AAB" w:rsidRDefault="002B0AAB" w:rsidP="00513339">
            <w:pPr>
              <w:jc w:val="right"/>
              <w:rPr>
                <w:rFonts w:ascii="Arial" w:hAnsi="Arial" w:cs="Arial"/>
                <w:sz w:val="23"/>
                <w:szCs w:val="23"/>
              </w:rPr>
            </w:pPr>
            <w:r>
              <w:rPr>
                <w:rFonts w:ascii="Arial" w:hAnsi="Arial" w:cs="Arial"/>
                <w:sz w:val="23"/>
                <w:szCs w:val="23"/>
              </w:rPr>
              <w:t>34,284</w:t>
            </w:r>
          </w:p>
          <w:p w14:paraId="2424B82D" w14:textId="77777777" w:rsidR="002B0AAB" w:rsidRDefault="002B0AAB" w:rsidP="00513339">
            <w:pPr>
              <w:jc w:val="right"/>
              <w:rPr>
                <w:rFonts w:ascii="Arial" w:hAnsi="Arial" w:cs="Arial"/>
                <w:sz w:val="23"/>
                <w:szCs w:val="23"/>
              </w:rPr>
            </w:pPr>
          </w:p>
          <w:p w14:paraId="1C272D5D" w14:textId="77777777" w:rsidR="002B0AAB" w:rsidRDefault="002B0AAB" w:rsidP="00513339">
            <w:pPr>
              <w:jc w:val="right"/>
              <w:rPr>
                <w:rFonts w:ascii="Arial" w:hAnsi="Arial" w:cs="Arial"/>
                <w:sz w:val="23"/>
                <w:szCs w:val="23"/>
              </w:rPr>
            </w:pPr>
          </w:p>
          <w:p w14:paraId="06835361" w14:textId="77777777" w:rsidR="002B0AAB" w:rsidRDefault="002B0AAB" w:rsidP="00513339">
            <w:pPr>
              <w:jc w:val="right"/>
              <w:rPr>
                <w:rFonts w:ascii="Arial" w:hAnsi="Arial" w:cs="Arial"/>
                <w:sz w:val="23"/>
                <w:szCs w:val="23"/>
              </w:rPr>
            </w:pPr>
          </w:p>
          <w:p w14:paraId="7EE2036E" w14:textId="77777777" w:rsidR="002B0AAB" w:rsidRDefault="002B0AAB" w:rsidP="00513339">
            <w:pPr>
              <w:jc w:val="right"/>
              <w:rPr>
                <w:rFonts w:ascii="Arial" w:hAnsi="Arial" w:cs="Arial"/>
                <w:sz w:val="23"/>
                <w:szCs w:val="23"/>
              </w:rPr>
            </w:pPr>
          </w:p>
          <w:p w14:paraId="0F6EF1E7" w14:textId="77777777" w:rsidR="002B0AAB" w:rsidRDefault="002B0AAB" w:rsidP="00513339">
            <w:pPr>
              <w:jc w:val="right"/>
              <w:rPr>
                <w:rFonts w:ascii="Arial" w:hAnsi="Arial" w:cs="Arial"/>
                <w:sz w:val="23"/>
                <w:szCs w:val="23"/>
              </w:rPr>
            </w:pPr>
          </w:p>
          <w:p w14:paraId="1F5785DC" w14:textId="66C18992" w:rsidR="002B0AAB" w:rsidRPr="000D756E" w:rsidRDefault="002B0AAB" w:rsidP="00513339">
            <w:pPr>
              <w:jc w:val="right"/>
              <w:rPr>
                <w:rFonts w:ascii="Arial" w:hAnsi="Arial" w:cs="Arial"/>
                <w:sz w:val="23"/>
                <w:szCs w:val="23"/>
              </w:rPr>
            </w:pPr>
            <w:r>
              <w:rPr>
                <w:rFonts w:ascii="Arial" w:hAnsi="Arial" w:cs="Arial"/>
                <w:sz w:val="23"/>
                <w:szCs w:val="23"/>
              </w:rPr>
              <w:t>-7,15</w:t>
            </w:r>
            <w:r w:rsidR="00EB4BDF">
              <w:rPr>
                <w:rFonts w:ascii="Arial" w:hAnsi="Arial" w:cs="Arial"/>
                <w:sz w:val="23"/>
                <w:szCs w:val="23"/>
              </w:rPr>
              <w:t>7</w:t>
            </w:r>
          </w:p>
        </w:tc>
        <w:tc>
          <w:tcPr>
            <w:tcW w:w="1417" w:type="dxa"/>
            <w:tcBorders>
              <w:top w:val="single" w:sz="4" w:space="0" w:color="auto"/>
              <w:left w:val="single" w:sz="4" w:space="0" w:color="auto"/>
              <w:bottom w:val="single" w:sz="4" w:space="0" w:color="auto"/>
              <w:right w:val="single" w:sz="4" w:space="0" w:color="auto"/>
            </w:tcBorders>
          </w:tcPr>
          <w:p w14:paraId="435F367B" w14:textId="77777777" w:rsidR="00E95A11" w:rsidRDefault="00E95A11" w:rsidP="00513339">
            <w:pPr>
              <w:jc w:val="right"/>
              <w:rPr>
                <w:rFonts w:ascii="Arial" w:hAnsi="Arial" w:cs="Arial"/>
                <w:sz w:val="23"/>
                <w:szCs w:val="23"/>
              </w:rPr>
            </w:pPr>
          </w:p>
          <w:p w14:paraId="15B929C0" w14:textId="77777777" w:rsidR="006323BB" w:rsidRDefault="006323BB" w:rsidP="00513339">
            <w:pPr>
              <w:jc w:val="right"/>
              <w:rPr>
                <w:rFonts w:ascii="Arial" w:hAnsi="Arial" w:cs="Arial"/>
                <w:sz w:val="23"/>
                <w:szCs w:val="23"/>
              </w:rPr>
            </w:pPr>
          </w:p>
          <w:p w14:paraId="7ACB1CD7" w14:textId="77777777" w:rsidR="006323BB" w:rsidRDefault="006323BB" w:rsidP="00513339">
            <w:pPr>
              <w:jc w:val="right"/>
              <w:rPr>
                <w:rFonts w:ascii="Arial" w:hAnsi="Arial" w:cs="Arial"/>
                <w:sz w:val="23"/>
                <w:szCs w:val="23"/>
              </w:rPr>
            </w:pPr>
          </w:p>
          <w:p w14:paraId="729BF533" w14:textId="77777777" w:rsidR="006323BB" w:rsidRDefault="006323BB" w:rsidP="00513339">
            <w:pPr>
              <w:jc w:val="right"/>
              <w:rPr>
                <w:rFonts w:ascii="Arial" w:hAnsi="Arial" w:cs="Arial"/>
                <w:sz w:val="23"/>
                <w:szCs w:val="23"/>
              </w:rPr>
            </w:pPr>
          </w:p>
          <w:p w14:paraId="6E37DE89" w14:textId="77777777" w:rsidR="006323BB" w:rsidRDefault="006323BB" w:rsidP="00513339">
            <w:pPr>
              <w:jc w:val="right"/>
              <w:rPr>
                <w:rFonts w:ascii="Arial" w:hAnsi="Arial" w:cs="Arial"/>
                <w:sz w:val="23"/>
                <w:szCs w:val="23"/>
              </w:rPr>
            </w:pPr>
          </w:p>
          <w:p w14:paraId="5A672433" w14:textId="77777777" w:rsidR="006323BB" w:rsidRDefault="006323BB" w:rsidP="00513339">
            <w:pPr>
              <w:jc w:val="right"/>
              <w:rPr>
                <w:rFonts w:ascii="Arial" w:hAnsi="Arial" w:cs="Arial"/>
                <w:sz w:val="23"/>
                <w:szCs w:val="23"/>
              </w:rPr>
            </w:pPr>
          </w:p>
          <w:p w14:paraId="6E3EB0E5" w14:textId="77777777" w:rsidR="006323BB" w:rsidRDefault="00C64082" w:rsidP="00513339">
            <w:pPr>
              <w:jc w:val="right"/>
              <w:rPr>
                <w:rFonts w:ascii="Arial" w:hAnsi="Arial" w:cs="Arial"/>
                <w:sz w:val="23"/>
                <w:szCs w:val="23"/>
              </w:rPr>
            </w:pPr>
            <w:r>
              <w:rPr>
                <w:rFonts w:ascii="Arial" w:hAnsi="Arial" w:cs="Arial"/>
                <w:sz w:val="23"/>
                <w:szCs w:val="23"/>
              </w:rPr>
              <w:t>24,544</w:t>
            </w:r>
          </w:p>
          <w:p w14:paraId="23CBE772" w14:textId="77777777" w:rsidR="00C64082" w:rsidRDefault="00C64082" w:rsidP="00513339">
            <w:pPr>
              <w:jc w:val="right"/>
              <w:rPr>
                <w:rFonts w:ascii="Arial" w:hAnsi="Arial" w:cs="Arial"/>
                <w:sz w:val="23"/>
                <w:szCs w:val="23"/>
              </w:rPr>
            </w:pPr>
          </w:p>
          <w:p w14:paraId="5F2E79AB" w14:textId="77777777" w:rsidR="00C64082" w:rsidRDefault="00C64082" w:rsidP="00513339">
            <w:pPr>
              <w:jc w:val="right"/>
              <w:rPr>
                <w:rFonts w:ascii="Arial" w:hAnsi="Arial" w:cs="Arial"/>
                <w:sz w:val="23"/>
                <w:szCs w:val="23"/>
              </w:rPr>
            </w:pPr>
          </w:p>
          <w:p w14:paraId="04B0AE78" w14:textId="77777777" w:rsidR="00C64082" w:rsidRDefault="00C64082" w:rsidP="00513339">
            <w:pPr>
              <w:jc w:val="right"/>
              <w:rPr>
                <w:rFonts w:ascii="Arial" w:hAnsi="Arial" w:cs="Arial"/>
                <w:sz w:val="23"/>
                <w:szCs w:val="23"/>
              </w:rPr>
            </w:pPr>
          </w:p>
          <w:p w14:paraId="7263CBF8" w14:textId="77777777" w:rsidR="00C64082" w:rsidRDefault="00C64082" w:rsidP="00513339">
            <w:pPr>
              <w:jc w:val="right"/>
              <w:rPr>
                <w:rFonts w:ascii="Arial" w:hAnsi="Arial" w:cs="Arial"/>
                <w:sz w:val="23"/>
                <w:szCs w:val="23"/>
              </w:rPr>
            </w:pPr>
          </w:p>
          <w:p w14:paraId="602BA157" w14:textId="77777777" w:rsidR="00C64082" w:rsidRDefault="00C64082" w:rsidP="00513339">
            <w:pPr>
              <w:jc w:val="right"/>
              <w:rPr>
                <w:rFonts w:ascii="Arial" w:hAnsi="Arial" w:cs="Arial"/>
                <w:sz w:val="23"/>
                <w:szCs w:val="23"/>
              </w:rPr>
            </w:pPr>
          </w:p>
          <w:p w14:paraId="760DC7AE" w14:textId="04D95F66" w:rsidR="00C64082" w:rsidRPr="000D756E" w:rsidRDefault="00C64082" w:rsidP="00513339">
            <w:pPr>
              <w:jc w:val="right"/>
              <w:rPr>
                <w:rFonts w:ascii="Arial" w:hAnsi="Arial" w:cs="Arial"/>
                <w:sz w:val="23"/>
                <w:szCs w:val="23"/>
              </w:rPr>
            </w:pPr>
            <w:r>
              <w:rPr>
                <w:rFonts w:ascii="Arial" w:hAnsi="Arial" w:cs="Arial"/>
                <w:sz w:val="23"/>
                <w:szCs w:val="23"/>
              </w:rPr>
              <w:t>0</w:t>
            </w:r>
          </w:p>
        </w:tc>
      </w:tr>
      <w:tr w:rsidR="006329E6" w:rsidRPr="000D756E" w14:paraId="415DD4B0" w14:textId="77777777" w:rsidTr="00057ED0">
        <w:tc>
          <w:tcPr>
            <w:tcW w:w="1844" w:type="dxa"/>
            <w:tcBorders>
              <w:right w:val="single" w:sz="4" w:space="0" w:color="auto"/>
            </w:tcBorders>
          </w:tcPr>
          <w:p w14:paraId="17DD5CB6" w14:textId="77777777" w:rsidR="00513339" w:rsidRPr="000D756E" w:rsidRDefault="00513339" w:rsidP="00513339">
            <w:pPr>
              <w:rPr>
                <w:rFonts w:ascii="Arial" w:hAnsi="Arial" w:cs="Arial"/>
                <w:b/>
                <w:sz w:val="23"/>
                <w:szCs w:val="23"/>
              </w:rPr>
            </w:pPr>
          </w:p>
          <w:p w14:paraId="223A7F4C" w14:textId="2E4D8453" w:rsidR="00513339" w:rsidRPr="000D756E" w:rsidRDefault="00513339" w:rsidP="00513339">
            <w:pPr>
              <w:rPr>
                <w:rFonts w:ascii="Arial" w:hAnsi="Arial" w:cs="Arial"/>
                <w:b/>
                <w:sz w:val="23"/>
                <w:szCs w:val="23"/>
              </w:rPr>
            </w:pPr>
            <w:r w:rsidRPr="000D756E">
              <w:rPr>
                <w:rFonts w:ascii="Arial" w:hAnsi="Arial" w:cs="Arial"/>
                <w:b/>
                <w:sz w:val="23"/>
                <w:szCs w:val="23"/>
              </w:rPr>
              <w:t>Increase/-Decrease in 202</w:t>
            </w:r>
            <w:r w:rsidR="00C934F4">
              <w:rPr>
                <w:rFonts w:ascii="Arial" w:hAnsi="Arial" w:cs="Arial"/>
                <w:b/>
                <w:sz w:val="23"/>
                <w:szCs w:val="23"/>
              </w:rPr>
              <w:t>4/25</w:t>
            </w:r>
          </w:p>
        </w:tc>
        <w:tc>
          <w:tcPr>
            <w:tcW w:w="1276" w:type="dxa"/>
            <w:tcBorders>
              <w:top w:val="single" w:sz="4" w:space="0" w:color="auto"/>
              <w:left w:val="single" w:sz="4" w:space="0" w:color="auto"/>
              <w:bottom w:val="single" w:sz="4" w:space="0" w:color="auto"/>
              <w:right w:val="single" w:sz="4" w:space="0" w:color="auto"/>
            </w:tcBorders>
          </w:tcPr>
          <w:p w14:paraId="00D97AE1" w14:textId="77777777" w:rsidR="00280F7B" w:rsidRDefault="00280F7B" w:rsidP="00513339">
            <w:pPr>
              <w:jc w:val="right"/>
              <w:rPr>
                <w:rFonts w:ascii="Arial" w:hAnsi="Arial" w:cs="Arial"/>
                <w:b/>
                <w:sz w:val="23"/>
                <w:szCs w:val="23"/>
              </w:rPr>
            </w:pPr>
          </w:p>
          <w:p w14:paraId="1E30DDF5" w14:textId="77777777" w:rsidR="006364FF" w:rsidRDefault="006364FF" w:rsidP="00513339">
            <w:pPr>
              <w:jc w:val="right"/>
              <w:rPr>
                <w:rFonts w:ascii="Arial" w:hAnsi="Arial" w:cs="Arial"/>
                <w:b/>
                <w:sz w:val="23"/>
                <w:szCs w:val="23"/>
              </w:rPr>
            </w:pPr>
          </w:p>
          <w:p w14:paraId="3161F75C" w14:textId="12F8A30B" w:rsidR="006364FF" w:rsidRPr="000D756E" w:rsidRDefault="006364FF" w:rsidP="00513339">
            <w:pPr>
              <w:jc w:val="right"/>
              <w:rPr>
                <w:rFonts w:ascii="Arial" w:hAnsi="Arial" w:cs="Arial"/>
                <w:b/>
                <w:sz w:val="23"/>
                <w:szCs w:val="23"/>
              </w:rPr>
            </w:pPr>
            <w:r>
              <w:rPr>
                <w:rFonts w:ascii="Arial" w:hAnsi="Arial" w:cs="Arial"/>
                <w:b/>
                <w:sz w:val="23"/>
                <w:szCs w:val="23"/>
              </w:rPr>
              <w:t>-2,58</w:t>
            </w:r>
            <w:r w:rsidR="0025445C">
              <w:rPr>
                <w:rFonts w:ascii="Arial" w:hAnsi="Arial" w:cs="Arial"/>
                <w:b/>
                <w:sz w:val="23"/>
                <w:szCs w:val="23"/>
              </w:rPr>
              <w:t>3</w:t>
            </w:r>
          </w:p>
        </w:tc>
        <w:tc>
          <w:tcPr>
            <w:tcW w:w="1134" w:type="dxa"/>
            <w:tcBorders>
              <w:top w:val="single" w:sz="4" w:space="0" w:color="auto"/>
              <w:left w:val="single" w:sz="4" w:space="0" w:color="auto"/>
              <w:bottom w:val="single" w:sz="4" w:space="0" w:color="auto"/>
              <w:right w:val="single" w:sz="4" w:space="0" w:color="auto"/>
            </w:tcBorders>
          </w:tcPr>
          <w:p w14:paraId="4D4247A8" w14:textId="77777777" w:rsidR="00CD1ED6" w:rsidRDefault="00CD1ED6" w:rsidP="00513339">
            <w:pPr>
              <w:jc w:val="right"/>
              <w:rPr>
                <w:rFonts w:ascii="Arial" w:hAnsi="Arial" w:cs="Arial"/>
                <w:b/>
                <w:sz w:val="23"/>
                <w:szCs w:val="23"/>
              </w:rPr>
            </w:pPr>
          </w:p>
          <w:p w14:paraId="2C7413E7" w14:textId="77777777" w:rsidR="000748EB" w:rsidRDefault="000748EB" w:rsidP="00513339">
            <w:pPr>
              <w:jc w:val="right"/>
              <w:rPr>
                <w:rFonts w:ascii="Arial" w:hAnsi="Arial" w:cs="Arial"/>
                <w:b/>
                <w:sz w:val="23"/>
                <w:szCs w:val="23"/>
              </w:rPr>
            </w:pPr>
          </w:p>
          <w:p w14:paraId="64151B7F" w14:textId="3ACF99D6" w:rsidR="000748EB" w:rsidRPr="000D756E" w:rsidRDefault="00FA42E0" w:rsidP="00513339">
            <w:pPr>
              <w:jc w:val="right"/>
              <w:rPr>
                <w:rFonts w:ascii="Arial" w:hAnsi="Arial" w:cs="Arial"/>
                <w:b/>
                <w:sz w:val="23"/>
                <w:szCs w:val="23"/>
              </w:rPr>
            </w:pPr>
            <w:r>
              <w:rPr>
                <w:rFonts w:ascii="Arial" w:hAnsi="Arial" w:cs="Arial"/>
                <w:b/>
                <w:sz w:val="23"/>
                <w:szCs w:val="23"/>
              </w:rPr>
              <w:t>0</w:t>
            </w:r>
          </w:p>
        </w:tc>
        <w:tc>
          <w:tcPr>
            <w:tcW w:w="1134" w:type="dxa"/>
            <w:tcBorders>
              <w:top w:val="single" w:sz="4" w:space="0" w:color="auto"/>
              <w:left w:val="single" w:sz="4" w:space="0" w:color="auto"/>
              <w:bottom w:val="single" w:sz="4" w:space="0" w:color="auto"/>
              <w:right w:val="single" w:sz="4" w:space="0" w:color="auto"/>
            </w:tcBorders>
          </w:tcPr>
          <w:p w14:paraId="36B8773C" w14:textId="77777777" w:rsidR="0021573A" w:rsidRDefault="0021573A" w:rsidP="00513339">
            <w:pPr>
              <w:jc w:val="right"/>
              <w:rPr>
                <w:rFonts w:ascii="Arial" w:hAnsi="Arial" w:cs="Arial"/>
                <w:b/>
                <w:sz w:val="23"/>
                <w:szCs w:val="23"/>
              </w:rPr>
            </w:pPr>
          </w:p>
          <w:p w14:paraId="1C590F4D" w14:textId="77777777" w:rsidR="00337E10" w:rsidRDefault="00337E10" w:rsidP="00513339">
            <w:pPr>
              <w:jc w:val="right"/>
              <w:rPr>
                <w:rFonts w:ascii="Arial" w:hAnsi="Arial" w:cs="Arial"/>
                <w:b/>
                <w:sz w:val="23"/>
                <w:szCs w:val="23"/>
              </w:rPr>
            </w:pPr>
          </w:p>
          <w:p w14:paraId="55127F49" w14:textId="4BCB0F02" w:rsidR="00337E10" w:rsidRPr="000D756E" w:rsidRDefault="00FA42E0" w:rsidP="00513339">
            <w:pPr>
              <w:jc w:val="right"/>
              <w:rPr>
                <w:rFonts w:ascii="Arial" w:hAnsi="Arial" w:cs="Arial"/>
                <w:b/>
                <w:sz w:val="23"/>
                <w:szCs w:val="23"/>
              </w:rPr>
            </w:pPr>
            <w:r>
              <w:rPr>
                <w:rFonts w:ascii="Arial" w:hAnsi="Arial" w:cs="Arial"/>
                <w:b/>
                <w:sz w:val="23"/>
                <w:szCs w:val="23"/>
              </w:rPr>
              <w:t>-2,583</w:t>
            </w:r>
          </w:p>
        </w:tc>
        <w:tc>
          <w:tcPr>
            <w:tcW w:w="1309" w:type="dxa"/>
            <w:tcBorders>
              <w:top w:val="single" w:sz="4" w:space="0" w:color="auto"/>
              <w:left w:val="single" w:sz="4" w:space="0" w:color="auto"/>
              <w:bottom w:val="single" w:sz="4" w:space="0" w:color="auto"/>
              <w:right w:val="single" w:sz="4" w:space="0" w:color="auto"/>
            </w:tcBorders>
          </w:tcPr>
          <w:p w14:paraId="723BE997" w14:textId="77777777" w:rsidR="00B822A5" w:rsidRDefault="00B822A5" w:rsidP="001D732F">
            <w:pPr>
              <w:jc w:val="right"/>
              <w:rPr>
                <w:rFonts w:ascii="Arial" w:hAnsi="Arial" w:cs="Arial"/>
                <w:b/>
                <w:sz w:val="23"/>
                <w:szCs w:val="23"/>
              </w:rPr>
            </w:pPr>
          </w:p>
          <w:p w14:paraId="01ADF961" w14:textId="77777777" w:rsidR="001D732F" w:rsidRDefault="001D732F" w:rsidP="001D732F">
            <w:pPr>
              <w:jc w:val="right"/>
              <w:rPr>
                <w:rFonts w:ascii="Arial" w:hAnsi="Arial" w:cs="Arial"/>
                <w:b/>
                <w:sz w:val="23"/>
                <w:szCs w:val="23"/>
              </w:rPr>
            </w:pPr>
          </w:p>
          <w:p w14:paraId="39BD7D9E" w14:textId="0A44A9ED" w:rsidR="001D732F" w:rsidRPr="000D756E" w:rsidRDefault="001D732F" w:rsidP="001D732F">
            <w:pPr>
              <w:jc w:val="right"/>
              <w:rPr>
                <w:rFonts w:ascii="Arial" w:hAnsi="Arial" w:cs="Arial"/>
                <w:b/>
                <w:sz w:val="23"/>
                <w:szCs w:val="23"/>
              </w:rPr>
            </w:pPr>
            <w:r>
              <w:rPr>
                <w:rFonts w:ascii="Arial" w:hAnsi="Arial" w:cs="Arial"/>
                <w:b/>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346FDFA8" w14:textId="77777777" w:rsidR="00B822A5" w:rsidRDefault="00B822A5" w:rsidP="00513339">
            <w:pPr>
              <w:jc w:val="right"/>
              <w:rPr>
                <w:rFonts w:ascii="Arial" w:hAnsi="Arial" w:cs="Arial"/>
                <w:b/>
                <w:sz w:val="23"/>
                <w:szCs w:val="23"/>
              </w:rPr>
            </w:pPr>
          </w:p>
          <w:p w14:paraId="417280A6" w14:textId="77777777" w:rsidR="00E822A9" w:rsidRDefault="00E822A9" w:rsidP="00513339">
            <w:pPr>
              <w:jc w:val="right"/>
              <w:rPr>
                <w:rFonts w:ascii="Arial" w:hAnsi="Arial" w:cs="Arial"/>
                <w:b/>
                <w:sz w:val="23"/>
                <w:szCs w:val="23"/>
              </w:rPr>
            </w:pPr>
          </w:p>
          <w:p w14:paraId="7BFECE37" w14:textId="2C788498" w:rsidR="00E822A9" w:rsidRPr="000D756E" w:rsidRDefault="00FE0996" w:rsidP="00513339">
            <w:pPr>
              <w:jc w:val="right"/>
              <w:rPr>
                <w:rFonts w:ascii="Arial" w:hAnsi="Arial" w:cs="Arial"/>
                <w:b/>
                <w:sz w:val="23"/>
                <w:szCs w:val="23"/>
              </w:rPr>
            </w:pPr>
            <w:r>
              <w:rPr>
                <w:rFonts w:ascii="Arial" w:hAnsi="Arial" w:cs="Arial"/>
                <w:b/>
                <w:sz w:val="23"/>
                <w:szCs w:val="23"/>
              </w:rPr>
              <w:t>-2,583</w:t>
            </w:r>
          </w:p>
        </w:tc>
        <w:tc>
          <w:tcPr>
            <w:tcW w:w="1276" w:type="dxa"/>
            <w:tcBorders>
              <w:top w:val="single" w:sz="4" w:space="0" w:color="auto"/>
              <w:left w:val="single" w:sz="4" w:space="0" w:color="auto"/>
              <w:bottom w:val="single" w:sz="4" w:space="0" w:color="auto"/>
              <w:right w:val="single" w:sz="4" w:space="0" w:color="auto"/>
            </w:tcBorders>
          </w:tcPr>
          <w:p w14:paraId="1508680F" w14:textId="77777777" w:rsidR="00053187" w:rsidRDefault="00053187" w:rsidP="00513339">
            <w:pPr>
              <w:jc w:val="right"/>
              <w:rPr>
                <w:rFonts w:ascii="Arial" w:hAnsi="Arial" w:cs="Arial"/>
                <w:b/>
                <w:sz w:val="23"/>
                <w:szCs w:val="23"/>
              </w:rPr>
            </w:pPr>
          </w:p>
          <w:p w14:paraId="7B8F3DDD" w14:textId="77777777" w:rsidR="006323BB" w:rsidRDefault="006323BB" w:rsidP="00513339">
            <w:pPr>
              <w:jc w:val="right"/>
              <w:rPr>
                <w:rFonts w:ascii="Arial" w:hAnsi="Arial" w:cs="Arial"/>
                <w:b/>
                <w:sz w:val="23"/>
                <w:szCs w:val="23"/>
              </w:rPr>
            </w:pPr>
          </w:p>
          <w:p w14:paraId="14769DF2" w14:textId="662E24A6" w:rsidR="006323BB" w:rsidRPr="000D756E" w:rsidRDefault="006323BB" w:rsidP="00513339">
            <w:pPr>
              <w:jc w:val="right"/>
              <w:rPr>
                <w:rFonts w:ascii="Arial" w:hAnsi="Arial" w:cs="Arial"/>
                <w:b/>
                <w:sz w:val="23"/>
                <w:szCs w:val="23"/>
              </w:rPr>
            </w:pPr>
            <w:r>
              <w:rPr>
                <w:rFonts w:ascii="Arial" w:hAnsi="Arial" w:cs="Arial"/>
                <w:b/>
                <w:sz w:val="23"/>
                <w:szCs w:val="23"/>
              </w:rPr>
              <w:t>27,12</w:t>
            </w:r>
            <w:r w:rsidR="00EB4BDF">
              <w:rPr>
                <w:rFonts w:ascii="Arial" w:hAnsi="Arial" w:cs="Arial"/>
                <w:b/>
                <w:sz w:val="23"/>
                <w:szCs w:val="23"/>
              </w:rPr>
              <w:t>7</w:t>
            </w:r>
          </w:p>
        </w:tc>
        <w:tc>
          <w:tcPr>
            <w:tcW w:w="1417" w:type="dxa"/>
            <w:tcBorders>
              <w:top w:val="single" w:sz="4" w:space="0" w:color="auto"/>
              <w:left w:val="single" w:sz="4" w:space="0" w:color="auto"/>
              <w:bottom w:val="single" w:sz="4" w:space="0" w:color="auto"/>
              <w:right w:val="single" w:sz="4" w:space="0" w:color="auto"/>
            </w:tcBorders>
          </w:tcPr>
          <w:p w14:paraId="47E9A5EA" w14:textId="77777777" w:rsidR="00E95A11" w:rsidRDefault="00E95A11" w:rsidP="00513339">
            <w:pPr>
              <w:jc w:val="right"/>
              <w:rPr>
                <w:rFonts w:ascii="Arial" w:hAnsi="Arial" w:cs="Arial"/>
                <w:b/>
                <w:sz w:val="23"/>
                <w:szCs w:val="23"/>
              </w:rPr>
            </w:pPr>
          </w:p>
          <w:p w14:paraId="260E229B" w14:textId="77777777" w:rsidR="00C64082" w:rsidRDefault="00C64082" w:rsidP="00513339">
            <w:pPr>
              <w:jc w:val="right"/>
              <w:rPr>
                <w:rFonts w:ascii="Arial" w:hAnsi="Arial" w:cs="Arial"/>
                <w:b/>
                <w:sz w:val="23"/>
                <w:szCs w:val="23"/>
              </w:rPr>
            </w:pPr>
          </w:p>
          <w:p w14:paraId="78968449" w14:textId="26CA3B18" w:rsidR="00C64082" w:rsidRPr="000D756E" w:rsidRDefault="00C64082" w:rsidP="00513339">
            <w:pPr>
              <w:jc w:val="right"/>
              <w:rPr>
                <w:rFonts w:ascii="Arial" w:hAnsi="Arial" w:cs="Arial"/>
                <w:b/>
                <w:sz w:val="23"/>
                <w:szCs w:val="23"/>
              </w:rPr>
            </w:pPr>
            <w:r>
              <w:rPr>
                <w:rFonts w:ascii="Arial" w:hAnsi="Arial" w:cs="Arial"/>
                <w:b/>
                <w:sz w:val="23"/>
                <w:szCs w:val="23"/>
              </w:rPr>
              <w:t>24,54</w:t>
            </w:r>
            <w:r w:rsidR="007B6BA3">
              <w:rPr>
                <w:rFonts w:ascii="Arial" w:hAnsi="Arial" w:cs="Arial"/>
                <w:b/>
                <w:sz w:val="23"/>
                <w:szCs w:val="23"/>
              </w:rPr>
              <w:t>4</w:t>
            </w:r>
          </w:p>
        </w:tc>
      </w:tr>
      <w:tr w:rsidR="006329E6" w:rsidRPr="000D756E" w14:paraId="37150F57" w14:textId="77777777" w:rsidTr="00057ED0">
        <w:tc>
          <w:tcPr>
            <w:tcW w:w="1844" w:type="dxa"/>
            <w:tcBorders>
              <w:right w:val="single" w:sz="4" w:space="0" w:color="auto"/>
            </w:tcBorders>
          </w:tcPr>
          <w:p w14:paraId="47B53AA1" w14:textId="77777777" w:rsidR="00513339" w:rsidRPr="000D756E" w:rsidRDefault="00513339" w:rsidP="00513339">
            <w:pPr>
              <w:rPr>
                <w:rFonts w:ascii="Arial" w:hAnsi="Arial" w:cs="Arial"/>
                <w:sz w:val="23"/>
                <w:szCs w:val="23"/>
              </w:rPr>
            </w:pPr>
          </w:p>
          <w:p w14:paraId="0E971266" w14:textId="40D1C143" w:rsidR="00513339" w:rsidRPr="000D756E" w:rsidRDefault="00513339" w:rsidP="00513339">
            <w:pPr>
              <w:rPr>
                <w:rFonts w:ascii="Arial" w:hAnsi="Arial" w:cs="Arial"/>
                <w:b/>
                <w:sz w:val="23"/>
                <w:szCs w:val="23"/>
              </w:rPr>
            </w:pPr>
            <w:r w:rsidRPr="000D756E">
              <w:rPr>
                <w:rFonts w:ascii="Arial" w:hAnsi="Arial" w:cs="Arial"/>
                <w:b/>
                <w:sz w:val="23"/>
                <w:szCs w:val="23"/>
              </w:rPr>
              <w:t>Balance as at 31 March 202</w:t>
            </w:r>
            <w:r w:rsidR="00C934F4">
              <w:rPr>
                <w:rFonts w:ascii="Arial" w:hAnsi="Arial" w:cs="Arial"/>
                <w:b/>
                <w:sz w:val="23"/>
                <w:szCs w:val="23"/>
              </w:rPr>
              <w:t>5</w:t>
            </w:r>
            <w:r w:rsidRPr="000D756E">
              <w:rPr>
                <w:rFonts w:ascii="Arial" w:hAnsi="Arial" w:cs="Arial"/>
                <w:b/>
                <w:sz w:val="23"/>
                <w:szCs w:val="23"/>
              </w:rPr>
              <w:t xml:space="preserve"> cfwd</w:t>
            </w:r>
          </w:p>
        </w:tc>
        <w:tc>
          <w:tcPr>
            <w:tcW w:w="1276" w:type="dxa"/>
            <w:tcBorders>
              <w:top w:val="single" w:sz="4" w:space="0" w:color="auto"/>
              <w:left w:val="single" w:sz="4" w:space="0" w:color="auto"/>
              <w:bottom w:val="single" w:sz="4" w:space="0" w:color="auto"/>
              <w:right w:val="single" w:sz="4" w:space="0" w:color="auto"/>
            </w:tcBorders>
          </w:tcPr>
          <w:p w14:paraId="2031191F" w14:textId="77777777" w:rsidR="009C0757" w:rsidRDefault="009C0757" w:rsidP="00513339">
            <w:pPr>
              <w:jc w:val="right"/>
              <w:rPr>
                <w:rFonts w:ascii="Arial" w:hAnsi="Arial" w:cs="Arial"/>
                <w:b/>
                <w:sz w:val="23"/>
                <w:szCs w:val="23"/>
              </w:rPr>
            </w:pPr>
          </w:p>
          <w:p w14:paraId="34EBAAC4" w14:textId="77777777" w:rsidR="006364FF" w:rsidRDefault="006364FF" w:rsidP="00513339">
            <w:pPr>
              <w:jc w:val="right"/>
              <w:rPr>
                <w:rFonts w:ascii="Arial" w:hAnsi="Arial" w:cs="Arial"/>
                <w:b/>
                <w:sz w:val="23"/>
                <w:szCs w:val="23"/>
              </w:rPr>
            </w:pPr>
          </w:p>
          <w:p w14:paraId="452379AA" w14:textId="05787F55" w:rsidR="006364FF" w:rsidRPr="000D756E" w:rsidRDefault="0025445C" w:rsidP="00513339">
            <w:pPr>
              <w:jc w:val="right"/>
              <w:rPr>
                <w:rFonts w:ascii="Arial" w:hAnsi="Arial" w:cs="Arial"/>
                <w:b/>
                <w:sz w:val="23"/>
                <w:szCs w:val="23"/>
              </w:rPr>
            </w:pPr>
            <w:r>
              <w:rPr>
                <w:rFonts w:ascii="Arial" w:hAnsi="Arial" w:cs="Arial"/>
                <w:b/>
                <w:sz w:val="23"/>
                <w:szCs w:val="23"/>
              </w:rPr>
              <w:t>-150</w:t>
            </w:r>
          </w:p>
        </w:tc>
        <w:tc>
          <w:tcPr>
            <w:tcW w:w="1134" w:type="dxa"/>
            <w:tcBorders>
              <w:top w:val="single" w:sz="4" w:space="0" w:color="auto"/>
              <w:left w:val="single" w:sz="4" w:space="0" w:color="auto"/>
              <w:bottom w:val="single" w:sz="4" w:space="0" w:color="auto"/>
              <w:right w:val="single" w:sz="4" w:space="0" w:color="auto"/>
            </w:tcBorders>
          </w:tcPr>
          <w:p w14:paraId="498D2104" w14:textId="77777777" w:rsidR="00CD1ED6" w:rsidRDefault="00CD1ED6" w:rsidP="00513339">
            <w:pPr>
              <w:jc w:val="right"/>
              <w:rPr>
                <w:rFonts w:ascii="Arial" w:hAnsi="Arial" w:cs="Arial"/>
                <w:b/>
                <w:sz w:val="23"/>
                <w:szCs w:val="23"/>
              </w:rPr>
            </w:pPr>
          </w:p>
          <w:p w14:paraId="0088E448" w14:textId="77777777" w:rsidR="00A477D7" w:rsidRDefault="00A477D7" w:rsidP="00513339">
            <w:pPr>
              <w:jc w:val="right"/>
              <w:rPr>
                <w:rFonts w:ascii="Arial" w:hAnsi="Arial" w:cs="Arial"/>
                <w:b/>
                <w:sz w:val="23"/>
                <w:szCs w:val="23"/>
              </w:rPr>
            </w:pPr>
          </w:p>
          <w:p w14:paraId="1BCC490A" w14:textId="509655E8" w:rsidR="00A477D7" w:rsidRPr="000D756E" w:rsidRDefault="00A477D7" w:rsidP="00513339">
            <w:pPr>
              <w:jc w:val="right"/>
              <w:rPr>
                <w:rFonts w:ascii="Arial" w:hAnsi="Arial" w:cs="Arial"/>
                <w:b/>
                <w:sz w:val="23"/>
                <w:szCs w:val="23"/>
              </w:rPr>
            </w:pPr>
            <w:r>
              <w:rPr>
                <w:rFonts w:ascii="Arial" w:hAnsi="Arial" w:cs="Arial"/>
                <w:b/>
                <w:sz w:val="23"/>
                <w:szCs w:val="23"/>
              </w:rPr>
              <w:t>11,127</w:t>
            </w:r>
          </w:p>
        </w:tc>
        <w:tc>
          <w:tcPr>
            <w:tcW w:w="1134" w:type="dxa"/>
            <w:tcBorders>
              <w:top w:val="single" w:sz="4" w:space="0" w:color="auto"/>
              <w:left w:val="single" w:sz="4" w:space="0" w:color="auto"/>
              <w:bottom w:val="single" w:sz="4" w:space="0" w:color="auto"/>
              <w:right w:val="single" w:sz="4" w:space="0" w:color="auto"/>
            </w:tcBorders>
          </w:tcPr>
          <w:p w14:paraId="41AFFD12" w14:textId="77777777" w:rsidR="0021573A" w:rsidRDefault="0021573A" w:rsidP="00513339">
            <w:pPr>
              <w:jc w:val="right"/>
              <w:rPr>
                <w:rFonts w:ascii="Arial" w:hAnsi="Arial" w:cs="Arial"/>
                <w:b/>
                <w:sz w:val="23"/>
                <w:szCs w:val="23"/>
              </w:rPr>
            </w:pPr>
          </w:p>
          <w:p w14:paraId="002FB68E" w14:textId="77777777" w:rsidR="00337E10" w:rsidRDefault="00337E10" w:rsidP="00513339">
            <w:pPr>
              <w:jc w:val="right"/>
              <w:rPr>
                <w:rFonts w:ascii="Arial" w:hAnsi="Arial" w:cs="Arial"/>
                <w:b/>
                <w:sz w:val="23"/>
                <w:szCs w:val="23"/>
              </w:rPr>
            </w:pPr>
          </w:p>
          <w:p w14:paraId="53A53C67" w14:textId="4C49B491" w:rsidR="00337E10" w:rsidRPr="000D756E" w:rsidRDefault="00AA0690" w:rsidP="00513339">
            <w:pPr>
              <w:jc w:val="right"/>
              <w:rPr>
                <w:rFonts w:ascii="Arial" w:hAnsi="Arial" w:cs="Arial"/>
                <w:b/>
                <w:sz w:val="23"/>
                <w:szCs w:val="23"/>
              </w:rPr>
            </w:pPr>
            <w:r>
              <w:rPr>
                <w:rFonts w:ascii="Arial" w:hAnsi="Arial" w:cs="Arial"/>
                <w:b/>
                <w:sz w:val="23"/>
                <w:szCs w:val="23"/>
              </w:rPr>
              <w:t>10,977</w:t>
            </w:r>
          </w:p>
        </w:tc>
        <w:tc>
          <w:tcPr>
            <w:tcW w:w="1309" w:type="dxa"/>
            <w:tcBorders>
              <w:top w:val="single" w:sz="4" w:space="0" w:color="auto"/>
              <w:left w:val="single" w:sz="4" w:space="0" w:color="auto"/>
              <w:bottom w:val="single" w:sz="4" w:space="0" w:color="auto"/>
              <w:right w:val="single" w:sz="4" w:space="0" w:color="auto"/>
            </w:tcBorders>
          </w:tcPr>
          <w:p w14:paraId="7AE642EB" w14:textId="77777777" w:rsidR="00B822A5" w:rsidRDefault="00B822A5" w:rsidP="00513339">
            <w:pPr>
              <w:jc w:val="right"/>
              <w:rPr>
                <w:rFonts w:ascii="Arial" w:hAnsi="Arial" w:cs="Arial"/>
                <w:b/>
                <w:sz w:val="23"/>
                <w:szCs w:val="23"/>
              </w:rPr>
            </w:pPr>
          </w:p>
          <w:p w14:paraId="5F9AB6EE" w14:textId="77777777" w:rsidR="001D732F" w:rsidRDefault="001D732F" w:rsidP="00513339">
            <w:pPr>
              <w:jc w:val="right"/>
              <w:rPr>
                <w:rFonts w:ascii="Arial" w:hAnsi="Arial" w:cs="Arial"/>
                <w:b/>
                <w:sz w:val="23"/>
                <w:szCs w:val="23"/>
              </w:rPr>
            </w:pPr>
          </w:p>
          <w:p w14:paraId="4BC4EE62" w14:textId="4D68B16F" w:rsidR="001D732F" w:rsidRPr="000D756E" w:rsidRDefault="001D732F" w:rsidP="00513339">
            <w:pPr>
              <w:jc w:val="right"/>
              <w:rPr>
                <w:rFonts w:ascii="Arial" w:hAnsi="Arial" w:cs="Arial"/>
                <w:b/>
                <w:sz w:val="23"/>
                <w:szCs w:val="23"/>
              </w:rPr>
            </w:pPr>
            <w:r>
              <w:rPr>
                <w:rFonts w:ascii="Arial" w:hAnsi="Arial" w:cs="Arial"/>
                <w:b/>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1DDDF5F2" w14:textId="77777777" w:rsidR="00B822A5" w:rsidRDefault="00B822A5" w:rsidP="00513339">
            <w:pPr>
              <w:jc w:val="right"/>
              <w:rPr>
                <w:rFonts w:ascii="Arial" w:hAnsi="Arial" w:cs="Arial"/>
                <w:b/>
                <w:sz w:val="23"/>
                <w:szCs w:val="23"/>
              </w:rPr>
            </w:pPr>
          </w:p>
          <w:p w14:paraId="60FD14BA" w14:textId="77777777" w:rsidR="00FE0996" w:rsidRDefault="00FE0996" w:rsidP="00513339">
            <w:pPr>
              <w:jc w:val="right"/>
              <w:rPr>
                <w:rFonts w:ascii="Arial" w:hAnsi="Arial" w:cs="Arial"/>
                <w:b/>
                <w:sz w:val="23"/>
                <w:szCs w:val="23"/>
              </w:rPr>
            </w:pPr>
          </w:p>
          <w:p w14:paraId="45E23DFC" w14:textId="59EFC54F" w:rsidR="00FE0996" w:rsidRPr="000D756E" w:rsidRDefault="00FE0996" w:rsidP="00513339">
            <w:pPr>
              <w:jc w:val="right"/>
              <w:rPr>
                <w:rFonts w:ascii="Arial" w:hAnsi="Arial" w:cs="Arial"/>
                <w:b/>
                <w:sz w:val="23"/>
                <w:szCs w:val="23"/>
              </w:rPr>
            </w:pPr>
            <w:r>
              <w:rPr>
                <w:rFonts w:ascii="Arial" w:hAnsi="Arial" w:cs="Arial"/>
                <w:b/>
                <w:sz w:val="23"/>
                <w:szCs w:val="23"/>
              </w:rPr>
              <w:t>10,977</w:t>
            </w:r>
          </w:p>
        </w:tc>
        <w:tc>
          <w:tcPr>
            <w:tcW w:w="1276" w:type="dxa"/>
            <w:tcBorders>
              <w:top w:val="single" w:sz="4" w:space="0" w:color="auto"/>
              <w:left w:val="single" w:sz="4" w:space="0" w:color="auto"/>
              <w:bottom w:val="single" w:sz="4" w:space="0" w:color="auto"/>
              <w:right w:val="single" w:sz="4" w:space="0" w:color="auto"/>
            </w:tcBorders>
          </w:tcPr>
          <w:p w14:paraId="7A24366E" w14:textId="77777777" w:rsidR="00044891" w:rsidRDefault="00044891" w:rsidP="00513339">
            <w:pPr>
              <w:jc w:val="right"/>
              <w:rPr>
                <w:rFonts w:ascii="Arial" w:hAnsi="Arial" w:cs="Arial"/>
                <w:b/>
                <w:sz w:val="23"/>
                <w:szCs w:val="23"/>
              </w:rPr>
            </w:pPr>
          </w:p>
          <w:p w14:paraId="3F4D0826" w14:textId="77777777" w:rsidR="006323BB" w:rsidRDefault="006323BB" w:rsidP="00513339">
            <w:pPr>
              <w:jc w:val="right"/>
              <w:rPr>
                <w:rFonts w:ascii="Arial" w:hAnsi="Arial" w:cs="Arial"/>
                <w:b/>
                <w:sz w:val="23"/>
                <w:szCs w:val="23"/>
              </w:rPr>
            </w:pPr>
          </w:p>
          <w:p w14:paraId="7B631C02" w14:textId="1943B137" w:rsidR="006323BB" w:rsidRPr="000D756E" w:rsidRDefault="006323BB" w:rsidP="00513339">
            <w:pPr>
              <w:jc w:val="right"/>
              <w:rPr>
                <w:rFonts w:ascii="Arial" w:hAnsi="Arial" w:cs="Arial"/>
                <w:b/>
                <w:sz w:val="23"/>
                <w:szCs w:val="23"/>
              </w:rPr>
            </w:pPr>
            <w:r>
              <w:rPr>
                <w:rFonts w:ascii="Arial" w:hAnsi="Arial" w:cs="Arial"/>
                <w:b/>
                <w:sz w:val="23"/>
                <w:szCs w:val="23"/>
              </w:rPr>
              <w:t>-133,76</w:t>
            </w:r>
            <w:r w:rsidR="00F750EC">
              <w:rPr>
                <w:rFonts w:ascii="Arial" w:hAnsi="Arial" w:cs="Arial"/>
                <w:b/>
                <w:sz w:val="23"/>
                <w:szCs w:val="23"/>
              </w:rPr>
              <w:t>9</w:t>
            </w:r>
          </w:p>
        </w:tc>
        <w:tc>
          <w:tcPr>
            <w:tcW w:w="1417" w:type="dxa"/>
            <w:tcBorders>
              <w:top w:val="single" w:sz="4" w:space="0" w:color="auto"/>
              <w:left w:val="single" w:sz="4" w:space="0" w:color="auto"/>
              <w:bottom w:val="single" w:sz="4" w:space="0" w:color="auto"/>
              <w:right w:val="single" w:sz="4" w:space="0" w:color="auto"/>
            </w:tcBorders>
          </w:tcPr>
          <w:p w14:paraId="22F85AD4" w14:textId="77777777" w:rsidR="0015153A" w:rsidRDefault="0015153A" w:rsidP="00513339">
            <w:pPr>
              <w:jc w:val="right"/>
              <w:rPr>
                <w:rFonts w:ascii="Arial" w:hAnsi="Arial" w:cs="Arial"/>
                <w:b/>
                <w:sz w:val="23"/>
                <w:szCs w:val="23"/>
              </w:rPr>
            </w:pPr>
          </w:p>
          <w:p w14:paraId="0D50A9DE" w14:textId="77777777" w:rsidR="007B6BA3" w:rsidRDefault="007B6BA3" w:rsidP="00513339">
            <w:pPr>
              <w:jc w:val="right"/>
              <w:rPr>
                <w:rFonts w:ascii="Arial" w:hAnsi="Arial" w:cs="Arial"/>
                <w:b/>
                <w:sz w:val="23"/>
                <w:szCs w:val="23"/>
              </w:rPr>
            </w:pPr>
          </w:p>
          <w:p w14:paraId="6311A5DE" w14:textId="313F205C" w:rsidR="007B6BA3" w:rsidRPr="000D756E" w:rsidRDefault="007B6BA3" w:rsidP="00513339">
            <w:pPr>
              <w:jc w:val="right"/>
              <w:rPr>
                <w:rFonts w:ascii="Arial" w:hAnsi="Arial" w:cs="Arial"/>
                <w:b/>
                <w:sz w:val="23"/>
                <w:szCs w:val="23"/>
              </w:rPr>
            </w:pPr>
            <w:r>
              <w:rPr>
                <w:rFonts w:ascii="Arial" w:hAnsi="Arial" w:cs="Arial"/>
                <w:b/>
                <w:sz w:val="23"/>
                <w:szCs w:val="23"/>
              </w:rPr>
              <w:t>-122,792</w:t>
            </w:r>
          </w:p>
        </w:tc>
      </w:tr>
      <w:tr w:rsidR="006329E6" w:rsidRPr="000D756E" w14:paraId="0FAB2F0A" w14:textId="77777777" w:rsidTr="00057ED0">
        <w:tc>
          <w:tcPr>
            <w:tcW w:w="1844" w:type="dxa"/>
            <w:tcBorders>
              <w:right w:val="single" w:sz="4" w:space="0" w:color="auto"/>
            </w:tcBorders>
          </w:tcPr>
          <w:p w14:paraId="3DFA4057" w14:textId="77777777" w:rsidR="00513339" w:rsidRPr="000D756E" w:rsidRDefault="00513339" w:rsidP="00513339">
            <w:pPr>
              <w:rPr>
                <w:rFonts w:ascii="Arial" w:hAnsi="Arial" w:cs="Arial"/>
                <w:sz w:val="23"/>
                <w:szCs w:val="23"/>
              </w:rPr>
            </w:pPr>
          </w:p>
          <w:p w14:paraId="44832B3D" w14:textId="77777777" w:rsidR="00513339" w:rsidRPr="000D756E" w:rsidRDefault="00513339" w:rsidP="00513339">
            <w:pPr>
              <w:rPr>
                <w:rFonts w:ascii="Arial" w:hAnsi="Arial" w:cs="Arial"/>
                <w:sz w:val="23"/>
                <w:szCs w:val="23"/>
              </w:rPr>
            </w:pPr>
            <w:r w:rsidRPr="000D756E">
              <w:rPr>
                <w:rFonts w:ascii="Arial" w:hAnsi="Arial" w:cs="Arial"/>
                <w:sz w:val="23"/>
                <w:szCs w:val="23"/>
              </w:rPr>
              <w:t>Transfers to/from Earmarked Reserves</w:t>
            </w:r>
          </w:p>
        </w:tc>
        <w:tc>
          <w:tcPr>
            <w:tcW w:w="1276" w:type="dxa"/>
            <w:tcBorders>
              <w:top w:val="single" w:sz="4" w:space="0" w:color="auto"/>
              <w:left w:val="single" w:sz="4" w:space="0" w:color="auto"/>
              <w:bottom w:val="single" w:sz="4" w:space="0" w:color="auto"/>
              <w:right w:val="single" w:sz="4" w:space="0" w:color="auto"/>
            </w:tcBorders>
          </w:tcPr>
          <w:p w14:paraId="3BCCE1F0" w14:textId="77777777" w:rsidR="009C0757" w:rsidRDefault="009C0757" w:rsidP="00513339">
            <w:pPr>
              <w:jc w:val="right"/>
              <w:rPr>
                <w:rFonts w:ascii="Arial" w:hAnsi="Arial" w:cs="Arial"/>
                <w:sz w:val="23"/>
                <w:szCs w:val="23"/>
              </w:rPr>
            </w:pPr>
          </w:p>
          <w:p w14:paraId="50A3EA63" w14:textId="77777777" w:rsidR="0025445C" w:rsidRDefault="0025445C" w:rsidP="00513339">
            <w:pPr>
              <w:jc w:val="right"/>
              <w:rPr>
                <w:rFonts w:ascii="Arial" w:hAnsi="Arial" w:cs="Arial"/>
                <w:sz w:val="23"/>
                <w:szCs w:val="23"/>
              </w:rPr>
            </w:pPr>
          </w:p>
          <w:p w14:paraId="066491FE" w14:textId="2867BA71" w:rsidR="0025445C" w:rsidRPr="000D756E" w:rsidRDefault="0025445C" w:rsidP="00513339">
            <w:pPr>
              <w:jc w:val="right"/>
              <w:rPr>
                <w:rFonts w:ascii="Arial" w:hAnsi="Arial" w:cs="Arial"/>
                <w:sz w:val="23"/>
                <w:szCs w:val="23"/>
              </w:rPr>
            </w:pPr>
            <w:r>
              <w:rPr>
                <w:rFonts w:ascii="Arial" w:hAnsi="Arial" w:cs="Arial"/>
                <w:sz w:val="23"/>
                <w:szCs w:val="23"/>
              </w:rPr>
              <w:t>850</w:t>
            </w:r>
          </w:p>
        </w:tc>
        <w:tc>
          <w:tcPr>
            <w:tcW w:w="1134" w:type="dxa"/>
            <w:tcBorders>
              <w:top w:val="single" w:sz="4" w:space="0" w:color="auto"/>
              <w:left w:val="single" w:sz="4" w:space="0" w:color="auto"/>
              <w:bottom w:val="single" w:sz="4" w:space="0" w:color="auto"/>
              <w:right w:val="single" w:sz="4" w:space="0" w:color="auto"/>
            </w:tcBorders>
          </w:tcPr>
          <w:p w14:paraId="6FC5046D" w14:textId="77777777" w:rsidR="005B36DD" w:rsidRDefault="005B36DD" w:rsidP="00513339">
            <w:pPr>
              <w:jc w:val="right"/>
              <w:rPr>
                <w:rFonts w:ascii="Arial" w:hAnsi="Arial" w:cs="Arial"/>
                <w:sz w:val="23"/>
                <w:szCs w:val="23"/>
              </w:rPr>
            </w:pPr>
          </w:p>
          <w:p w14:paraId="7FD67D7F" w14:textId="77777777" w:rsidR="003E42C1" w:rsidRDefault="003E42C1" w:rsidP="00513339">
            <w:pPr>
              <w:jc w:val="right"/>
              <w:rPr>
                <w:rFonts w:ascii="Arial" w:hAnsi="Arial" w:cs="Arial"/>
                <w:sz w:val="23"/>
                <w:szCs w:val="23"/>
              </w:rPr>
            </w:pPr>
          </w:p>
          <w:p w14:paraId="2F627EA5" w14:textId="359B78D8" w:rsidR="003E42C1" w:rsidRPr="000D756E" w:rsidRDefault="003E42C1" w:rsidP="00513339">
            <w:pPr>
              <w:jc w:val="right"/>
              <w:rPr>
                <w:rFonts w:ascii="Arial" w:hAnsi="Arial" w:cs="Arial"/>
                <w:sz w:val="23"/>
                <w:szCs w:val="23"/>
              </w:rPr>
            </w:pPr>
            <w:r>
              <w:rPr>
                <w:rFonts w:ascii="Arial" w:hAnsi="Arial" w:cs="Arial"/>
                <w:sz w:val="23"/>
                <w:szCs w:val="23"/>
              </w:rPr>
              <w:t>-850</w:t>
            </w:r>
          </w:p>
        </w:tc>
        <w:tc>
          <w:tcPr>
            <w:tcW w:w="1134" w:type="dxa"/>
            <w:tcBorders>
              <w:top w:val="single" w:sz="4" w:space="0" w:color="auto"/>
              <w:left w:val="single" w:sz="4" w:space="0" w:color="auto"/>
              <w:bottom w:val="single" w:sz="4" w:space="0" w:color="auto"/>
              <w:right w:val="single" w:sz="4" w:space="0" w:color="auto"/>
            </w:tcBorders>
          </w:tcPr>
          <w:p w14:paraId="6CCDBE35" w14:textId="77777777" w:rsidR="0021573A" w:rsidRDefault="0021573A" w:rsidP="00513339">
            <w:pPr>
              <w:jc w:val="right"/>
              <w:rPr>
                <w:rFonts w:ascii="Arial" w:hAnsi="Arial" w:cs="Arial"/>
                <w:sz w:val="23"/>
                <w:szCs w:val="23"/>
              </w:rPr>
            </w:pPr>
          </w:p>
          <w:p w14:paraId="206A4B2F" w14:textId="77777777" w:rsidR="00337E10" w:rsidRDefault="00337E10" w:rsidP="00513339">
            <w:pPr>
              <w:jc w:val="right"/>
              <w:rPr>
                <w:rFonts w:ascii="Arial" w:hAnsi="Arial" w:cs="Arial"/>
                <w:sz w:val="23"/>
                <w:szCs w:val="23"/>
              </w:rPr>
            </w:pPr>
          </w:p>
          <w:p w14:paraId="6584F8DE" w14:textId="28D310F5" w:rsidR="00337E10" w:rsidRPr="000D756E" w:rsidRDefault="00337E10" w:rsidP="00513339">
            <w:pPr>
              <w:jc w:val="right"/>
              <w:rPr>
                <w:rFonts w:ascii="Arial" w:hAnsi="Arial" w:cs="Arial"/>
                <w:sz w:val="23"/>
                <w:szCs w:val="23"/>
              </w:rPr>
            </w:pPr>
            <w:r>
              <w:rPr>
                <w:rFonts w:ascii="Arial" w:hAnsi="Arial" w:cs="Arial"/>
                <w:sz w:val="23"/>
                <w:szCs w:val="23"/>
              </w:rPr>
              <w:t>0</w:t>
            </w:r>
          </w:p>
        </w:tc>
        <w:tc>
          <w:tcPr>
            <w:tcW w:w="1309" w:type="dxa"/>
            <w:tcBorders>
              <w:top w:val="single" w:sz="4" w:space="0" w:color="auto"/>
              <w:left w:val="single" w:sz="4" w:space="0" w:color="auto"/>
              <w:bottom w:val="single" w:sz="4" w:space="0" w:color="auto"/>
              <w:right w:val="single" w:sz="4" w:space="0" w:color="auto"/>
            </w:tcBorders>
          </w:tcPr>
          <w:p w14:paraId="78D1623E" w14:textId="77777777" w:rsidR="00B822A5" w:rsidRDefault="00B822A5" w:rsidP="00513339">
            <w:pPr>
              <w:jc w:val="right"/>
              <w:rPr>
                <w:rFonts w:ascii="Arial" w:hAnsi="Arial" w:cs="Arial"/>
                <w:sz w:val="23"/>
                <w:szCs w:val="23"/>
              </w:rPr>
            </w:pPr>
          </w:p>
          <w:p w14:paraId="4F17BB3F" w14:textId="77777777" w:rsidR="001D732F" w:rsidRDefault="001D732F" w:rsidP="00513339">
            <w:pPr>
              <w:jc w:val="right"/>
              <w:rPr>
                <w:rFonts w:ascii="Arial" w:hAnsi="Arial" w:cs="Arial"/>
                <w:sz w:val="23"/>
                <w:szCs w:val="23"/>
              </w:rPr>
            </w:pPr>
          </w:p>
          <w:p w14:paraId="0B773797" w14:textId="5C774D21" w:rsidR="001D732F" w:rsidRPr="000D756E" w:rsidRDefault="001D732F" w:rsidP="00513339">
            <w:pPr>
              <w:jc w:val="right"/>
              <w:rPr>
                <w:rFonts w:ascii="Arial" w:hAnsi="Arial" w:cs="Arial"/>
                <w:sz w:val="23"/>
                <w:szCs w:val="23"/>
              </w:rPr>
            </w:pPr>
            <w:r>
              <w:rPr>
                <w:rFonts w:ascii="Arial" w:hAnsi="Arial" w:cs="Arial"/>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3DF12E82" w14:textId="77777777" w:rsidR="00B822A5" w:rsidRDefault="00B822A5" w:rsidP="00513339">
            <w:pPr>
              <w:jc w:val="right"/>
              <w:rPr>
                <w:rFonts w:ascii="Arial" w:hAnsi="Arial" w:cs="Arial"/>
                <w:sz w:val="23"/>
                <w:szCs w:val="23"/>
              </w:rPr>
            </w:pPr>
          </w:p>
          <w:p w14:paraId="430D7BE3" w14:textId="77777777" w:rsidR="00FE0996" w:rsidRDefault="00FE0996" w:rsidP="00513339">
            <w:pPr>
              <w:jc w:val="right"/>
              <w:rPr>
                <w:rFonts w:ascii="Arial" w:hAnsi="Arial" w:cs="Arial"/>
                <w:sz w:val="23"/>
                <w:szCs w:val="23"/>
              </w:rPr>
            </w:pPr>
          </w:p>
          <w:p w14:paraId="7B9EB273" w14:textId="77568476" w:rsidR="00FE0996" w:rsidRPr="000D756E" w:rsidRDefault="00FE0996" w:rsidP="00513339">
            <w:pPr>
              <w:jc w:val="right"/>
              <w:rPr>
                <w:rFonts w:ascii="Arial" w:hAnsi="Arial" w:cs="Arial"/>
                <w:sz w:val="23"/>
                <w:szCs w:val="23"/>
              </w:rPr>
            </w:pPr>
            <w:r>
              <w:rPr>
                <w:rFonts w:ascii="Arial" w:hAnsi="Arial" w:cs="Arial"/>
                <w:sz w:val="23"/>
                <w:szCs w:val="23"/>
              </w:rPr>
              <w:t>0</w:t>
            </w:r>
          </w:p>
        </w:tc>
        <w:tc>
          <w:tcPr>
            <w:tcW w:w="1276" w:type="dxa"/>
            <w:tcBorders>
              <w:top w:val="single" w:sz="4" w:space="0" w:color="auto"/>
              <w:left w:val="single" w:sz="4" w:space="0" w:color="auto"/>
              <w:bottom w:val="single" w:sz="4" w:space="0" w:color="auto"/>
              <w:right w:val="single" w:sz="4" w:space="0" w:color="auto"/>
            </w:tcBorders>
          </w:tcPr>
          <w:p w14:paraId="092CA0CC" w14:textId="77777777" w:rsidR="00F51854" w:rsidRDefault="00F51854" w:rsidP="00513339">
            <w:pPr>
              <w:jc w:val="right"/>
              <w:rPr>
                <w:rFonts w:ascii="Arial" w:hAnsi="Arial" w:cs="Arial"/>
                <w:sz w:val="23"/>
                <w:szCs w:val="23"/>
              </w:rPr>
            </w:pPr>
          </w:p>
          <w:p w14:paraId="6C59FC21" w14:textId="77777777" w:rsidR="007B6BA3" w:rsidRDefault="007B6BA3" w:rsidP="00513339">
            <w:pPr>
              <w:jc w:val="right"/>
              <w:rPr>
                <w:rFonts w:ascii="Arial" w:hAnsi="Arial" w:cs="Arial"/>
                <w:sz w:val="23"/>
                <w:szCs w:val="23"/>
              </w:rPr>
            </w:pPr>
          </w:p>
          <w:p w14:paraId="6CA00E4B" w14:textId="532A5CC6" w:rsidR="007B6BA3" w:rsidRPr="000D756E" w:rsidRDefault="007B6BA3" w:rsidP="00513339">
            <w:pPr>
              <w:jc w:val="right"/>
              <w:rPr>
                <w:rFonts w:ascii="Arial" w:hAnsi="Arial" w:cs="Arial"/>
                <w:sz w:val="23"/>
                <w:szCs w:val="23"/>
              </w:rPr>
            </w:pPr>
            <w:r>
              <w:rPr>
                <w:rFonts w:ascii="Arial" w:hAnsi="Arial" w:cs="Arial"/>
                <w:sz w:val="23"/>
                <w:szCs w:val="23"/>
              </w:rPr>
              <w:t>0</w:t>
            </w:r>
          </w:p>
        </w:tc>
        <w:tc>
          <w:tcPr>
            <w:tcW w:w="1417" w:type="dxa"/>
            <w:tcBorders>
              <w:top w:val="single" w:sz="4" w:space="0" w:color="auto"/>
              <w:left w:val="single" w:sz="4" w:space="0" w:color="auto"/>
              <w:bottom w:val="single" w:sz="4" w:space="0" w:color="auto"/>
              <w:right w:val="single" w:sz="4" w:space="0" w:color="auto"/>
            </w:tcBorders>
          </w:tcPr>
          <w:p w14:paraId="7E4132FA" w14:textId="77777777" w:rsidR="006F6CD2" w:rsidRDefault="006F6CD2" w:rsidP="00513339">
            <w:pPr>
              <w:jc w:val="right"/>
              <w:rPr>
                <w:rFonts w:ascii="Arial" w:hAnsi="Arial" w:cs="Arial"/>
                <w:sz w:val="23"/>
                <w:szCs w:val="23"/>
              </w:rPr>
            </w:pPr>
          </w:p>
          <w:p w14:paraId="0C802569" w14:textId="77777777" w:rsidR="007B6BA3" w:rsidRDefault="007B6BA3" w:rsidP="00513339">
            <w:pPr>
              <w:jc w:val="right"/>
              <w:rPr>
                <w:rFonts w:ascii="Arial" w:hAnsi="Arial" w:cs="Arial"/>
                <w:sz w:val="23"/>
                <w:szCs w:val="23"/>
              </w:rPr>
            </w:pPr>
          </w:p>
          <w:p w14:paraId="24313AD8" w14:textId="2B27EB56" w:rsidR="007B6BA3" w:rsidRPr="000D756E" w:rsidRDefault="007B6BA3" w:rsidP="00513339">
            <w:pPr>
              <w:jc w:val="right"/>
              <w:rPr>
                <w:rFonts w:ascii="Arial" w:hAnsi="Arial" w:cs="Arial"/>
                <w:sz w:val="23"/>
                <w:szCs w:val="23"/>
              </w:rPr>
            </w:pPr>
            <w:r>
              <w:rPr>
                <w:rFonts w:ascii="Arial" w:hAnsi="Arial" w:cs="Arial"/>
                <w:sz w:val="23"/>
                <w:szCs w:val="23"/>
              </w:rPr>
              <w:t>0</w:t>
            </w:r>
          </w:p>
        </w:tc>
      </w:tr>
      <w:tr w:rsidR="006329E6" w:rsidRPr="000D756E" w14:paraId="6AEFC693" w14:textId="77777777" w:rsidTr="00057ED0">
        <w:tc>
          <w:tcPr>
            <w:tcW w:w="1844" w:type="dxa"/>
            <w:tcBorders>
              <w:right w:val="single" w:sz="4" w:space="0" w:color="auto"/>
            </w:tcBorders>
          </w:tcPr>
          <w:p w14:paraId="35383972" w14:textId="77777777" w:rsidR="00513339" w:rsidRPr="000D756E" w:rsidRDefault="00513339" w:rsidP="00513339">
            <w:pPr>
              <w:rPr>
                <w:rFonts w:ascii="Arial" w:hAnsi="Arial" w:cs="Arial"/>
                <w:b/>
                <w:sz w:val="23"/>
                <w:szCs w:val="23"/>
              </w:rPr>
            </w:pPr>
          </w:p>
          <w:p w14:paraId="4900A7B3" w14:textId="180B0C25" w:rsidR="00513339" w:rsidRPr="000D756E" w:rsidRDefault="00513339" w:rsidP="00513339">
            <w:pPr>
              <w:rPr>
                <w:rFonts w:ascii="Arial" w:hAnsi="Arial" w:cs="Arial"/>
                <w:b/>
                <w:sz w:val="23"/>
                <w:szCs w:val="23"/>
              </w:rPr>
            </w:pPr>
            <w:r w:rsidRPr="000D756E">
              <w:rPr>
                <w:rFonts w:ascii="Arial" w:hAnsi="Arial" w:cs="Arial"/>
                <w:b/>
                <w:sz w:val="23"/>
                <w:szCs w:val="23"/>
              </w:rPr>
              <w:t>Balance as at 31 March 202</w:t>
            </w:r>
            <w:r w:rsidR="00C934F4">
              <w:rPr>
                <w:rFonts w:ascii="Arial" w:hAnsi="Arial" w:cs="Arial"/>
                <w:b/>
                <w:sz w:val="23"/>
                <w:szCs w:val="23"/>
              </w:rPr>
              <w:t>5</w:t>
            </w:r>
            <w:r w:rsidRPr="000D756E">
              <w:rPr>
                <w:rFonts w:ascii="Arial" w:hAnsi="Arial" w:cs="Arial"/>
                <w:b/>
                <w:sz w:val="23"/>
                <w:szCs w:val="23"/>
              </w:rPr>
              <w:t xml:space="preserve"> cfwd</w:t>
            </w:r>
          </w:p>
        </w:tc>
        <w:tc>
          <w:tcPr>
            <w:tcW w:w="1276" w:type="dxa"/>
            <w:tcBorders>
              <w:top w:val="single" w:sz="4" w:space="0" w:color="auto"/>
              <w:left w:val="single" w:sz="4" w:space="0" w:color="auto"/>
              <w:bottom w:val="single" w:sz="4" w:space="0" w:color="auto"/>
              <w:right w:val="single" w:sz="4" w:space="0" w:color="auto"/>
            </w:tcBorders>
          </w:tcPr>
          <w:p w14:paraId="31949CF9" w14:textId="77777777" w:rsidR="00FA2565" w:rsidRDefault="00FA2565" w:rsidP="00513339">
            <w:pPr>
              <w:jc w:val="right"/>
              <w:rPr>
                <w:rFonts w:ascii="Arial" w:hAnsi="Arial" w:cs="Arial"/>
                <w:b/>
                <w:sz w:val="23"/>
                <w:szCs w:val="23"/>
              </w:rPr>
            </w:pPr>
          </w:p>
          <w:p w14:paraId="76AD1BAF" w14:textId="77777777" w:rsidR="0025445C" w:rsidRDefault="0025445C" w:rsidP="00513339">
            <w:pPr>
              <w:jc w:val="right"/>
              <w:rPr>
                <w:rFonts w:ascii="Arial" w:hAnsi="Arial" w:cs="Arial"/>
                <w:b/>
                <w:sz w:val="23"/>
                <w:szCs w:val="23"/>
              </w:rPr>
            </w:pPr>
          </w:p>
          <w:p w14:paraId="48CCA232" w14:textId="49E2DF17" w:rsidR="0025445C" w:rsidRPr="000D756E" w:rsidRDefault="00380196" w:rsidP="00513339">
            <w:pPr>
              <w:jc w:val="right"/>
              <w:rPr>
                <w:rFonts w:ascii="Arial" w:hAnsi="Arial" w:cs="Arial"/>
                <w:b/>
                <w:sz w:val="23"/>
                <w:szCs w:val="23"/>
              </w:rPr>
            </w:pPr>
            <w:r>
              <w:rPr>
                <w:rFonts w:ascii="Arial" w:hAnsi="Arial" w:cs="Arial"/>
                <w:b/>
                <w:sz w:val="23"/>
                <w:szCs w:val="23"/>
              </w:rPr>
              <w:t>700</w:t>
            </w:r>
          </w:p>
        </w:tc>
        <w:tc>
          <w:tcPr>
            <w:tcW w:w="1134" w:type="dxa"/>
            <w:tcBorders>
              <w:top w:val="single" w:sz="4" w:space="0" w:color="auto"/>
              <w:left w:val="single" w:sz="4" w:space="0" w:color="auto"/>
              <w:bottom w:val="single" w:sz="4" w:space="0" w:color="auto"/>
              <w:right w:val="single" w:sz="4" w:space="0" w:color="auto"/>
            </w:tcBorders>
          </w:tcPr>
          <w:p w14:paraId="5ADB790E" w14:textId="77777777" w:rsidR="005B36DD" w:rsidRDefault="005B36DD" w:rsidP="00513339">
            <w:pPr>
              <w:jc w:val="right"/>
              <w:rPr>
                <w:rFonts w:ascii="Arial" w:hAnsi="Arial" w:cs="Arial"/>
                <w:b/>
                <w:sz w:val="23"/>
                <w:szCs w:val="23"/>
              </w:rPr>
            </w:pPr>
          </w:p>
          <w:p w14:paraId="50339E1C" w14:textId="77777777" w:rsidR="00324D2A" w:rsidRDefault="00324D2A" w:rsidP="00513339">
            <w:pPr>
              <w:jc w:val="right"/>
              <w:rPr>
                <w:rFonts w:ascii="Arial" w:hAnsi="Arial" w:cs="Arial"/>
                <w:b/>
                <w:sz w:val="23"/>
                <w:szCs w:val="23"/>
              </w:rPr>
            </w:pPr>
          </w:p>
          <w:p w14:paraId="11D769B4" w14:textId="15692EB8" w:rsidR="00324D2A" w:rsidRPr="000D756E" w:rsidRDefault="00337E10" w:rsidP="00513339">
            <w:pPr>
              <w:jc w:val="right"/>
              <w:rPr>
                <w:rFonts w:ascii="Arial" w:hAnsi="Arial" w:cs="Arial"/>
                <w:b/>
                <w:sz w:val="23"/>
                <w:szCs w:val="23"/>
              </w:rPr>
            </w:pPr>
            <w:r>
              <w:rPr>
                <w:rFonts w:ascii="Arial" w:hAnsi="Arial" w:cs="Arial"/>
                <w:b/>
                <w:sz w:val="23"/>
                <w:szCs w:val="23"/>
              </w:rPr>
              <w:t>10,277</w:t>
            </w:r>
          </w:p>
        </w:tc>
        <w:tc>
          <w:tcPr>
            <w:tcW w:w="1134" w:type="dxa"/>
            <w:tcBorders>
              <w:top w:val="single" w:sz="4" w:space="0" w:color="auto"/>
              <w:left w:val="single" w:sz="4" w:space="0" w:color="auto"/>
              <w:bottom w:val="single" w:sz="4" w:space="0" w:color="auto"/>
              <w:right w:val="single" w:sz="4" w:space="0" w:color="auto"/>
            </w:tcBorders>
          </w:tcPr>
          <w:p w14:paraId="271EDB44" w14:textId="77777777" w:rsidR="0021573A" w:rsidRDefault="0021573A" w:rsidP="00513339">
            <w:pPr>
              <w:jc w:val="right"/>
              <w:rPr>
                <w:rFonts w:ascii="Arial" w:hAnsi="Arial" w:cs="Arial"/>
                <w:b/>
                <w:sz w:val="23"/>
                <w:szCs w:val="23"/>
              </w:rPr>
            </w:pPr>
          </w:p>
          <w:p w14:paraId="3D72EE62" w14:textId="77777777" w:rsidR="00337E10" w:rsidRDefault="00337E10" w:rsidP="00513339">
            <w:pPr>
              <w:jc w:val="right"/>
              <w:rPr>
                <w:rFonts w:ascii="Arial" w:hAnsi="Arial" w:cs="Arial"/>
                <w:b/>
                <w:sz w:val="23"/>
                <w:szCs w:val="23"/>
              </w:rPr>
            </w:pPr>
          </w:p>
          <w:p w14:paraId="5EFEDE48" w14:textId="7084C850" w:rsidR="00337E10" w:rsidRPr="000D756E" w:rsidRDefault="00AA0690" w:rsidP="00513339">
            <w:pPr>
              <w:jc w:val="right"/>
              <w:rPr>
                <w:rFonts w:ascii="Arial" w:hAnsi="Arial" w:cs="Arial"/>
                <w:b/>
                <w:sz w:val="23"/>
                <w:szCs w:val="23"/>
              </w:rPr>
            </w:pPr>
            <w:r>
              <w:rPr>
                <w:rFonts w:ascii="Arial" w:hAnsi="Arial" w:cs="Arial"/>
                <w:b/>
                <w:sz w:val="23"/>
                <w:szCs w:val="23"/>
              </w:rPr>
              <w:t>10,977</w:t>
            </w:r>
          </w:p>
        </w:tc>
        <w:tc>
          <w:tcPr>
            <w:tcW w:w="1309" w:type="dxa"/>
            <w:tcBorders>
              <w:top w:val="single" w:sz="4" w:space="0" w:color="auto"/>
              <w:left w:val="single" w:sz="4" w:space="0" w:color="auto"/>
              <w:bottom w:val="single" w:sz="4" w:space="0" w:color="auto"/>
              <w:right w:val="single" w:sz="4" w:space="0" w:color="auto"/>
            </w:tcBorders>
          </w:tcPr>
          <w:p w14:paraId="3A125398" w14:textId="77777777" w:rsidR="00B822A5" w:rsidRDefault="00B822A5" w:rsidP="00513339">
            <w:pPr>
              <w:jc w:val="right"/>
              <w:rPr>
                <w:rFonts w:ascii="Arial" w:hAnsi="Arial" w:cs="Arial"/>
                <w:b/>
                <w:sz w:val="23"/>
                <w:szCs w:val="23"/>
              </w:rPr>
            </w:pPr>
          </w:p>
          <w:p w14:paraId="4EDE2A1E" w14:textId="77777777" w:rsidR="001D732F" w:rsidRDefault="001D732F" w:rsidP="00513339">
            <w:pPr>
              <w:jc w:val="right"/>
              <w:rPr>
                <w:rFonts w:ascii="Arial" w:hAnsi="Arial" w:cs="Arial"/>
                <w:b/>
                <w:sz w:val="23"/>
                <w:szCs w:val="23"/>
              </w:rPr>
            </w:pPr>
          </w:p>
          <w:p w14:paraId="55BF90BF" w14:textId="3C02AF1E" w:rsidR="001D732F" w:rsidRPr="000D756E" w:rsidRDefault="001D732F" w:rsidP="00513339">
            <w:pPr>
              <w:jc w:val="right"/>
              <w:rPr>
                <w:rFonts w:ascii="Arial" w:hAnsi="Arial" w:cs="Arial"/>
                <w:b/>
                <w:sz w:val="23"/>
                <w:szCs w:val="23"/>
              </w:rPr>
            </w:pPr>
            <w:r>
              <w:rPr>
                <w:rFonts w:ascii="Arial" w:hAnsi="Arial" w:cs="Arial"/>
                <w:b/>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0DD94605" w14:textId="77777777" w:rsidR="008E102D" w:rsidRDefault="008E102D" w:rsidP="00513339">
            <w:pPr>
              <w:jc w:val="right"/>
              <w:rPr>
                <w:rFonts w:ascii="Arial" w:hAnsi="Arial" w:cs="Arial"/>
                <w:b/>
                <w:sz w:val="23"/>
                <w:szCs w:val="23"/>
              </w:rPr>
            </w:pPr>
          </w:p>
          <w:p w14:paraId="7374C7D5" w14:textId="77777777" w:rsidR="00FE0996" w:rsidRDefault="00FE0996" w:rsidP="00513339">
            <w:pPr>
              <w:jc w:val="right"/>
              <w:rPr>
                <w:rFonts w:ascii="Arial" w:hAnsi="Arial" w:cs="Arial"/>
                <w:b/>
                <w:sz w:val="23"/>
                <w:szCs w:val="23"/>
              </w:rPr>
            </w:pPr>
          </w:p>
          <w:p w14:paraId="1656E588" w14:textId="4A94C6F8" w:rsidR="00FE0996" w:rsidRPr="000D756E" w:rsidRDefault="002B0AAB" w:rsidP="00513339">
            <w:pPr>
              <w:jc w:val="right"/>
              <w:rPr>
                <w:rFonts w:ascii="Arial" w:hAnsi="Arial" w:cs="Arial"/>
                <w:b/>
                <w:sz w:val="23"/>
                <w:szCs w:val="23"/>
              </w:rPr>
            </w:pPr>
            <w:r>
              <w:rPr>
                <w:rFonts w:ascii="Arial" w:hAnsi="Arial" w:cs="Arial"/>
                <w:b/>
                <w:sz w:val="23"/>
                <w:szCs w:val="23"/>
              </w:rPr>
              <w:t>10,977</w:t>
            </w:r>
          </w:p>
        </w:tc>
        <w:tc>
          <w:tcPr>
            <w:tcW w:w="1276" w:type="dxa"/>
            <w:tcBorders>
              <w:top w:val="single" w:sz="4" w:space="0" w:color="auto"/>
              <w:left w:val="single" w:sz="4" w:space="0" w:color="auto"/>
              <w:bottom w:val="single" w:sz="4" w:space="0" w:color="auto"/>
              <w:right w:val="single" w:sz="4" w:space="0" w:color="auto"/>
            </w:tcBorders>
          </w:tcPr>
          <w:p w14:paraId="73EF7313" w14:textId="77777777" w:rsidR="00F51854" w:rsidRDefault="00F51854" w:rsidP="00513339">
            <w:pPr>
              <w:jc w:val="right"/>
              <w:rPr>
                <w:rFonts w:ascii="Arial" w:hAnsi="Arial" w:cs="Arial"/>
                <w:b/>
                <w:sz w:val="23"/>
                <w:szCs w:val="23"/>
              </w:rPr>
            </w:pPr>
          </w:p>
          <w:p w14:paraId="667AF758" w14:textId="77777777" w:rsidR="007B6BA3" w:rsidRDefault="007B6BA3" w:rsidP="00513339">
            <w:pPr>
              <w:jc w:val="right"/>
              <w:rPr>
                <w:rFonts w:ascii="Arial" w:hAnsi="Arial" w:cs="Arial"/>
                <w:b/>
                <w:sz w:val="23"/>
                <w:szCs w:val="23"/>
              </w:rPr>
            </w:pPr>
          </w:p>
          <w:p w14:paraId="56A408D1" w14:textId="6F77BBF6" w:rsidR="007B6BA3" w:rsidRPr="000D756E" w:rsidRDefault="007B6BA3" w:rsidP="00513339">
            <w:pPr>
              <w:jc w:val="right"/>
              <w:rPr>
                <w:rFonts w:ascii="Arial" w:hAnsi="Arial" w:cs="Arial"/>
                <w:b/>
                <w:sz w:val="23"/>
                <w:szCs w:val="23"/>
              </w:rPr>
            </w:pPr>
            <w:r>
              <w:rPr>
                <w:rFonts w:ascii="Arial" w:hAnsi="Arial" w:cs="Arial"/>
                <w:b/>
                <w:sz w:val="23"/>
                <w:szCs w:val="23"/>
              </w:rPr>
              <w:t>-133,76</w:t>
            </w:r>
            <w:r w:rsidR="00F750EC">
              <w:rPr>
                <w:rFonts w:ascii="Arial" w:hAnsi="Arial" w:cs="Arial"/>
                <w:b/>
                <w:sz w:val="23"/>
                <w:szCs w:val="23"/>
              </w:rPr>
              <w:t>9</w:t>
            </w:r>
          </w:p>
        </w:tc>
        <w:tc>
          <w:tcPr>
            <w:tcW w:w="1417" w:type="dxa"/>
            <w:tcBorders>
              <w:top w:val="single" w:sz="4" w:space="0" w:color="auto"/>
              <w:left w:val="single" w:sz="4" w:space="0" w:color="auto"/>
              <w:bottom w:val="single" w:sz="4" w:space="0" w:color="auto"/>
              <w:right w:val="single" w:sz="4" w:space="0" w:color="auto"/>
            </w:tcBorders>
          </w:tcPr>
          <w:p w14:paraId="594CE07D" w14:textId="77777777" w:rsidR="006F6CD2" w:rsidRDefault="006F6CD2" w:rsidP="00513339">
            <w:pPr>
              <w:jc w:val="right"/>
              <w:rPr>
                <w:rFonts w:ascii="Arial" w:hAnsi="Arial" w:cs="Arial"/>
                <w:b/>
                <w:sz w:val="23"/>
                <w:szCs w:val="23"/>
              </w:rPr>
            </w:pPr>
          </w:p>
          <w:p w14:paraId="24104DEF" w14:textId="77777777" w:rsidR="007B6BA3" w:rsidRDefault="007B6BA3" w:rsidP="00513339">
            <w:pPr>
              <w:jc w:val="right"/>
              <w:rPr>
                <w:rFonts w:ascii="Arial" w:hAnsi="Arial" w:cs="Arial"/>
                <w:b/>
                <w:sz w:val="23"/>
                <w:szCs w:val="23"/>
              </w:rPr>
            </w:pPr>
          </w:p>
          <w:p w14:paraId="7CF8AC1D" w14:textId="4115F965" w:rsidR="007B6BA3" w:rsidRPr="000D756E" w:rsidRDefault="007B6BA3" w:rsidP="00513339">
            <w:pPr>
              <w:jc w:val="right"/>
              <w:rPr>
                <w:rFonts w:ascii="Arial" w:hAnsi="Arial" w:cs="Arial"/>
                <w:b/>
                <w:sz w:val="23"/>
                <w:szCs w:val="23"/>
              </w:rPr>
            </w:pPr>
            <w:r>
              <w:rPr>
                <w:rFonts w:ascii="Arial" w:hAnsi="Arial" w:cs="Arial"/>
                <w:b/>
                <w:sz w:val="23"/>
                <w:szCs w:val="23"/>
              </w:rPr>
              <w:t>-122,792</w:t>
            </w:r>
          </w:p>
        </w:tc>
      </w:tr>
      <w:tr w:rsidR="006329E6" w:rsidRPr="000D756E" w14:paraId="04FB7C35" w14:textId="77777777" w:rsidTr="00057ED0">
        <w:tc>
          <w:tcPr>
            <w:tcW w:w="1844" w:type="dxa"/>
          </w:tcPr>
          <w:p w14:paraId="0BA1E0EE" w14:textId="77777777" w:rsidR="00513339" w:rsidRPr="000D756E" w:rsidRDefault="00513339" w:rsidP="00513339">
            <w:pPr>
              <w:jc w:val="right"/>
              <w:rPr>
                <w:rFonts w:ascii="Arial" w:hAnsi="Arial" w:cs="Arial"/>
                <w:b/>
                <w:sz w:val="23"/>
                <w:szCs w:val="23"/>
              </w:rPr>
            </w:pPr>
          </w:p>
        </w:tc>
        <w:tc>
          <w:tcPr>
            <w:tcW w:w="1276" w:type="dxa"/>
            <w:tcBorders>
              <w:top w:val="single" w:sz="4" w:space="0" w:color="auto"/>
            </w:tcBorders>
          </w:tcPr>
          <w:p w14:paraId="5C3EB0BF" w14:textId="77777777" w:rsidR="00513339" w:rsidRPr="000D756E" w:rsidRDefault="00513339" w:rsidP="00513339">
            <w:pPr>
              <w:jc w:val="right"/>
              <w:rPr>
                <w:rFonts w:ascii="Arial" w:hAnsi="Arial" w:cs="Arial"/>
                <w:b/>
                <w:sz w:val="23"/>
                <w:szCs w:val="23"/>
              </w:rPr>
            </w:pPr>
          </w:p>
        </w:tc>
        <w:tc>
          <w:tcPr>
            <w:tcW w:w="1134" w:type="dxa"/>
            <w:tcBorders>
              <w:top w:val="single" w:sz="4" w:space="0" w:color="auto"/>
            </w:tcBorders>
          </w:tcPr>
          <w:p w14:paraId="6C0F889E" w14:textId="77777777" w:rsidR="00513339" w:rsidRPr="000D756E" w:rsidRDefault="00513339" w:rsidP="00513339">
            <w:pPr>
              <w:jc w:val="right"/>
              <w:rPr>
                <w:rFonts w:ascii="Arial" w:hAnsi="Arial" w:cs="Arial"/>
                <w:b/>
                <w:sz w:val="23"/>
                <w:szCs w:val="23"/>
              </w:rPr>
            </w:pPr>
          </w:p>
          <w:p w14:paraId="2AF9118E" w14:textId="6602F37E" w:rsidR="00513339" w:rsidRPr="000D756E" w:rsidRDefault="00513339" w:rsidP="00513339">
            <w:pPr>
              <w:jc w:val="right"/>
              <w:rPr>
                <w:rFonts w:ascii="Arial" w:hAnsi="Arial" w:cs="Arial"/>
                <w:b/>
                <w:sz w:val="23"/>
                <w:szCs w:val="23"/>
              </w:rPr>
            </w:pPr>
            <w:r w:rsidRPr="000D756E">
              <w:rPr>
                <w:rFonts w:ascii="Arial" w:hAnsi="Arial" w:cs="Arial"/>
                <w:b/>
                <w:sz w:val="23"/>
                <w:szCs w:val="23"/>
              </w:rPr>
              <w:t>Note 2</w:t>
            </w:r>
            <w:r w:rsidR="00F164E7">
              <w:rPr>
                <w:rFonts w:ascii="Arial" w:hAnsi="Arial" w:cs="Arial"/>
                <w:b/>
                <w:sz w:val="23"/>
                <w:szCs w:val="23"/>
              </w:rPr>
              <w:t>4</w:t>
            </w:r>
          </w:p>
        </w:tc>
        <w:tc>
          <w:tcPr>
            <w:tcW w:w="1134" w:type="dxa"/>
            <w:tcBorders>
              <w:top w:val="single" w:sz="4" w:space="0" w:color="auto"/>
            </w:tcBorders>
          </w:tcPr>
          <w:p w14:paraId="30234DAD" w14:textId="77777777" w:rsidR="00513339" w:rsidRPr="000D756E" w:rsidRDefault="00513339" w:rsidP="00513339">
            <w:pPr>
              <w:jc w:val="right"/>
              <w:rPr>
                <w:rFonts w:ascii="Arial" w:hAnsi="Arial" w:cs="Arial"/>
                <w:b/>
                <w:sz w:val="23"/>
                <w:szCs w:val="23"/>
              </w:rPr>
            </w:pPr>
          </w:p>
        </w:tc>
        <w:tc>
          <w:tcPr>
            <w:tcW w:w="1309" w:type="dxa"/>
            <w:tcBorders>
              <w:top w:val="single" w:sz="4" w:space="0" w:color="auto"/>
            </w:tcBorders>
          </w:tcPr>
          <w:p w14:paraId="5567BE90" w14:textId="77777777" w:rsidR="00513339" w:rsidRPr="000D756E" w:rsidRDefault="00513339" w:rsidP="00513339">
            <w:pPr>
              <w:jc w:val="right"/>
              <w:rPr>
                <w:rFonts w:ascii="Arial" w:hAnsi="Arial" w:cs="Arial"/>
                <w:b/>
                <w:sz w:val="23"/>
                <w:szCs w:val="23"/>
              </w:rPr>
            </w:pPr>
          </w:p>
          <w:p w14:paraId="0806768E" w14:textId="41B1391A" w:rsidR="00513339" w:rsidRPr="000D756E" w:rsidRDefault="00513339" w:rsidP="00513339">
            <w:pPr>
              <w:jc w:val="right"/>
              <w:rPr>
                <w:rFonts w:ascii="Arial" w:hAnsi="Arial" w:cs="Arial"/>
                <w:b/>
                <w:sz w:val="23"/>
                <w:szCs w:val="23"/>
              </w:rPr>
            </w:pPr>
          </w:p>
        </w:tc>
        <w:tc>
          <w:tcPr>
            <w:tcW w:w="1384" w:type="dxa"/>
            <w:tcBorders>
              <w:top w:val="single" w:sz="4" w:space="0" w:color="auto"/>
            </w:tcBorders>
          </w:tcPr>
          <w:p w14:paraId="7AFEC9B3" w14:textId="77777777" w:rsidR="00513339" w:rsidRPr="000D756E" w:rsidRDefault="00513339" w:rsidP="00513339">
            <w:pPr>
              <w:jc w:val="right"/>
              <w:rPr>
                <w:rFonts w:ascii="Arial" w:hAnsi="Arial" w:cs="Arial"/>
                <w:b/>
                <w:sz w:val="23"/>
                <w:szCs w:val="23"/>
              </w:rPr>
            </w:pPr>
          </w:p>
          <w:p w14:paraId="1B8CC700" w14:textId="77777777" w:rsidR="00513339" w:rsidRPr="000D756E" w:rsidRDefault="00513339" w:rsidP="00513339">
            <w:pPr>
              <w:jc w:val="right"/>
              <w:rPr>
                <w:rFonts w:ascii="Arial" w:hAnsi="Arial" w:cs="Arial"/>
                <w:b/>
                <w:sz w:val="23"/>
                <w:szCs w:val="23"/>
              </w:rPr>
            </w:pPr>
          </w:p>
        </w:tc>
        <w:tc>
          <w:tcPr>
            <w:tcW w:w="1276" w:type="dxa"/>
            <w:tcBorders>
              <w:top w:val="single" w:sz="4" w:space="0" w:color="auto"/>
            </w:tcBorders>
          </w:tcPr>
          <w:p w14:paraId="02BAFEEE" w14:textId="77777777" w:rsidR="00513339" w:rsidRPr="000D756E" w:rsidRDefault="00513339" w:rsidP="00513339">
            <w:pPr>
              <w:jc w:val="right"/>
              <w:rPr>
                <w:rFonts w:ascii="Arial" w:hAnsi="Arial" w:cs="Arial"/>
                <w:b/>
                <w:sz w:val="23"/>
                <w:szCs w:val="23"/>
              </w:rPr>
            </w:pPr>
          </w:p>
          <w:p w14:paraId="5AD29F37" w14:textId="41528E1C" w:rsidR="00513339" w:rsidRPr="000D756E" w:rsidRDefault="00513339" w:rsidP="00513339">
            <w:pPr>
              <w:jc w:val="right"/>
              <w:rPr>
                <w:rFonts w:ascii="Arial" w:hAnsi="Arial" w:cs="Arial"/>
                <w:b/>
                <w:sz w:val="23"/>
                <w:szCs w:val="23"/>
              </w:rPr>
            </w:pPr>
            <w:r w:rsidRPr="000D756E">
              <w:rPr>
                <w:rFonts w:ascii="Arial" w:hAnsi="Arial" w:cs="Arial"/>
                <w:b/>
                <w:sz w:val="23"/>
                <w:szCs w:val="23"/>
              </w:rPr>
              <w:t>Note 2</w:t>
            </w:r>
            <w:r w:rsidR="00F164E7">
              <w:rPr>
                <w:rFonts w:ascii="Arial" w:hAnsi="Arial" w:cs="Arial"/>
                <w:b/>
                <w:sz w:val="23"/>
                <w:szCs w:val="23"/>
              </w:rPr>
              <w:t>3</w:t>
            </w:r>
          </w:p>
        </w:tc>
        <w:tc>
          <w:tcPr>
            <w:tcW w:w="1417" w:type="dxa"/>
            <w:tcBorders>
              <w:top w:val="single" w:sz="4" w:space="0" w:color="auto"/>
            </w:tcBorders>
          </w:tcPr>
          <w:p w14:paraId="5D32E802" w14:textId="77777777" w:rsidR="00513339" w:rsidRPr="000D756E" w:rsidRDefault="00513339" w:rsidP="00513339">
            <w:pPr>
              <w:jc w:val="right"/>
              <w:rPr>
                <w:rFonts w:ascii="Arial" w:hAnsi="Arial" w:cs="Arial"/>
                <w:b/>
                <w:sz w:val="23"/>
                <w:szCs w:val="23"/>
              </w:rPr>
            </w:pPr>
          </w:p>
        </w:tc>
      </w:tr>
    </w:tbl>
    <w:p w14:paraId="3ED8AAD0" w14:textId="77777777" w:rsidR="005331A9" w:rsidRPr="000D756E" w:rsidRDefault="005331A9" w:rsidP="00F95554">
      <w:pPr>
        <w:jc w:val="right"/>
      </w:pPr>
      <w:r w:rsidRPr="000D756E">
        <w:br w:type="page"/>
      </w:r>
    </w:p>
    <w:tbl>
      <w:tblPr>
        <w:tblW w:w="11059" w:type="dxa"/>
        <w:tblInd w:w="-885" w:type="dxa"/>
        <w:tblLayout w:type="fixed"/>
        <w:tblLook w:val="01E0" w:firstRow="1" w:lastRow="1" w:firstColumn="1" w:lastColumn="1" w:noHBand="0" w:noVBand="0"/>
      </w:tblPr>
      <w:tblGrid>
        <w:gridCol w:w="1843"/>
        <w:gridCol w:w="1276"/>
        <w:gridCol w:w="375"/>
        <w:gridCol w:w="759"/>
        <w:gridCol w:w="426"/>
        <w:gridCol w:w="708"/>
        <w:gridCol w:w="318"/>
        <w:gridCol w:w="1099"/>
        <w:gridCol w:w="285"/>
        <w:gridCol w:w="991"/>
        <w:gridCol w:w="283"/>
        <w:gridCol w:w="993"/>
        <w:gridCol w:w="282"/>
        <w:gridCol w:w="1135"/>
        <w:gridCol w:w="286"/>
      </w:tblGrid>
      <w:tr w:rsidR="006329E6" w:rsidRPr="000D756E" w14:paraId="19DD6236" w14:textId="77777777" w:rsidTr="00B556F7">
        <w:trPr>
          <w:gridAfter w:val="1"/>
          <w:wAfter w:w="286" w:type="dxa"/>
        </w:trPr>
        <w:tc>
          <w:tcPr>
            <w:tcW w:w="1843" w:type="dxa"/>
          </w:tcPr>
          <w:p w14:paraId="191DB1D3" w14:textId="77777777" w:rsidR="004A4F75" w:rsidRPr="000D756E" w:rsidRDefault="004A4F75" w:rsidP="00E40FCB">
            <w:pPr>
              <w:rPr>
                <w:rFonts w:ascii="Arial" w:hAnsi="Arial" w:cs="Arial"/>
                <w:b/>
                <w:sz w:val="23"/>
                <w:szCs w:val="23"/>
              </w:rPr>
            </w:pPr>
          </w:p>
        </w:tc>
        <w:tc>
          <w:tcPr>
            <w:tcW w:w="1276" w:type="dxa"/>
          </w:tcPr>
          <w:p w14:paraId="233BB156" w14:textId="77777777" w:rsidR="004A4F75" w:rsidRPr="000D756E" w:rsidRDefault="004A4F75" w:rsidP="00E40FCB">
            <w:pPr>
              <w:rPr>
                <w:rFonts w:ascii="Arial" w:hAnsi="Arial" w:cs="Arial"/>
                <w:b/>
                <w:sz w:val="23"/>
                <w:szCs w:val="23"/>
              </w:rPr>
            </w:pPr>
          </w:p>
        </w:tc>
        <w:tc>
          <w:tcPr>
            <w:tcW w:w="1134" w:type="dxa"/>
            <w:gridSpan w:val="2"/>
          </w:tcPr>
          <w:p w14:paraId="440F073C" w14:textId="77777777" w:rsidR="004A4F75" w:rsidRPr="000D756E" w:rsidRDefault="004A4F75" w:rsidP="00E40FCB">
            <w:pPr>
              <w:rPr>
                <w:rFonts w:ascii="Arial" w:hAnsi="Arial" w:cs="Arial"/>
                <w:b/>
                <w:sz w:val="23"/>
                <w:szCs w:val="23"/>
              </w:rPr>
            </w:pPr>
          </w:p>
        </w:tc>
        <w:tc>
          <w:tcPr>
            <w:tcW w:w="1134" w:type="dxa"/>
            <w:gridSpan w:val="2"/>
          </w:tcPr>
          <w:p w14:paraId="0F955E38" w14:textId="77777777" w:rsidR="004A4F75" w:rsidRPr="000D756E" w:rsidRDefault="004A4F75" w:rsidP="00E40FCB">
            <w:pPr>
              <w:rPr>
                <w:rFonts w:ascii="Arial" w:hAnsi="Arial" w:cs="Arial"/>
                <w:b/>
                <w:sz w:val="23"/>
                <w:szCs w:val="23"/>
              </w:rPr>
            </w:pPr>
          </w:p>
        </w:tc>
        <w:tc>
          <w:tcPr>
            <w:tcW w:w="1417" w:type="dxa"/>
            <w:gridSpan w:val="2"/>
          </w:tcPr>
          <w:p w14:paraId="704C4084" w14:textId="77777777" w:rsidR="004A4F75" w:rsidRPr="000D756E" w:rsidRDefault="004A4F75" w:rsidP="00E40FCB">
            <w:pPr>
              <w:rPr>
                <w:rFonts w:ascii="Arial" w:hAnsi="Arial" w:cs="Arial"/>
                <w:b/>
                <w:sz w:val="23"/>
                <w:szCs w:val="23"/>
              </w:rPr>
            </w:pPr>
          </w:p>
        </w:tc>
        <w:tc>
          <w:tcPr>
            <w:tcW w:w="1276" w:type="dxa"/>
            <w:gridSpan w:val="2"/>
          </w:tcPr>
          <w:p w14:paraId="3853EE4E" w14:textId="77777777" w:rsidR="004A4F75" w:rsidRPr="000D756E" w:rsidRDefault="004A4F75" w:rsidP="00E40FCB">
            <w:pPr>
              <w:rPr>
                <w:rFonts w:ascii="Arial" w:hAnsi="Arial" w:cs="Arial"/>
                <w:b/>
                <w:sz w:val="23"/>
                <w:szCs w:val="23"/>
              </w:rPr>
            </w:pPr>
          </w:p>
        </w:tc>
        <w:tc>
          <w:tcPr>
            <w:tcW w:w="1276" w:type="dxa"/>
            <w:gridSpan w:val="2"/>
          </w:tcPr>
          <w:p w14:paraId="06EA04F9" w14:textId="77777777" w:rsidR="004A4F75" w:rsidRPr="000D756E" w:rsidRDefault="004A4F75" w:rsidP="00E40FCB">
            <w:pPr>
              <w:rPr>
                <w:rFonts w:ascii="Arial" w:hAnsi="Arial" w:cs="Arial"/>
                <w:b/>
                <w:sz w:val="23"/>
                <w:szCs w:val="23"/>
              </w:rPr>
            </w:pPr>
          </w:p>
        </w:tc>
        <w:tc>
          <w:tcPr>
            <w:tcW w:w="1417" w:type="dxa"/>
            <w:gridSpan w:val="2"/>
          </w:tcPr>
          <w:p w14:paraId="5ACD87BE" w14:textId="77777777" w:rsidR="004A4F75" w:rsidRPr="000D756E" w:rsidRDefault="004A4F75" w:rsidP="00E40FCB">
            <w:pPr>
              <w:rPr>
                <w:rFonts w:ascii="Arial" w:hAnsi="Arial" w:cs="Arial"/>
                <w:b/>
                <w:sz w:val="23"/>
                <w:szCs w:val="23"/>
              </w:rPr>
            </w:pPr>
          </w:p>
        </w:tc>
      </w:tr>
      <w:tr w:rsidR="006329E6" w:rsidRPr="000D756E" w14:paraId="122EBBDD" w14:textId="77777777" w:rsidTr="001A0BC1">
        <w:tc>
          <w:tcPr>
            <w:tcW w:w="1843" w:type="dxa"/>
            <w:tcBorders>
              <w:right w:val="single" w:sz="4" w:space="0" w:color="auto"/>
            </w:tcBorders>
          </w:tcPr>
          <w:p w14:paraId="5D0D7174" w14:textId="77777777" w:rsidR="002268EC" w:rsidRPr="000D756E" w:rsidRDefault="002268EC" w:rsidP="002268EC">
            <w:pPr>
              <w:rPr>
                <w:rFonts w:ascii="Arial" w:hAnsi="Arial" w:cs="Arial"/>
                <w:sz w:val="23"/>
                <w:szCs w:val="23"/>
              </w:rPr>
            </w:pPr>
          </w:p>
        </w:tc>
        <w:tc>
          <w:tcPr>
            <w:tcW w:w="1276" w:type="dxa"/>
            <w:tcBorders>
              <w:top w:val="single" w:sz="4" w:space="0" w:color="auto"/>
              <w:left w:val="single" w:sz="4" w:space="0" w:color="auto"/>
              <w:bottom w:val="single" w:sz="4" w:space="0" w:color="auto"/>
              <w:right w:val="single" w:sz="4" w:space="0" w:color="auto"/>
            </w:tcBorders>
            <w:vAlign w:val="bottom"/>
          </w:tcPr>
          <w:p w14:paraId="64571872" w14:textId="77777777" w:rsidR="002268EC" w:rsidRPr="000D756E" w:rsidRDefault="002268EC" w:rsidP="002268EC">
            <w:pPr>
              <w:jc w:val="right"/>
              <w:rPr>
                <w:rFonts w:ascii="Arial" w:hAnsi="Arial" w:cs="Arial"/>
                <w:b/>
              </w:rPr>
            </w:pPr>
            <w:r w:rsidRPr="000D756E">
              <w:rPr>
                <w:rFonts w:ascii="Arial" w:hAnsi="Arial" w:cs="Arial"/>
                <w:b/>
              </w:rPr>
              <w:t>Non Earmarked General Fund Balance</w:t>
            </w:r>
          </w:p>
          <w:p w14:paraId="7C51B02B" w14:textId="77777777" w:rsidR="002268EC" w:rsidRPr="000D756E" w:rsidRDefault="002268EC" w:rsidP="002268EC">
            <w:pPr>
              <w:jc w:val="right"/>
              <w:rPr>
                <w:rFonts w:ascii="Arial" w:hAnsi="Arial" w:cs="Arial"/>
                <w:b/>
              </w:rPr>
            </w:pPr>
            <w:r w:rsidRPr="000D756E">
              <w:rPr>
                <w:rFonts w:ascii="Arial" w:hAnsi="Arial" w:cs="Arial"/>
                <w:b/>
              </w:rPr>
              <w:t>£’000</w:t>
            </w:r>
          </w:p>
          <w:p w14:paraId="3162A687" w14:textId="77777777" w:rsidR="002268EC" w:rsidRPr="000D756E" w:rsidRDefault="002268EC" w:rsidP="002268EC">
            <w:pPr>
              <w:jc w:val="right"/>
              <w:rPr>
                <w:rFonts w:ascii="Arial" w:hAnsi="Arial" w:cs="Arial"/>
                <w:b/>
              </w:rPr>
            </w:pPr>
          </w:p>
        </w:tc>
        <w:tc>
          <w:tcPr>
            <w:tcW w:w="1560" w:type="dxa"/>
            <w:gridSpan w:val="3"/>
            <w:tcBorders>
              <w:top w:val="single" w:sz="4" w:space="0" w:color="auto"/>
              <w:left w:val="single" w:sz="4" w:space="0" w:color="auto"/>
              <w:bottom w:val="single" w:sz="4" w:space="0" w:color="auto"/>
              <w:right w:val="single" w:sz="4" w:space="0" w:color="auto"/>
            </w:tcBorders>
            <w:vAlign w:val="bottom"/>
          </w:tcPr>
          <w:p w14:paraId="64E04AE5" w14:textId="77777777" w:rsidR="002268EC" w:rsidRPr="000D756E" w:rsidRDefault="002268EC" w:rsidP="002268EC">
            <w:pPr>
              <w:jc w:val="right"/>
              <w:rPr>
                <w:rFonts w:ascii="Arial" w:hAnsi="Arial" w:cs="Arial"/>
                <w:b/>
              </w:rPr>
            </w:pPr>
          </w:p>
          <w:p w14:paraId="0BA614FA" w14:textId="77777777" w:rsidR="002268EC" w:rsidRPr="000D756E" w:rsidRDefault="002268EC" w:rsidP="002268EC">
            <w:pPr>
              <w:jc w:val="right"/>
              <w:rPr>
                <w:rFonts w:ascii="Arial" w:hAnsi="Arial" w:cs="Arial"/>
                <w:b/>
              </w:rPr>
            </w:pPr>
            <w:r w:rsidRPr="000D756E">
              <w:rPr>
                <w:rFonts w:ascii="Arial" w:hAnsi="Arial" w:cs="Arial"/>
                <w:b/>
              </w:rPr>
              <w:t>Ear-marked General Fund Balance</w:t>
            </w:r>
          </w:p>
          <w:p w14:paraId="7D7F6FDE" w14:textId="77777777" w:rsidR="002268EC" w:rsidRPr="000D756E" w:rsidRDefault="002268EC" w:rsidP="002268EC">
            <w:pPr>
              <w:jc w:val="right"/>
              <w:rPr>
                <w:rFonts w:ascii="Arial" w:hAnsi="Arial" w:cs="Arial"/>
                <w:b/>
              </w:rPr>
            </w:pPr>
            <w:r w:rsidRPr="000D756E">
              <w:rPr>
                <w:rFonts w:ascii="Arial" w:hAnsi="Arial" w:cs="Arial"/>
                <w:b/>
              </w:rPr>
              <w:t>£’000</w:t>
            </w:r>
          </w:p>
          <w:p w14:paraId="635654AF" w14:textId="77777777" w:rsidR="002268EC" w:rsidRPr="000D756E" w:rsidRDefault="002268EC" w:rsidP="002268EC">
            <w:pPr>
              <w:jc w:val="right"/>
              <w:rPr>
                <w:rFonts w:ascii="Arial" w:hAnsi="Arial" w:cs="Arial"/>
                <w:b/>
              </w:rPr>
            </w:pPr>
          </w:p>
        </w:tc>
        <w:tc>
          <w:tcPr>
            <w:tcW w:w="1026" w:type="dxa"/>
            <w:gridSpan w:val="2"/>
            <w:tcBorders>
              <w:top w:val="single" w:sz="4" w:space="0" w:color="auto"/>
              <w:left w:val="single" w:sz="4" w:space="0" w:color="auto"/>
              <w:bottom w:val="single" w:sz="4" w:space="0" w:color="auto"/>
              <w:right w:val="single" w:sz="4" w:space="0" w:color="auto"/>
            </w:tcBorders>
          </w:tcPr>
          <w:p w14:paraId="45CAF253" w14:textId="77777777" w:rsidR="002268EC" w:rsidRPr="000D756E" w:rsidRDefault="002268EC" w:rsidP="002268EC">
            <w:pPr>
              <w:jc w:val="right"/>
              <w:rPr>
                <w:rFonts w:ascii="Arial" w:hAnsi="Arial" w:cs="Arial"/>
                <w:b/>
                <w:sz w:val="22"/>
                <w:szCs w:val="22"/>
              </w:rPr>
            </w:pPr>
          </w:p>
          <w:p w14:paraId="15BF3737" w14:textId="77777777" w:rsidR="002268EC" w:rsidRPr="000D756E" w:rsidRDefault="002268EC" w:rsidP="002268EC">
            <w:pPr>
              <w:jc w:val="right"/>
              <w:rPr>
                <w:rFonts w:ascii="Arial" w:hAnsi="Arial" w:cs="Arial"/>
                <w:b/>
                <w:sz w:val="22"/>
                <w:szCs w:val="22"/>
              </w:rPr>
            </w:pPr>
          </w:p>
          <w:p w14:paraId="63B60362" w14:textId="77777777" w:rsidR="002268EC" w:rsidRPr="000D756E" w:rsidRDefault="002268EC" w:rsidP="002268EC">
            <w:pPr>
              <w:jc w:val="right"/>
              <w:rPr>
                <w:rFonts w:ascii="Arial" w:hAnsi="Arial" w:cs="Arial"/>
                <w:b/>
                <w:sz w:val="22"/>
                <w:szCs w:val="22"/>
              </w:rPr>
            </w:pPr>
            <w:r w:rsidRPr="000D756E">
              <w:rPr>
                <w:rFonts w:ascii="Arial" w:hAnsi="Arial" w:cs="Arial"/>
                <w:b/>
                <w:sz w:val="22"/>
                <w:szCs w:val="22"/>
              </w:rPr>
              <w:t>Total General Fund Balance</w:t>
            </w:r>
          </w:p>
          <w:p w14:paraId="5018782C" w14:textId="58ACAE9A" w:rsidR="002268EC" w:rsidRPr="000D756E" w:rsidRDefault="002268EC" w:rsidP="002268EC">
            <w:pPr>
              <w:jc w:val="right"/>
              <w:rPr>
                <w:rFonts w:ascii="Arial" w:hAnsi="Arial" w:cs="Arial"/>
                <w:b/>
              </w:rPr>
            </w:pPr>
            <w:r w:rsidRPr="000D756E">
              <w:rPr>
                <w:rFonts w:ascii="Arial" w:hAnsi="Arial" w:cs="Arial"/>
                <w:b/>
                <w:sz w:val="22"/>
                <w:szCs w:val="22"/>
              </w:rPr>
              <w:t>£’000</w:t>
            </w:r>
          </w:p>
        </w:tc>
        <w:tc>
          <w:tcPr>
            <w:tcW w:w="1384" w:type="dxa"/>
            <w:gridSpan w:val="2"/>
            <w:tcBorders>
              <w:top w:val="single" w:sz="4" w:space="0" w:color="auto"/>
              <w:left w:val="single" w:sz="4" w:space="0" w:color="auto"/>
              <w:bottom w:val="single" w:sz="4" w:space="0" w:color="auto"/>
              <w:right w:val="single" w:sz="4" w:space="0" w:color="auto"/>
            </w:tcBorders>
            <w:vAlign w:val="bottom"/>
          </w:tcPr>
          <w:p w14:paraId="73B32847" w14:textId="77777777" w:rsidR="002268EC" w:rsidRPr="000D756E" w:rsidRDefault="002268EC" w:rsidP="002268EC">
            <w:pPr>
              <w:jc w:val="right"/>
              <w:rPr>
                <w:rFonts w:ascii="Arial" w:hAnsi="Arial" w:cs="Arial"/>
                <w:b/>
                <w:sz w:val="22"/>
                <w:szCs w:val="22"/>
              </w:rPr>
            </w:pPr>
            <w:r w:rsidRPr="000D756E">
              <w:rPr>
                <w:rFonts w:ascii="Arial" w:hAnsi="Arial" w:cs="Arial"/>
                <w:b/>
                <w:sz w:val="22"/>
                <w:szCs w:val="22"/>
              </w:rPr>
              <w:t>Capital Grants Unapplied Account</w:t>
            </w:r>
          </w:p>
          <w:p w14:paraId="3B1D1FEF" w14:textId="77777777" w:rsidR="002268EC" w:rsidRPr="000D756E" w:rsidRDefault="002268EC" w:rsidP="002268EC">
            <w:pPr>
              <w:jc w:val="right"/>
              <w:rPr>
                <w:rFonts w:ascii="Arial" w:hAnsi="Arial" w:cs="Arial"/>
                <w:b/>
                <w:sz w:val="22"/>
                <w:szCs w:val="22"/>
              </w:rPr>
            </w:pPr>
            <w:r w:rsidRPr="000D756E">
              <w:rPr>
                <w:rFonts w:ascii="Arial" w:hAnsi="Arial" w:cs="Arial"/>
                <w:b/>
                <w:sz w:val="22"/>
                <w:szCs w:val="22"/>
              </w:rPr>
              <w:t>£’000</w:t>
            </w:r>
          </w:p>
          <w:p w14:paraId="3E2F1D2B" w14:textId="77777777" w:rsidR="002268EC" w:rsidRPr="000D756E" w:rsidRDefault="002268EC" w:rsidP="002268EC">
            <w:pPr>
              <w:jc w:val="right"/>
              <w:rPr>
                <w:rFonts w:ascii="Arial" w:hAnsi="Arial" w:cs="Arial"/>
                <w:b/>
                <w:sz w:val="22"/>
                <w:szCs w:val="22"/>
              </w:rPr>
            </w:pP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675EDC47" w14:textId="77777777" w:rsidR="002268EC" w:rsidRPr="000D756E" w:rsidRDefault="002268EC" w:rsidP="002268EC">
            <w:pPr>
              <w:jc w:val="right"/>
              <w:rPr>
                <w:rFonts w:ascii="Arial" w:hAnsi="Arial" w:cs="Arial"/>
                <w:b/>
                <w:sz w:val="22"/>
                <w:szCs w:val="22"/>
              </w:rPr>
            </w:pPr>
            <w:r w:rsidRPr="000D756E">
              <w:rPr>
                <w:rFonts w:ascii="Arial" w:hAnsi="Arial" w:cs="Arial"/>
                <w:b/>
                <w:sz w:val="22"/>
                <w:szCs w:val="22"/>
              </w:rPr>
              <w:t>Total Usable Reserves</w:t>
            </w:r>
          </w:p>
          <w:p w14:paraId="3D35826F" w14:textId="77777777" w:rsidR="002268EC" w:rsidRPr="000D756E" w:rsidRDefault="002268EC" w:rsidP="002268EC">
            <w:pPr>
              <w:jc w:val="right"/>
              <w:rPr>
                <w:rFonts w:ascii="Arial" w:hAnsi="Arial" w:cs="Arial"/>
                <w:b/>
                <w:sz w:val="22"/>
                <w:szCs w:val="22"/>
              </w:rPr>
            </w:pPr>
            <w:r w:rsidRPr="000D756E">
              <w:rPr>
                <w:rFonts w:ascii="Arial" w:hAnsi="Arial" w:cs="Arial"/>
                <w:b/>
                <w:sz w:val="22"/>
                <w:szCs w:val="22"/>
              </w:rPr>
              <w:t>£’000</w:t>
            </w:r>
          </w:p>
          <w:p w14:paraId="68AABB96" w14:textId="77777777" w:rsidR="002268EC" w:rsidRPr="000D756E" w:rsidRDefault="002268EC" w:rsidP="002268EC">
            <w:pPr>
              <w:jc w:val="right"/>
              <w:rPr>
                <w:rFonts w:ascii="Arial" w:hAnsi="Arial" w:cs="Arial"/>
                <w:b/>
                <w:sz w:val="22"/>
                <w:szCs w:val="22"/>
              </w:rPr>
            </w:pP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48D9B2B7" w14:textId="77777777" w:rsidR="002268EC" w:rsidRPr="000D756E" w:rsidRDefault="002268EC" w:rsidP="002268EC">
            <w:pPr>
              <w:jc w:val="right"/>
              <w:rPr>
                <w:rFonts w:ascii="Arial" w:hAnsi="Arial" w:cs="Arial"/>
                <w:b/>
                <w:sz w:val="22"/>
                <w:szCs w:val="22"/>
              </w:rPr>
            </w:pPr>
          </w:p>
          <w:p w14:paraId="62AA00E0" w14:textId="77777777" w:rsidR="002268EC" w:rsidRPr="000D756E" w:rsidRDefault="002268EC" w:rsidP="002268EC">
            <w:pPr>
              <w:jc w:val="right"/>
              <w:rPr>
                <w:rFonts w:ascii="Arial" w:hAnsi="Arial" w:cs="Arial"/>
                <w:b/>
                <w:sz w:val="22"/>
                <w:szCs w:val="22"/>
              </w:rPr>
            </w:pPr>
            <w:r w:rsidRPr="000D756E">
              <w:rPr>
                <w:rFonts w:ascii="Arial" w:hAnsi="Arial" w:cs="Arial"/>
                <w:b/>
                <w:sz w:val="22"/>
                <w:szCs w:val="22"/>
              </w:rPr>
              <w:t>Unusable Reserves</w:t>
            </w:r>
          </w:p>
          <w:p w14:paraId="2EF08EE2" w14:textId="77777777" w:rsidR="002268EC" w:rsidRPr="000D756E" w:rsidRDefault="002268EC" w:rsidP="002268EC">
            <w:pPr>
              <w:jc w:val="right"/>
              <w:rPr>
                <w:rFonts w:ascii="Arial" w:hAnsi="Arial" w:cs="Arial"/>
                <w:b/>
                <w:sz w:val="22"/>
                <w:szCs w:val="22"/>
              </w:rPr>
            </w:pPr>
            <w:r w:rsidRPr="000D756E">
              <w:rPr>
                <w:rFonts w:ascii="Arial" w:hAnsi="Arial" w:cs="Arial"/>
                <w:b/>
                <w:sz w:val="22"/>
                <w:szCs w:val="22"/>
              </w:rPr>
              <w:t>£’000</w:t>
            </w:r>
          </w:p>
          <w:p w14:paraId="26D93D5F" w14:textId="77777777" w:rsidR="002268EC" w:rsidRPr="000D756E" w:rsidRDefault="002268EC" w:rsidP="002268EC">
            <w:pPr>
              <w:jc w:val="right"/>
              <w:rPr>
                <w:rFonts w:ascii="Arial" w:hAnsi="Arial" w:cs="Arial"/>
                <w:b/>
                <w:sz w:val="22"/>
                <w:szCs w:val="22"/>
              </w:rPr>
            </w:pPr>
          </w:p>
        </w:tc>
        <w:tc>
          <w:tcPr>
            <w:tcW w:w="1421" w:type="dxa"/>
            <w:gridSpan w:val="2"/>
            <w:tcBorders>
              <w:top w:val="single" w:sz="4" w:space="0" w:color="auto"/>
              <w:left w:val="single" w:sz="4" w:space="0" w:color="auto"/>
              <w:bottom w:val="single" w:sz="4" w:space="0" w:color="auto"/>
              <w:right w:val="single" w:sz="4" w:space="0" w:color="auto"/>
            </w:tcBorders>
            <w:vAlign w:val="bottom"/>
          </w:tcPr>
          <w:p w14:paraId="5DA63117" w14:textId="77777777" w:rsidR="002268EC" w:rsidRPr="000D756E" w:rsidRDefault="002268EC" w:rsidP="002268EC">
            <w:pPr>
              <w:jc w:val="right"/>
              <w:rPr>
                <w:rFonts w:ascii="Arial" w:hAnsi="Arial" w:cs="Arial"/>
                <w:b/>
                <w:sz w:val="22"/>
                <w:szCs w:val="22"/>
              </w:rPr>
            </w:pPr>
            <w:r w:rsidRPr="000D756E">
              <w:rPr>
                <w:rFonts w:ascii="Arial" w:hAnsi="Arial" w:cs="Arial"/>
                <w:b/>
                <w:sz w:val="22"/>
                <w:szCs w:val="22"/>
              </w:rPr>
              <w:t>Total Authority Reserves</w:t>
            </w:r>
          </w:p>
          <w:p w14:paraId="4BB63A03" w14:textId="77777777" w:rsidR="002268EC" w:rsidRPr="000D756E" w:rsidRDefault="002268EC" w:rsidP="002268EC">
            <w:pPr>
              <w:jc w:val="right"/>
              <w:rPr>
                <w:rFonts w:ascii="Arial" w:hAnsi="Arial" w:cs="Arial"/>
                <w:b/>
                <w:sz w:val="22"/>
                <w:szCs w:val="22"/>
              </w:rPr>
            </w:pPr>
            <w:r w:rsidRPr="000D756E">
              <w:rPr>
                <w:rFonts w:ascii="Arial" w:hAnsi="Arial" w:cs="Arial"/>
                <w:b/>
                <w:sz w:val="22"/>
                <w:szCs w:val="22"/>
              </w:rPr>
              <w:t>£’000</w:t>
            </w:r>
          </w:p>
          <w:p w14:paraId="563A35CC" w14:textId="77777777" w:rsidR="002268EC" w:rsidRPr="000D756E" w:rsidRDefault="002268EC" w:rsidP="002268EC">
            <w:pPr>
              <w:jc w:val="right"/>
              <w:rPr>
                <w:rFonts w:ascii="Arial" w:hAnsi="Arial" w:cs="Arial"/>
                <w:b/>
                <w:sz w:val="22"/>
                <w:szCs w:val="22"/>
              </w:rPr>
            </w:pPr>
          </w:p>
        </w:tc>
      </w:tr>
      <w:tr w:rsidR="00C17633" w:rsidRPr="000D756E" w14:paraId="70456124" w14:textId="77777777" w:rsidTr="007E1332">
        <w:tc>
          <w:tcPr>
            <w:tcW w:w="1843" w:type="dxa"/>
            <w:tcBorders>
              <w:right w:val="single" w:sz="4" w:space="0" w:color="auto"/>
            </w:tcBorders>
          </w:tcPr>
          <w:p w14:paraId="25E9BE37" w14:textId="5E678814" w:rsidR="00C17633" w:rsidRPr="000D756E" w:rsidRDefault="00C17633" w:rsidP="00C17633">
            <w:pPr>
              <w:rPr>
                <w:rFonts w:ascii="Arial" w:hAnsi="Arial" w:cs="Arial"/>
                <w:b/>
                <w:sz w:val="22"/>
                <w:szCs w:val="22"/>
              </w:rPr>
            </w:pPr>
            <w:r w:rsidRPr="000D756E">
              <w:rPr>
                <w:rFonts w:ascii="Arial" w:hAnsi="Arial" w:cs="Arial"/>
                <w:b/>
                <w:sz w:val="22"/>
                <w:szCs w:val="22"/>
              </w:rPr>
              <w:t>Balance at 31 March 202</w:t>
            </w:r>
            <w:r w:rsidR="00C934F4">
              <w:rPr>
                <w:rFonts w:ascii="Arial" w:hAnsi="Arial" w:cs="Arial"/>
                <w:b/>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5448C85D" w14:textId="77777777" w:rsidR="00C17633" w:rsidRPr="000D756E" w:rsidRDefault="00C17633" w:rsidP="007E1332">
            <w:pPr>
              <w:jc w:val="right"/>
              <w:rPr>
                <w:rFonts w:ascii="Arial" w:hAnsi="Arial" w:cs="Arial"/>
                <w:b/>
                <w:sz w:val="23"/>
                <w:szCs w:val="23"/>
              </w:rPr>
            </w:pPr>
          </w:p>
          <w:p w14:paraId="28CFCCB3" w14:textId="073B6E7B" w:rsidR="00C17633" w:rsidRPr="000D756E" w:rsidRDefault="00C17633" w:rsidP="007E1332">
            <w:pPr>
              <w:jc w:val="right"/>
              <w:rPr>
                <w:rFonts w:ascii="Arial" w:hAnsi="Arial" w:cs="Arial"/>
                <w:b/>
                <w:sz w:val="23"/>
                <w:szCs w:val="23"/>
              </w:rPr>
            </w:pPr>
            <w:r w:rsidRPr="000D756E">
              <w:rPr>
                <w:rFonts w:ascii="Arial" w:hAnsi="Arial" w:cs="Arial"/>
                <w:b/>
                <w:sz w:val="23"/>
                <w:szCs w:val="23"/>
              </w:rPr>
              <w:t>1,723</w:t>
            </w:r>
          </w:p>
        </w:tc>
        <w:tc>
          <w:tcPr>
            <w:tcW w:w="1560" w:type="dxa"/>
            <w:gridSpan w:val="3"/>
            <w:tcBorders>
              <w:top w:val="single" w:sz="4" w:space="0" w:color="auto"/>
              <w:left w:val="single" w:sz="4" w:space="0" w:color="auto"/>
              <w:bottom w:val="single" w:sz="4" w:space="0" w:color="auto"/>
              <w:right w:val="single" w:sz="4" w:space="0" w:color="auto"/>
            </w:tcBorders>
          </w:tcPr>
          <w:p w14:paraId="35368418" w14:textId="77777777" w:rsidR="00C17633" w:rsidRPr="000D756E" w:rsidRDefault="00C17633" w:rsidP="007E1332">
            <w:pPr>
              <w:jc w:val="right"/>
              <w:rPr>
                <w:rFonts w:ascii="Arial" w:hAnsi="Arial" w:cs="Arial"/>
                <w:b/>
                <w:sz w:val="23"/>
                <w:szCs w:val="23"/>
              </w:rPr>
            </w:pPr>
          </w:p>
          <w:p w14:paraId="013C885B" w14:textId="07764B36" w:rsidR="00C17633" w:rsidRPr="000D756E" w:rsidRDefault="00C17633" w:rsidP="007E1332">
            <w:pPr>
              <w:jc w:val="right"/>
              <w:rPr>
                <w:rFonts w:ascii="Arial" w:hAnsi="Arial" w:cs="Arial"/>
                <w:b/>
                <w:sz w:val="23"/>
                <w:szCs w:val="23"/>
              </w:rPr>
            </w:pPr>
            <w:r w:rsidRPr="000D756E">
              <w:rPr>
                <w:rFonts w:ascii="Arial" w:hAnsi="Arial" w:cs="Arial"/>
                <w:b/>
                <w:sz w:val="23"/>
                <w:szCs w:val="23"/>
              </w:rPr>
              <w:t>11,095</w:t>
            </w:r>
          </w:p>
        </w:tc>
        <w:tc>
          <w:tcPr>
            <w:tcW w:w="1026" w:type="dxa"/>
            <w:gridSpan w:val="2"/>
            <w:tcBorders>
              <w:top w:val="single" w:sz="4" w:space="0" w:color="auto"/>
              <w:left w:val="single" w:sz="4" w:space="0" w:color="auto"/>
              <w:bottom w:val="single" w:sz="4" w:space="0" w:color="auto"/>
              <w:right w:val="single" w:sz="4" w:space="0" w:color="auto"/>
            </w:tcBorders>
          </w:tcPr>
          <w:p w14:paraId="30CEAC0F" w14:textId="77777777" w:rsidR="00C17633" w:rsidRPr="000D756E" w:rsidRDefault="00C17633" w:rsidP="007E1332">
            <w:pPr>
              <w:jc w:val="right"/>
              <w:rPr>
                <w:rFonts w:ascii="Arial" w:hAnsi="Arial" w:cs="Arial"/>
                <w:b/>
                <w:sz w:val="23"/>
                <w:szCs w:val="23"/>
              </w:rPr>
            </w:pPr>
          </w:p>
          <w:p w14:paraId="7CD2C609" w14:textId="03AB9A63" w:rsidR="00C17633" w:rsidRPr="000D756E" w:rsidRDefault="00C17633" w:rsidP="007E1332">
            <w:pPr>
              <w:jc w:val="right"/>
              <w:rPr>
                <w:rFonts w:ascii="Arial" w:hAnsi="Arial" w:cs="Arial"/>
                <w:b/>
                <w:sz w:val="23"/>
                <w:szCs w:val="23"/>
              </w:rPr>
            </w:pPr>
            <w:r w:rsidRPr="000D756E">
              <w:rPr>
                <w:rFonts w:ascii="Arial" w:hAnsi="Arial" w:cs="Arial"/>
                <w:b/>
                <w:sz w:val="23"/>
                <w:szCs w:val="23"/>
              </w:rPr>
              <w:t>12,818</w:t>
            </w:r>
          </w:p>
        </w:tc>
        <w:tc>
          <w:tcPr>
            <w:tcW w:w="1384" w:type="dxa"/>
            <w:gridSpan w:val="2"/>
            <w:tcBorders>
              <w:top w:val="single" w:sz="4" w:space="0" w:color="auto"/>
              <w:left w:val="single" w:sz="4" w:space="0" w:color="auto"/>
              <w:bottom w:val="single" w:sz="4" w:space="0" w:color="auto"/>
              <w:right w:val="single" w:sz="4" w:space="0" w:color="auto"/>
            </w:tcBorders>
          </w:tcPr>
          <w:p w14:paraId="03AE868B" w14:textId="77777777" w:rsidR="00C17633" w:rsidRPr="000D756E" w:rsidRDefault="00C17633" w:rsidP="007E1332">
            <w:pPr>
              <w:jc w:val="right"/>
              <w:rPr>
                <w:rFonts w:ascii="Arial" w:hAnsi="Arial" w:cs="Arial"/>
                <w:b/>
                <w:sz w:val="23"/>
                <w:szCs w:val="23"/>
              </w:rPr>
            </w:pPr>
          </w:p>
          <w:p w14:paraId="66DF3E1E" w14:textId="596C43D5" w:rsidR="00C17633" w:rsidRPr="000D756E" w:rsidRDefault="00C17633" w:rsidP="007E1332">
            <w:pPr>
              <w:jc w:val="right"/>
              <w:rPr>
                <w:rFonts w:ascii="Arial" w:hAnsi="Arial" w:cs="Arial"/>
                <w:b/>
                <w:sz w:val="23"/>
                <w:szCs w:val="23"/>
              </w:rPr>
            </w:pPr>
            <w:r w:rsidRPr="000D756E">
              <w:rPr>
                <w:rFonts w:ascii="Arial" w:hAnsi="Arial" w:cs="Arial"/>
                <w:b/>
                <w:sz w:val="23"/>
                <w:szCs w:val="23"/>
              </w:rPr>
              <w:t>0</w:t>
            </w:r>
          </w:p>
        </w:tc>
        <w:tc>
          <w:tcPr>
            <w:tcW w:w="1274" w:type="dxa"/>
            <w:gridSpan w:val="2"/>
            <w:tcBorders>
              <w:top w:val="single" w:sz="4" w:space="0" w:color="auto"/>
              <w:left w:val="single" w:sz="4" w:space="0" w:color="auto"/>
              <w:bottom w:val="single" w:sz="4" w:space="0" w:color="auto"/>
              <w:right w:val="single" w:sz="4" w:space="0" w:color="auto"/>
            </w:tcBorders>
          </w:tcPr>
          <w:p w14:paraId="424D4827" w14:textId="77777777" w:rsidR="00C17633" w:rsidRPr="000D756E" w:rsidRDefault="00C17633" w:rsidP="007E1332">
            <w:pPr>
              <w:jc w:val="right"/>
              <w:rPr>
                <w:rFonts w:ascii="Arial" w:hAnsi="Arial" w:cs="Arial"/>
                <w:b/>
                <w:sz w:val="23"/>
                <w:szCs w:val="23"/>
              </w:rPr>
            </w:pPr>
          </w:p>
          <w:p w14:paraId="60D7EDAD" w14:textId="29D5C6FA" w:rsidR="00C17633" w:rsidRPr="000D756E" w:rsidRDefault="00C17633" w:rsidP="007E1332">
            <w:pPr>
              <w:jc w:val="right"/>
              <w:rPr>
                <w:rFonts w:ascii="Arial" w:hAnsi="Arial" w:cs="Arial"/>
                <w:b/>
                <w:sz w:val="23"/>
                <w:szCs w:val="23"/>
              </w:rPr>
            </w:pPr>
            <w:r w:rsidRPr="000D756E">
              <w:rPr>
                <w:rFonts w:ascii="Arial" w:hAnsi="Arial" w:cs="Arial"/>
                <w:b/>
                <w:sz w:val="23"/>
                <w:szCs w:val="23"/>
              </w:rPr>
              <w:t>12,818</w:t>
            </w:r>
          </w:p>
        </w:tc>
        <w:tc>
          <w:tcPr>
            <w:tcW w:w="1275" w:type="dxa"/>
            <w:gridSpan w:val="2"/>
            <w:tcBorders>
              <w:top w:val="single" w:sz="4" w:space="0" w:color="auto"/>
              <w:left w:val="single" w:sz="4" w:space="0" w:color="auto"/>
              <w:bottom w:val="single" w:sz="4" w:space="0" w:color="auto"/>
              <w:right w:val="single" w:sz="4" w:space="0" w:color="auto"/>
            </w:tcBorders>
          </w:tcPr>
          <w:p w14:paraId="58512237" w14:textId="77777777" w:rsidR="00C17633" w:rsidRPr="000D756E" w:rsidRDefault="00C17633" w:rsidP="007E1332">
            <w:pPr>
              <w:jc w:val="right"/>
              <w:rPr>
                <w:rFonts w:ascii="Arial" w:hAnsi="Arial" w:cs="Arial"/>
                <w:b/>
                <w:sz w:val="23"/>
                <w:szCs w:val="23"/>
              </w:rPr>
            </w:pPr>
          </w:p>
          <w:p w14:paraId="3B9A7A23" w14:textId="77777777" w:rsidR="00C17633" w:rsidRPr="000D756E" w:rsidRDefault="00C17633" w:rsidP="007E1332">
            <w:pPr>
              <w:jc w:val="right"/>
              <w:rPr>
                <w:rFonts w:ascii="Arial" w:hAnsi="Arial" w:cs="Arial"/>
                <w:b/>
                <w:sz w:val="23"/>
                <w:szCs w:val="23"/>
              </w:rPr>
            </w:pPr>
            <w:r w:rsidRPr="000D756E">
              <w:rPr>
                <w:rFonts w:ascii="Arial" w:hAnsi="Arial" w:cs="Arial"/>
                <w:b/>
                <w:sz w:val="23"/>
                <w:szCs w:val="23"/>
              </w:rPr>
              <w:t>-157,808</w:t>
            </w:r>
          </w:p>
          <w:p w14:paraId="03A12C65" w14:textId="093F3140" w:rsidR="00C17633" w:rsidRPr="000D756E" w:rsidRDefault="00C17633" w:rsidP="007E1332">
            <w:pPr>
              <w:jc w:val="right"/>
              <w:rPr>
                <w:rFonts w:ascii="Arial" w:hAnsi="Arial" w:cs="Arial"/>
                <w:b/>
                <w:sz w:val="23"/>
                <w:szCs w:val="23"/>
              </w:rPr>
            </w:pPr>
          </w:p>
        </w:tc>
        <w:tc>
          <w:tcPr>
            <w:tcW w:w="1421" w:type="dxa"/>
            <w:gridSpan w:val="2"/>
            <w:tcBorders>
              <w:top w:val="single" w:sz="4" w:space="0" w:color="auto"/>
              <w:left w:val="single" w:sz="4" w:space="0" w:color="auto"/>
              <w:bottom w:val="single" w:sz="4" w:space="0" w:color="auto"/>
              <w:right w:val="single" w:sz="4" w:space="0" w:color="auto"/>
            </w:tcBorders>
          </w:tcPr>
          <w:p w14:paraId="7E55DE9E" w14:textId="77777777" w:rsidR="00C17633" w:rsidRPr="000D756E" w:rsidRDefault="00C17633" w:rsidP="007E1332">
            <w:pPr>
              <w:jc w:val="right"/>
              <w:rPr>
                <w:rFonts w:ascii="Arial" w:hAnsi="Arial" w:cs="Arial"/>
                <w:b/>
                <w:sz w:val="23"/>
                <w:szCs w:val="23"/>
              </w:rPr>
            </w:pPr>
          </w:p>
          <w:p w14:paraId="3E918919" w14:textId="3F4A4B36" w:rsidR="00C17633" w:rsidRPr="000D756E" w:rsidRDefault="00C17633" w:rsidP="007E1332">
            <w:pPr>
              <w:jc w:val="right"/>
              <w:rPr>
                <w:rFonts w:ascii="Arial" w:hAnsi="Arial" w:cs="Arial"/>
                <w:b/>
                <w:sz w:val="23"/>
                <w:szCs w:val="23"/>
              </w:rPr>
            </w:pPr>
            <w:r w:rsidRPr="000D756E">
              <w:rPr>
                <w:rFonts w:ascii="Arial" w:hAnsi="Arial" w:cs="Arial"/>
                <w:b/>
                <w:sz w:val="23"/>
                <w:szCs w:val="23"/>
              </w:rPr>
              <w:t>-144,990</w:t>
            </w:r>
          </w:p>
        </w:tc>
      </w:tr>
      <w:tr w:rsidR="00C17633" w:rsidRPr="000D756E" w14:paraId="5641CBE7" w14:textId="77777777" w:rsidTr="001A0BC1">
        <w:tc>
          <w:tcPr>
            <w:tcW w:w="1843" w:type="dxa"/>
            <w:tcBorders>
              <w:right w:val="single" w:sz="4" w:space="0" w:color="auto"/>
            </w:tcBorders>
          </w:tcPr>
          <w:p w14:paraId="02688270" w14:textId="77777777" w:rsidR="00C17633" w:rsidRPr="000D756E" w:rsidRDefault="00C17633" w:rsidP="00C17633">
            <w:pPr>
              <w:rPr>
                <w:rFonts w:ascii="Arial" w:hAnsi="Arial" w:cs="Arial"/>
                <w:b/>
                <w:sz w:val="22"/>
                <w:szCs w:val="22"/>
              </w:rPr>
            </w:pPr>
          </w:p>
          <w:p w14:paraId="7E60BA5B" w14:textId="3E5DB66C" w:rsidR="00C17633" w:rsidRPr="000D756E" w:rsidRDefault="00C17633" w:rsidP="00C17633">
            <w:pPr>
              <w:rPr>
                <w:rFonts w:ascii="Arial" w:hAnsi="Arial" w:cs="Arial"/>
                <w:b/>
                <w:sz w:val="22"/>
                <w:szCs w:val="22"/>
              </w:rPr>
            </w:pPr>
            <w:r w:rsidRPr="000D756E">
              <w:rPr>
                <w:rFonts w:ascii="Arial" w:hAnsi="Arial" w:cs="Arial"/>
                <w:b/>
                <w:sz w:val="22"/>
                <w:szCs w:val="22"/>
              </w:rPr>
              <w:t>Movement in reserves during 202</w:t>
            </w:r>
            <w:r w:rsidR="00C934F4">
              <w:rPr>
                <w:rFonts w:ascii="Arial" w:hAnsi="Arial" w:cs="Arial"/>
                <w:b/>
                <w:sz w:val="22"/>
                <w:szCs w:val="22"/>
              </w:rPr>
              <w:t>3/24</w:t>
            </w:r>
          </w:p>
          <w:p w14:paraId="5FDA33B0" w14:textId="77777777" w:rsidR="00C17633" w:rsidRPr="000D756E" w:rsidRDefault="00C17633" w:rsidP="00C17633">
            <w:pPr>
              <w:rPr>
                <w:rFonts w:ascii="Arial" w:hAnsi="Arial" w:cs="Arial"/>
                <w:sz w:val="22"/>
                <w:szCs w:val="22"/>
              </w:rPr>
            </w:pPr>
          </w:p>
          <w:p w14:paraId="50FDD6CE" w14:textId="77777777" w:rsidR="00C17633" w:rsidRPr="000D756E" w:rsidRDefault="00C17633" w:rsidP="00C17633">
            <w:pPr>
              <w:rPr>
                <w:rFonts w:ascii="Arial" w:hAnsi="Arial" w:cs="Arial"/>
                <w:sz w:val="22"/>
                <w:szCs w:val="22"/>
              </w:rPr>
            </w:pPr>
            <w:r w:rsidRPr="000D756E">
              <w:rPr>
                <w:rFonts w:ascii="Arial" w:hAnsi="Arial" w:cs="Arial"/>
                <w:sz w:val="22"/>
                <w:szCs w:val="22"/>
              </w:rPr>
              <w:t xml:space="preserve">Total Comprehensive Income and Expenditure </w:t>
            </w:r>
          </w:p>
          <w:p w14:paraId="35267DF2" w14:textId="77777777" w:rsidR="00C17633" w:rsidRPr="000D756E" w:rsidRDefault="00C17633" w:rsidP="00C17633">
            <w:pPr>
              <w:rPr>
                <w:rFonts w:ascii="Arial" w:hAnsi="Arial" w:cs="Arial"/>
                <w:sz w:val="22"/>
                <w:szCs w:val="22"/>
              </w:rPr>
            </w:pPr>
          </w:p>
          <w:p w14:paraId="0DA2124E" w14:textId="20BA6FFA" w:rsidR="00C17633" w:rsidRPr="000D756E" w:rsidRDefault="00C17633" w:rsidP="00C17633">
            <w:pPr>
              <w:rPr>
                <w:rFonts w:ascii="Arial" w:hAnsi="Arial" w:cs="Arial"/>
                <w:sz w:val="22"/>
                <w:szCs w:val="22"/>
              </w:rPr>
            </w:pPr>
            <w:r w:rsidRPr="000D756E">
              <w:rPr>
                <w:rFonts w:ascii="Arial" w:hAnsi="Arial" w:cs="Arial"/>
                <w:sz w:val="22"/>
                <w:szCs w:val="22"/>
              </w:rPr>
              <w:t>Adjustments between accounting basis &amp; funding basis under regulations (note 4)</w:t>
            </w:r>
          </w:p>
        </w:tc>
        <w:tc>
          <w:tcPr>
            <w:tcW w:w="1276" w:type="dxa"/>
            <w:tcBorders>
              <w:top w:val="single" w:sz="4" w:space="0" w:color="auto"/>
              <w:left w:val="single" w:sz="4" w:space="0" w:color="auto"/>
              <w:bottom w:val="single" w:sz="4" w:space="0" w:color="auto"/>
              <w:right w:val="single" w:sz="4" w:space="0" w:color="auto"/>
            </w:tcBorders>
          </w:tcPr>
          <w:p w14:paraId="0A036EE8" w14:textId="77777777" w:rsidR="00C17633" w:rsidRPr="000D756E" w:rsidRDefault="00C17633" w:rsidP="00C17633">
            <w:pPr>
              <w:jc w:val="right"/>
              <w:rPr>
                <w:rFonts w:ascii="Arial" w:hAnsi="Arial" w:cs="Arial"/>
                <w:sz w:val="23"/>
                <w:szCs w:val="23"/>
              </w:rPr>
            </w:pPr>
          </w:p>
          <w:p w14:paraId="40C280CA" w14:textId="77777777" w:rsidR="00C17633" w:rsidRPr="000D756E" w:rsidRDefault="00C17633" w:rsidP="00C17633">
            <w:pPr>
              <w:jc w:val="right"/>
              <w:rPr>
                <w:rFonts w:ascii="Arial" w:hAnsi="Arial" w:cs="Arial"/>
                <w:sz w:val="23"/>
                <w:szCs w:val="23"/>
              </w:rPr>
            </w:pPr>
          </w:p>
          <w:p w14:paraId="00D39C4E" w14:textId="77777777" w:rsidR="00C17633" w:rsidRPr="000D756E" w:rsidRDefault="00C17633" w:rsidP="00C17633">
            <w:pPr>
              <w:jc w:val="right"/>
              <w:rPr>
                <w:rFonts w:ascii="Arial" w:hAnsi="Arial" w:cs="Arial"/>
                <w:sz w:val="23"/>
                <w:szCs w:val="23"/>
              </w:rPr>
            </w:pPr>
          </w:p>
          <w:p w14:paraId="5120046C" w14:textId="77777777" w:rsidR="00C17633" w:rsidRPr="000D756E" w:rsidRDefault="00C17633" w:rsidP="00C17633">
            <w:pPr>
              <w:jc w:val="right"/>
              <w:rPr>
                <w:rFonts w:ascii="Arial" w:hAnsi="Arial" w:cs="Arial"/>
                <w:sz w:val="23"/>
                <w:szCs w:val="23"/>
              </w:rPr>
            </w:pPr>
          </w:p>
          <w:p w14:paraId="545683E4" w14:textId="77777777" w:rsidR="00C17633" w:rsidRPr="000D756E" w:rsidRDefault="00C17633" w:rsidP="00C17633">
            <w:pPr>
              <w:jc w:val="right"/>
              <w:rPr>
                <w:rFonts w:ascii="Arial" w:hAnsi="Arial" w:cs="Arial"/>
                <w:sz w:val="23"/>
                <w:szCs w:val="23"/>
              </w:rPr>
            </w:pPr>
          </w:p>
          <w:p w14:paraId="160EB346" w14:textId="77777777" w:rsidR="00C17633" w:rsidRPr="000D756E" w:rsidRDefault="00C17633" w:rsidP="00C17633">
            <w:pPr>
              <w:jc w:val="right"/>
              <w:rPr>
                <w:rFonts w:ascii="Arial" w:hAnsi="Arial" w:cs="Arial"/>
                <w:sz w:val="23"/>
                <w:szCs w:val="23"/>
              </w:rPr>
            </w:pPr>
          </w:p>
          <w:p w14:paraId="4D00380E" w14:textId="77777777" w:rsidR="00C17633" w:rsidRPr="000D756E" w:rsidRDefault="00C17633" w:rsidP="00C17633">
            <w:pPr>
              <w:jc w:val="right"/>
              <w:rPr>
                <w:rFonts w:ascii="Arial" w:hAnsi="Arial" w:cs="Arial"/>
                <w:sz w:val="23"/>
                <w:szCs w:val="23"/>
              </w:rPr>
            </w:pPr>
            <w:r w:rsidRPr="000D756E">
              <w:rPr>
                <w:rFonts w:ascii="Arial" w:hAnsi="Arial" w:cs="Arial"/>
                <w:sz w:val="23"/>
                <w:szCs w:val="23"/>
              </w:rPr>
              <w:t>-10,681</w:t>
            </w:r>
          </w:p>
          <w:p w14:paraId="1C7350B2" w14:textId="77777777" w:rsidR="00C17633" w:rsidRPr="000D756E" w:rsidRDefault="00C17633" w:rsidP="00C17633">
            <w:pPr>
              <w:jc w:val="right"/>
              <w:rPr>
                <w:rFonts w:ascii="Arial" w:hAnsi="Arial" w:cs="Arial"/>
                <w:sz w:val="23"/>
                <w:szCs w:val="23"/>
              </w:rPr>
            </w:pPr>
          </w:p>
          <w:p w14:paraId="0EEB8DD1" w14:textId="77777777" w:rsidR="00C17633" w:rsidRPr="000D756E" w:rsidRDefault="00C17633" w:rsidP="00C17633">
            <w:pPr>
              <w:jc w:val="right"/>
              <w:rPr>
                <w:rFonts w:ascii="Arial" w:hAnsi="Arial" w:cs="Arial"/>
                <w:sz w:val="23"/>
                <w:szCs w:val="23"/>
              </w:rPr>
            </w:pPr>
          </w:p>
          <w:p w14:paraId="7DAC3389" w14:textId="77777777" w:rsidR="00C17633" w:rsidRPr="000D756E" w:rsidRDefault="00C17633" w:rsidP="00C17633">
            <w:pPr>
              <w:jc w:val="right"/>
              <w:rPr>
                <w:rFonts w:ascii="Arial" w:hAnsi="Arial" w:cs="Arial"/>
                <w:sz w:val="23"/>
                <w:szCs w:val="23"/>
              </w:rPr>
            </w:pPr>
          </w:p>
          <w:p w14:paraId="5241F9D7" w14:textId="77777777" w:rsidR="00C17633" w:rsidRPr="000D756E" w:rsidRDefault="00C17633" w:rsidP="00C17633">
            <w:pPr>
              <w:jc w:val="right"/>
              <w:rPr>
                <w:rFonts w:ascii="Arial" w:hAnsi="Arial" w:cs="Arial"/>
                <w:sz w:val="23"/>
                <w:szCs w:val="23"/>
              </w:rPr>
            </w:pPr>
          </w:p>
          <w:p w14:paraId="032BEA71" w14:textId="481A9CAC" w:rsidR="00C17633" w:rsidRPr="000D756E" w:rsidRDefault="00C17633" w:rsidP="00C17633">
            <w:pPr>
              <w:jc w:val="right"/>
              <w:rPr>
                <w:rFonts w:ascii="Arial" w:hAnsi="Arial" w:cs="Arial"/>
                <w:sz w:val="23"/>
                <w:szCs w:val="23"/>
              </w:rPr>
            </w:pPr>
            <w:r w:rsidRPr="000D756E">
              <w:rPr>
                <w:rFonts w:ascii="Arial" w:hAnsi="Arial" w:cs="Arial"/>
                <w:sz w:val="23"/>
                <w:szCs w:val="23"/>
              </w:rPr>
              <w:t>11,423</w:t>
            </w:r>
          </w:p>
        </w:tc>
        <w:tc>
          <w:tcPr>
            <w:tcW w:w="1560" w:type="dxa"/>
            <w:gridSpan w:val="3"/>
            <w:tcBorders>
              <w:top w:val="single" w:sz="4" w:space="0" w:color="auto"/>
              <w:left w:val="single" w:sz="4" w:space="0" w:color="auto"/>
              <w:bottom w:val="single" w:sz="4" w:space="0" w:color="auto"/>
              <w:right w:val="single" w:sz="4" w:space="0" w:color="auto"/>
            </w:tcBorders>
          </w:tcPr>
          <w:p w14:paraId="3FF95E15" w14:textId="77777777" w:rsidR="00C17633" w:rsidRPr="000D756E" w:rsidRDefault="00C17633" w:rsidP="00C17633">
            <w:pPr>
              <w:rPr>
                <w:rFonts w:ascii="Arial" w:hAnsi="Arial" w:cs="Arial"/>
                <w:sz w:val="23"/>
                <w:szCs w:val="23"/>
              </w:rPr>
            </w:pPr>
          </w:p>
          <w:p w14:paraId="5C9B1F2C" w14:textId="77777777" w:rsidR="00C17633" w:rsidRPr="000D756E" w:rsidRDefault="00C17633" w:rsidP="00C17633">
            <w:pPr>
              <w:rPr>
                <w:rFonts w:ascii="Arial" w:hAnsi="Arial" w:cs="Arial"/>
                <w:sz w:val="23"/>
                <w:szCs w:val="23"/>
              </w:rPr>
            </w:pPr>
          </w:p>
          <w:p w14:paraId="4607C921" w14:textId="77777777" w:rsidR="00C17633" w:rsidRPr="000D756E" w:rsidRDefault="00C17633" w:rsidP="00C17633">
            <w:pPr>
              <w:rPr>
                <w:rFonts w:ascii="Arial" w:hAnsi="Arial" w:cs="Arial"/>
                <w:sz w:val="23"/>
                <w:szCs w:val="23"/>
              </w:rPr>
            </w:pPr>
          </w:p>
          <w:p w14:paraId="33BBD147" w14:textId="77777777" w:rsidR="00C17633" w:rsidRPr="000D756E" w:rsidRDefault="00C17633" w:rsidP="00C17633">
            <w:pPr>
              <w:rPr>
                <w:rFonts w:ascii="Arial" w:hAnsi="Arial" w:cs="Arial"/>
                <w:sz w:val="23"/>
                <w:szCs w:val="23"/>
              </w:rPr>
            </w:pPr>
          </w:p>
          <w:p w14:paraId="475865E9" w14:textId="77777777" w:rsidR="00C17633" w:rsidRPr="000D756E" w:rsidRDefault="00C17633" w:rsidP="00C17633">
            <w:pPr>
              <w:rPr>
                <w:rFonts w:ascii="Arial" w:hAnsi="Arial" w:cs="Arial"/>
                <w:sz w:val="23"/>
                <w:szCs w:val="23"/>
              </w:rPr>
            </w:pPr>
          </w:p>
          <w:p w14:paraId="254A82AC" w14:textId="77777777" w:rsidR="00C17633" w:rsidRPr="000D756E" w:rsidRDefault="00C17633" w:rsidP="00C17633">
            <w:pPr>
              <w:rPr>
                <w:rFonts w:ascii="Arial" w:hAnsi="Arial" w:cs="Arial"/>
                <w:sz w:val="23"/>
                <w:szCs w:val="23"/>
              </w:rPr>
            </w:pPr>
          </w:p>
          <w:p w14:paraId="3683D0F5" w14:textId="77777777" w:rsidR="00C17633" w:rsidRPr="000D756E" w:rsidRDefault="00C17633" w:rsidP="00C17633">
            <w:pPr>
              <w:jc w:val="right"/>
              <w:rPr>
                <w:rFonts w:ascii="Arial" w:hAnsi="Arial" w:cs="Arial"/>
                <w:sz w:val="23"/>
                <w:szCs w:val="23"/>
              </w:rPr>
            </w:pPr>
            <w:r w:rsidRPr="000D756E">
              <w:rPr>
                <w:rFonts w:ascii="Arial" w:hAnsi="Arial" w:cs="Arial"/>
                <w:sz w:val="23"/>
                <w:szCs w:val="23"/>
              </w:rPr>
              <w:t>0</w:t>
            </w:r>
          </w:p>
          <w:p w14:paraId="79F423FD" w14:textId="77777777" w:rsidR="00C17633" w:rsidRPr="000D756E" w:rsidRDefault="00C17633" w:rsidP="00C17633">
            <w:pPr>
              <w:jc w:val="right"/>
              <w:rPr>
                <w:rFonts w:ascii="Arial" w:hAnsi="Arial" w:cs="Arial"/>
                <w:sz w:val="23"/>
                <w:szCs w:val="23"/>
              </w:rPr>
            </w:pPr>
          </w:p>
          <w:p w14:paraId="26158AB6" w14:textId="77777777" w:rsidR="00C17633" w:rsidRPr="000D756E" w:rsidRDefault="00C17633" w:rsidP="00C17633">
            <w:pPr>
              <w:jc w:val="right"/>
              <w:rPr>
                <w:rFonts w:ascii="Arial" w:hAnsi="Arial" w:cs="Arial"/>
                <w:sz w:val="23"/>
                <w:szCs w:val="23"/>
              </w:rPr>
            </w:pPr>
          </w:p>
          <w:p w14:paraId="23772DE1" w14:textId="77777777" w:rsidR="00C17633" w:rsidRPr="000D756E" w:rsidRDefault="00C17633" w:rsidP="00C17633">
            <w:pPr>
              <w:jc w:val="right"/>
              <w:rPr>
                <w:rFonts w:ascii="Arial" w:hAnsi="Arial" w:cs="Arial"/>
                <w:sz w:val="23"/>
                <w:szCs w:val="23"/>
              </w:rPr>
            </w:pPr>
          </w:p>
          <w:p w14:paraId="2E27C856" w14:textId="77777777" w:rsidR="00C17633" w:rsidRPr="000D756E" w:rsidRDefault="00C17633" w:rsidP="00C17633">
            <w:pPr>
              <w:jc w:val="right"/>
              <w:rPr>
                <w:rFonts w:ascii="Arial" w:hAnsi="Arial" w:cs="Arial"/>
                <w:sz w:val="23"/>
                <w:szCs w:val="23"/>
              </w:rPr>
            </w:pPr>
          </w:p>
          <w:p w14:paraId="04E814A1" w14:textId="473D5C8A" w:rsidR="00C17633" w:rsidRPr="000D756E" w:rsidRDefault="00C17633" w:rsidP="00C17633">
            <w:pPr>
              <w:jc w:val="right"/>
              <w:rPr>
                <w:rFonts w:ascii="Arial" w:hAnsi="Arial" w:cs="Arial"/>
                <w:sz w:val="23"/>
                <w:szCs w:val="23"/>
              </w:rPr>
            </w:pPr>
            <w:r w:rsidRPr="000D756E">
              <w:rPr>
                <w:rFonts w:ascii="Arial" w:hAnsi="Arial" w:cs="Arial"/>
                <w:sz w:val="23"/>
                <w:szCs w:val="23"/>
              </w:rPr>
              <w:t>0</w:t>
            </w:r>
          </w:p>
        </w:tc>
        <w:tc>
          <w:tcPr>
            <w:tcW w:w="1026" w:type="dxa"/>
            <w:gridSpan w:val="2"/>
            <w:tcBorders>
              <w:top w:val="single" w:sz="4" w:space="0" w:color="auto"/>
              <w:left w:val="single" w:sz="4" w:space="0" w:color="auto"/>
              <w:bottom w:val="single" w:sz="4" w:space="0" w:color="auto"/>
              <w:right w:val="single" w:sz="4" w:space="0" w:color="auto"/>
            </w:tcBorders>
          </w:tcPr>
          <w:p w14:paraId="50F943D3" w14:textId="77777777" w:rsidR="00C17633" w:rsidRPr="000D756E" w:rsidRDefault="00C17633" w:rsidP="00C17633">
            <w:pPr>
              <w:jc w:val="right"/>
              <w:rPr>
                <w:rFonts w:ascii="Arial" w:hAnsi="Arial" w:cs="Arial"/>
                <w:sz w:val="23"/>
                <w:szCs w:val="23"/>
              </w:rPr>
            </w:pPr>
          </w:p>
          <w:p w14:paraId="05ABE5E6" w14:textId="77777777" w:rsidR="00C17633" w:rsidRPr="000D756E" w:rsidRDefault="00C17633" w:rsidP="00C17633">
            <w:pPr>
              <w:jc w:val="right"/>
              <w:rPr>
                <w:rFonts w:ascii="Arial" w:hAnsi="Arial" w:cs="Arial"/>
                <w:sz w:val="23"/>
                <w:szCs w:val="23"/>
              </w:rPr>
            </w:pPr>
          </w:p>
          <w:p w14:paraId="2E9F5FC7" w14:textId="77777777" w:rsidR="00C17633" w:rsidRPr="000D756E" w:rsidRDefault="00C17633" w:rsidP="00C17633">
            <w:pPr>
              <w:jc w:val="right"/>
              <w:rPr>
                <w:rFonts w:ascii="Arial" w:hAnsi="Arial" w:cs="Arial"/>
                <w:sz w:val="23"/>
                <w:szCs w:val="23"/>
              </w:rPr>
            </w:pPr>
          </w:p>
          <w:p w14:paraId="332A2A1D" w14:textId="77777777" w:rsidR="00C17633" w:rsidRPr="000D756E" w:rsidRDefault="00C17633" w:rsidP="00C17633">
            <w:pPr>
              <w:jc w:val="right"/>
              <w:rPr>
                <w:rFonts w:ascii="Arial" w:hAnsi="Arial" w:cs="Arial"/>
                <w:sz w:val="23"/>
                <w:szCs w:val="23"/>
              </w:rPr>
            </w:pPr>
          </w:p>
          <w:p w14:paraId="739E65AF" w14:textId="77777777" w:rsidR="00C17633" w:rsidRPr="000D756E" w:rsidRDefault="00C17633" w:rsidP="00C17633">
            <w:pPr>
              <w:jc w:val="right"/>
              <w:rPr>
                <w:rFonts w:ascii="Arial" w:hAnsi="Arial" w:cs="Arial"/>
                <w:sz w:val="23"/>
                <w:szCs w:val="23"/>
              </w:rPr>
            </w:pPr>
          </w:p>
          <w:p w14:paraId="1EAFF1E6" w14:textId="77777777" w:rsidR="00C17633" w:rsidRPr="000D756E" w:rsidRDefault="00C17633" w:rsidP="00C17633">
            <w:pPr>
              <w:jc w:val="right"/>
              <w:rPr>
                <w:rFonts w:ascii="Arial" w:hAnsi="Arial" w:cs="Arial"/>
                <w:sz w:val="23"/>
                <w:szCs w:val="23"/>
              </w:rPr>
            </w:pPr>
          </w:p>
          <w:p w14:paraId="5EDFB9D4" w14:textId="77777777" w:rsidR="00C17633" w:rsidRPr="000D756E" w:rsidRDefault="00C17633" w:rsidP="00C17633">
            <w:pPr>
              <w:jc w:val="right"/>
              <w:rPr>
                <w:rFonts w:ascii="Arial" w:hAnsi="Arial" w:cs="Arial"/>
                <w:sz w:val="23"/>
                <w:szCs w:val="23"/>
              </w:rPr>
            </w:pPr>
            <w:r w:rsidRPr="000D756E">
              <w:rPr>
                <w:rFonts w:ascii="Arial" w:hAnsi="Arial" w:cs="Arial"/>
                <w:sz w:val="23"/>
                <w:szCs w:val="23"/>
              </w:rPr>
              <w:t>-10,681</w:t>
            </w:r>
          </w:p>
          <w:p w14:paraId="47E8D979" w14:textId="77777777" w:rsidR="00C17633" w:rsidRPr="000D756E" w:rsidRDefault="00C17633" w:rsidP="00C17633">
            <w:pPr>
              <w:jc w:val="right"/>
              <w:rPr>
                <w:rFonts w:ascii="Arial" w:hAnsi="Arial" w:cs="Arial"/>
                <w:sz w:val="23"/>
                <w:szCs w:val="23"/>
              </w:rPr>
            </w:pPr>
          </w:p>
          <w:p w14:paraId="4AEBE088" w14:textId="77777777" w:rsidR="00C17633" w:rsidRPr="000D756E" w:rsidRDefault="00C17633" w:rsidP="00C17633">
            <w:pPr>
              <w:jc w:val="right"/>
              <w:rPr>
                <w:rFonts w:ascii="Arial" w:hAnsi="Arial" w:cs="Arial"/>
                <w:sz w:val="23"/>
                <w:szCs w:val="23"/>
              </w:rPr>
            </w:pPr>
          </w:p>
          <w:p w14:paraId="5611989F" w14:textId="77777777" w:rsidR="00C17633" w:rsidRPr="000D756E" w:rsidRDefault="00C17633" w:rsidP="00C17633">
            <w:pPr>
              <w:jc w:val="right"/>
              <w:rPr>
                <w:rFonts w:ascii="Arial" w:hAnsi="Arial" w:cs="Arial"/>
                <w:sz w:val="23"/>
                <w:szCs w:val="23"/>
              </w:rPr>
            </w:pPr>
          </w:p>
          <w:p w14:paraId="7C18F615" w14:textId="77777777" w:rsidR="00C17633" w:rsidRPr="000D756E" w:rsidRDefault="00C17633" w:rsidP="00C17633">
            <w:pPr>
              <w:jc w:val="right"/>
              <w:rPr>
                <w:rFonts w:ascii="Arial" w:hAnsi="Arial" w:cs="Arial"/>
                <w:sz w:val="23"/>
                <w:szCs w:val="23"/>
              </w:rPr>
            </w:pPr>
          </w:p>
          <w:p w14:paraId="7A3353C1" w14:textId="64A57A2A" w:rsidR="00C17633" w:rsidRPr="000D756E" w:rsidRDefault="00C17633" w:rsidP="00C17633">
            <w:pPr>
              <w:jc w:val="right"/>
              <w:rPr>
                <w:rFonts w:ascii="Arial" w:hAnsi="Arial" w:cs="Arial"/>
                <w:sz w:val="23"/>
                <w:szCs w:val="23"/>
              </w:rPr>
            </w:pPr>
            <w:r w:rsidRPr="000D756E">
              <w:rPr>
                <w:rFonts w:ascii="Arial" w:hAnsi="Arial" w:cs="Arial"/>
                <w:sz w:val="23"/>
                <w:szCs w:val="23"/>
              </w:rPr>
              <w:t>11,423</w:t>
            </w:r>
          </w:p>
        </w:tc>
        <w:tc>
          <w:tcPr>
            <w:tcW w:w="1384" w:type="dxa"/>
            <w:gridSpan w:val="2"/>
            <w:tcBorders>
              <w:top w:val="single" w:sz="4" w:space="0" w:color="auto"/>
              <w:left w:val="single" w:sz="4" w:space="0" w:color="auto"/>
              <w:bottom w:val="single" w:sz="4" w:space="0" w:color="auto"/>
              <w:right w:val="single" w:sz="4" w:space="0" w:color="auto"/>
            </w:tcBorders>
          </w:tcPr>
          <w:p w14:paraId="0192B3F6" w14:textId="77777777" w:rsidR="00C17633" w:rsidRPr="000D756E" w:rsidRDefault="00C17633" w:rsidP="00C17633">
            <w:pPr>
              <w:jc w:val="right"/>
              <w:rPr>
                <w:rFonts w:ascii="Arial" w:hAnsi="Arial" w:cs="Arial"/>
                <w:sz w:val="23"/>
                <w:szCs w:val="23"/>
              </w:rPr>
            </w:pPr>
          </w:p>
          <w:p w14:paraId="740EA062" w14:textId="77777777" w:rsidR="00C17633" w:rsidRPr="000D756E" w:rsidRDefault="00C17633" w:rsidP="00C17633">
            <w:pPr>
              <w:jc w:val="right"/>
              <w:rPr>
                <w:rFonts w:ascii="Arial" w:hAnsi="Arial" w:cs="Arial"/>
                <w:sz w:val="23"/>
                <w:szCs w:val="23"/>
              </w:rPr>
            </w:pPr>
          </w:p>
          <w:p w14:paraId="702BBC65" w14:textId="77777777" w:rsidR="00C17633" w:rsidRPr="000D756E" w:rsidRDefault="00C17633" w:rsidP="00C17633">
            <w:pPr>
              <w:jc w:val="right"/>
              <w:rPr>
                <w:rFonts w:ascii="Arial" w:hAnsi="Arial" w:cs="Arial"/>
                <w:sz w:val="23"/>
                <w:szCs w:val="23"/>
              </w:rPr>
            </w:pPr>
          </w:p>
          <w:p w14:paraId="58E7708A" w14:textId="77777777" w:rsidR="00C17633" w:rsidRPr="000D756E" w:rsidRDefault="00C17633" w:rsidP="00C17633">
            <w:pPr>
              <w:jc w:val="right"/>
              <w:rPr>
                <w:rFonts w:ascii="Arial" w:hAnsi="Arial" w:cs="Arial"/>
                <w:sz w:val="23"/>
                <w:szCs w:val="23"/>
              </w:rPr>
            </w:pPr>
          </w:p>
          <w:p w14:paraId="41D55618" w14:textId="77777777" w:rsidR="00C17633" w:rsidRPr="000D756E" w:rsidRDefault="00C17633" w:rsidP="00C17633">
            <w:pPr>
              <w:jc w:val="right"/>
              <w:rPr>
                <w:rFonts w:ascii="Arial" w:hAnsi="Arial" w:cs="Arial"/>
                <w:sz w:val="23"/>
                <w:szCs w:val="23"/>
              </w:rPr>
            </w:pPr>
          </w:p>
          <w:p w14:paraId="3054A924" w14:textId="77777777" w:rsidR="00C17633" w:rsidRPr="000D756E" w:rsidRDefault="00C17633" w:rsidP="00C17633">
            <w:pPr>
              <w:jc w:val="right"/>
              <w:rPr>
                <w:rFonts w:ascii="Arial" w:hAnsi="Arial" w:cs="Arial"/>
                <w:sz w:val="23"/>
                <w:szCs w:val="23"/>
              </w:rPr>
            </w:pPr>
          </w:p>
          <w:p w14:paraId="3AE99C6D" w14:textId="77777777" w:rsidR="00C17633" w:rsidRPr="000D756E" w:rsidRDefault="00C17633" w:rsidP="00C17633">
            <w:pPr>
              <w:jc w:val="right"/>
              <w:rPr>
                <w:rFonts w:ascii="Arial" w:hAnsi="Arial" w:cs="Arial"/>
                <w:sz w:val="23"/>
                <w:szCs w:val="23"/>
              </w:rPr>
            </w:pPr>
            <w:r w:rsidRPr="000D756E">
              <w:rPr>
                <w:rFonts w:ascii="Arial" w:hAnsi="Arial" w:cs="Arial"/>
                <w:sz w:val="23"/>
                <w:szCs w:val="23"/>
              </w:rPr>
              <w:t>0</w:t>
            </w:r>
          </w:p>
          <w:p w14:paraId="2F22CCFA" w14:textId="77777777" w:rsidR="00C17633" w:rsidRPr="000D756E" w:rsidRDefault="00C17633" w:rsidP="00C17633">
            <w:pPr>
              <w:jc w:val="right"/>
              <w:rPr>
                <w:rFonts w:ascii="Arial" w:hAnsi="Arial" w:cs="Arial"/>
                <w:sz w:val="23"/>
                <w:szCs w:val="23"/>
              </w:rPr>
            </w:pPr>
          </w:p>
          <w:p w14:paraId="651E6251" w14:textId="77777777" w:rsidR="00C17633" w:rsidRPr="000D756E" w:rsidRDefault="00C17633" w:rsidP="00C17633">
            <w:pPr>
              <w:jc w:val="right"/>
              <w:rPr>
                <w:rFonts w:ascii="Arial" w:hAnsi="Arial" w:cs="Arial"/>
                <w:sz w:val="23"/>
                <w:szCs w:val="23"/>
              </w:rPr>
            </w:pPr>
          </w:p>
          <w:p w14:paraId="59AEB2E9" w14:textId="77777777" w:rsidR="00C17633" w:rsidRPr="000D756E" w:rsidRDefault="00C17633" w:rsidP="00C17633">
            <w:pPr>
              <w:jc w:val="right"/>
              <w:rPr>
                <w:rFonts w:ascii="Arial" w:hAnsi="Arial" w:cs="Arial"/>
                <w:sz w:val="23"/>
                <w:szCs w:val="23"/>
              </w:rPr>
            </w:pPr>
          </w:p>
          <w:p w14:paraId="1E128DA8" w14:textId="77777777" w:rsidR="00C17633" w:rsidRPr="000D756E" w:rsidRDefault="00C17633" w:rsidP="00C17633">
            <w:pPr>
              <w:jc w:val="right"/>
              <w:rPr>
                <w:rFonts w:ascii="Arial" w:hAnsi="Arial" w:cs="Arial"/>
                <w:sz w:val="23"/>
                <w:szCs w:val="23"/>
              </w:rPr>
            </w:pPr>
          </w:p>
          <w:p w14:paraId="1B3E72A4" w14:textId="48D126EB" w:rsidR="00C17633" w:rsidRPr="000D756E" w:rsidRDefault="00C17633" w:rsidP="00C17633">
            <w:pPr>
              <w:jc w:val="right"/>
              <w:rPr>
                <w:rFonts w:ascii="Arial" w:hAnsi="Arial" w:cs="Arial"/>
                <w:sz w:val="23"/>
                <w:szCs w:val="23"/>
              </w:rPr>
            </w:pPr>
            <w:r w:rsidRPr="000D756E">
              <w:rPr>
                <w:rFonts w:ascii="Arial" w:hAnsi="Arial" w:cs="Arial"/>
                <w:sz w:val="23"/>
                <w:szCs w:val="23"/>
              </w:rPr>
              <w:t>0</w:t>
            </w:r>
          </w:p>
        </w:tc>
        <w:tc>
          <w:tcPr>
            <w:tcW w:w="1274" w:type="dxa"/>
            <w:gridSpan w:val="2"/>
            <w:tcBorders>
              <w:top w:val="single" w:sz="4" w:space="0" w:color="auto"/>
              <w:left w:val="single" w:sz="4" w:space="0" w:color="auto"/>
              <w:bottom w:val="single" w:sz="4" w:space="0" w:color="auto"/>
              <w:right w:val="single" w:sz="4" w:space="0" w:color="auto"/>
            </w:tcBorders>
          </w:tcPr>
          <w:p w14:paraId="0F109860" w14:textId="77777777" w:rsidR="00C17633" w:rsidRPr="000D756E" w:rsidRDefault="00C17633" w:rsidP="00C17633">
            <w:pPr>
              <w:jc w:val="right"/>
              <w:rPr>
                <w:rFonts w:ascii="Arial" w:hAnsi="Arial" w:cs="Arial"/>
                <w:sz w:val="23"/>
                <w:szCs w:val="23"/>
              </w:rPr>
            </w:pPr>
          </w:p>
          <w:p w14:paraId="0AB25F70" w14:textId="77777777" w:rsidR="00C17633" w:rsidRPr="000D756E" w:rsidRDefault="00C17633" w:rsidP="00C17633">
            <w:pPr>
              <w:jc w:val="right"/>
              <w:rPr>
                <w:rFonts w:ascii="Arial" w:hAnsi="Arial" w:cs="Arial"/>
                <w:sz w:val="23"/>
                <w:szCs w:val="23"/>
              </w:rPr>
            </w:pPr>
          </w:p>
          <w:p w14:paraId="780406E1" w14:textId="77777777" w:rsidR="00C17633" w:rsidRPr="000D756E" w:rsidRDefault="00C17633" w:rsidP="00C17633">
            <w:pPr>
              <w:jc w:val="right"/>
              <w:rPr>
                <w:rFonts w:ascii="Arial" w:hAnsi="Arial" w:cs="Arial"/>
                <w:sz w:val="23"/>
                <w:szCs w:val="23"/>
              </w:rPr>
            </w:pPr>
          </w:p>
          <w:p w14:paraId="4D88D29C" w14:textId="77777777" w:rsidR="00C17633" w:rsidRPr="000D756E" w:rsidRDefault="00C17633" w:rsidP="00C17633">
            <w:pPr>
              <w:jc w:val="right"/>
              <w:rPr>
                <w:rFonts w:ascii="Arial" w:hAnsi="Arial" w:cs="Arial"/>
                <w:sz w:val="23"/>
                <w:szCs w:val="23"/>
              </w:rPr>
            </w:pPr>
          </w:p>
          <w:p w14:paraId="150481AB" w14:textId="77777777" w:rsidR="00C17633" w:rsidRPr="000D756E" w:rsidRDefault="00C17633" w:rsidP="00C17633">
            <w:pPr>
              <w:jc w:val="right"/>
              <w:rPr>
                <w:rFonts w:ascii="Arial" w:hAnsi="Arial" w:cs="Arial"/>
                <w:sz w:val="23"/>
                <w:szCs w:val="23"/>
              </w:rPr>
            </w:pPr>
          </w:p>
          <w:p w14:paraId="68EF2C2D" w14:textId="77777777" w:rsidR="00C17633" w:rsidRPr="000D756E" w:rsidRDefault="00C17633" w:rsidP="00C17633">
            <w:pPr>
              <w:jc w:val="right"/>
              <w:rPr>
                <w:rFonts w:ascii="Arial" w:hAnsi="Arial" w:cs="Arial"/>
                <w:sz w:val="23"/>
                <w:szCs w:val="23"/>
              </w:rPr>
            </w:pPr>
          </w:p>
          <w:p w14:paraId="3A7E96E2" w14:textId="77777777" w:rsidR="00C17633" w:rsidRPr="000D756E" w:rsidRDefault="00C17633" w:rsidP="00C17633">
            <w:pPr>
              <w:jc w:val="right"/>
              <w:rPr>
                <w:rFonts w:ascii="Arial" w:hAnsi="Arial" w:cs="Arial"/>
                <w:sz w:val="23"/>
                <w:szCs w:val="23"/>
              </w:rPr>
            </w:pPr>
            <w:r w:rsidRPr="000D756E">
              <w:rPr>
                <w:rFonts w:ascii="Arial" w:hAnsi="Arial" w:cs="Arial"/>
                <w:sz w:val="23"/>
                <w:szCs w:val="23"/>
              </w:rPr>
              <w:t>-10,681</w:t>
            </w:r>
          </w:p>
          <w:p w14:paraId="256F4275" w14:textId="77777777" w:rsidR="00C17633" w:rsidRPr="000D756E" w:rsidRDefault="00C17633" w:rsidP="00C17633">
            <w:pPr>
              <w:jc w:val="right"/>
              <w:rPr>
                <w:rFonts w:ascii="Arial" w:hAnsi="Arial" w:cs="Arial"/>
                <w:sz w:val="23"/>
                <w:szCs w:val="23"/>
              </w:rPr>
            </w:pPr>
          </w:p>
          <w:p w14:paraId="38553AA0" w14:textId="77777777" w:rsidR="00C17633" w:rsidRPr="000D756E" w:rsidRDefault="00C17633" w:rsidP="00C17633">
            <w:pPr>
              <w:jc w:val="right"/>
              <w:rPr>
                <w:rFonts w:ascii="Arial" w:hAnsi="Arial" w:cs="Arial"/>
                <w:sz w:val="23"/>
                <w:szCs w:val="23"/>
              </w:rPr>
            </w:pPr>
          </w:p>
          <w:p w14:paraId="38B6E7D7" w14:textId="77777777" w:rsidR="00C17633" w:rsidRPr="000D756E" w:rsidRDefault="00C17633" w:rsidP="00C17633">
            <w:pPr>
              <w:jc w:val="right"/>
              <w:rPr>
                <w:rFonts w:ascii="Arial" w:hAnsi="Arial" w:cs="Arial"/>
                <w:sz w:val="23"/>
                <w:szCs w:val="23"/>
              </w:rPr>
            </w:pPr>
          </w:p>
          <w:p w14:paraId="5BE8E32B" w14:textId="77777777" w:rsidR="00C17633" w:rsidRPr="000D756E" w:rsidRDefault="00C17633" w:rsidP="00C17633">
            <w:pPr>
              <w:jc w:val="right"/>
              <w:rPr>
                <w:rFonts w:ascii="Arial" w:hAnsi="Arial" w:cs="Arial"/>
                <w:sz w:val="23"/>
                <w:szCs w:val="23"/>
              </w:rPr>
            </w:pPr>
          </w:p>
          <w:p w14:paraId="387E9617" w14:textId="105FCE14" w:rsidR="00C17633" w:rsidRPr="000D756E" w:rsidRDefault="00C17633" w:rsidP="00C17633">
            <w:pPr>
              <w:jc w:val="right"/>
              <w:rPr>
                <w:rFonts w:ascii="Arial" w:hAnsi="Arial" w:cs="Arial"/>
                <w:sz w:val="23"/>
                <w:szCs w:val="23"/>
              </w:rPr>
            </w:pPr>
            <w:r w:rsidRPr="000D756E">
              <w:rPr>
                <w:rFonts w:ascii="Arial" w:hAnsi="Arial" w:cs="Arial"/>
                <w:sz w:val="23"/>
                <w:szCs w:val="23"/>
              </w:rPr>
              <w:t>11,423</w:t>
            </w:r>
          </w:p>
        </w:tc>
        <w:tc>
          <w:tcPr>
            <w:tcW w:w="1275" w:type="dxa"/>
            <w:gridSpan w:val="2"/>
            <w:tcBorders>
              <w:top w:val="single" w:sz="4" w:space="0" w:color="auto"/>
              <w:left w:val="single" w:sz="4" w:space="0" w:color="auto"/>
              <w:bottom w:val="single" w:sz="4" w:space="0" w:color="auto"/>
              <w:right w:val="single" w:sz="4" w:space="0" w:color="auto"/>
            </w:tcBorders>
          </w:tcPr>
          <w:p w14:paraId="0C417694" w14:textId="77777777" w:rsidR="00C17633" w:rsidRPr="000D756E" w:rsidRDefault="00C17633" w:rsidP="00C17633">
            <w:pPr>
              <w:jc w:val="right"/>
              <w:rPr>
                <w:rFonts w:ascii="Arial" w:hAnsi="Arial" w:cs="Arial"/>
                <w:sz w:val="23"/>
                <w:szCs w:val="23"/>
              </w:rPr>
            </w:pPr>
          </w:p>
          <w:p w14:paraId="466EC755" w14:textId="77777777" w:rsidR="00C17633" w:rsidRPr="000D756E" w:rsidRDefault="00C17633" w:rsidP="00C17633">
            <w:pPr>
              <w:jc w:val="right"/>
              <w:rPr>
                <w:rFonts w:ascii="Arial" w:hAnsi="Arial" w:cs="Arial"/>
                <w:sz w:val="23"/>
                <w:szCs w:val="23"/>
              </w:rPr>
            </w:pPr>
          </w:p>
          <w:p w14:paraId="22E1F13B" w14:textId="77777777" w:rsidR="00C17633" w:rsidRPr="000D756E" w:rsidRDefault="00C17633" w:rsidP="00C17633">
            <w:pPr>
              <w:jc w:val="right"/>
              <w:rPr>
                <w:rFonts w:ascii="Arial" w:hAnsi="Arial" w:cs="Arial"/>
                <w:sz w:val="23"/>
                <w:szCs w:val="23"/>
              </w:rPr>
            </w:pPr>
          </w:p>
          <w:p w14:paraId="50F026BF" w14:textId="77777777" w:rsidR="00C17633" w:rsidRPr="000D756E" w:rsidRDefault="00C17633" w:rsidP="00C17633">
            <w:pPr>
              <w:jc w:val="right"/>
              <w:rPr>
                <w:rFonts w:ascii="Arial" w:hAnsi="Arial" w:cs="Arial"/>
                <w:sz w:val="23"/>
                <w:szCs w:val="23"/>
              </w:rPr>
            </w:pPr>
          </w:p>
          <w:p w14:paraId="280B3DB6" w14:textId="77777777" w:rsidR="00C17633" w:rsidRPr="000D756E" w:rsidRDefault="00C17633" w:rsidP="00C17633">
            <w:pPr>
              <w:jc w:val="right"/>
              <w:rPr>
                <w:rFonts w:ascii="Arial" w:hAnsi="Arial" w:cs="Arial"/>
                <w:sz w:val="23"/>
                <w:szCs w:val="23"/>
              </w:rPr>
            </w:pPr>
          </w:p>
          <w:p w14:paraId="524B3E2A" w14:textId="77777777" w:rsidR="00C17633" w:rsidRPr="000D756E" w:rsidRDefault="00C17633" w:rsidP="00C17633">
            <w:pPr>
              <w:jc w:val="right"/>
              <w:rPr>
                <w:rFonts w:ascii="Arial" w:hAnsi="Arial" w:cs="Arial"/>
                <w:sz w:val="23"/>
                <w:szCs w:val="23"/>
              </w:rPr>
            </w:pPr>
          </w:p>
          <w:p w14:paraId="2B9CC34D" w14:textId="77777777" w:rsidR="00C17633" w:rsidRPr="000D756E" w:rsidRDefault="00C17633" w:rsidP="00C17633">
            <w:pPr>
              <w:jc w:val="right"/>
              <w:rPr>
                <w:rFonts w:ascii="Arial" w:hAnsi="Arial" w:cs="Arial"/>
                <w:sz w:val="23"/>
                <w:szCs w:val="23"/>
              </w:rPr>
            </w:pPr>
            <w:r w:rsidRPr="000D756E">
              <w:rPr>
                <w:rFonts w:ascii="Arial" w:hAnsi="Arial" w:cs="Arial"/>
                <w:sz w:val="23"/>
                <w:szCs w:val="23"/>
              </w:rPr>
              <w:t>8,335</w:t>
            </w:r>
          </w:p>
          <w:p w14:paraId="37FD25FC" w14:textId="77777777" w:rsidR="00C17633" w:rsidRPr="000D756E" w:rsidRDefault="00C17633" w:rsidP="00C17633">
            <w:pPr>
              <w:jc w:val="right"/>
              <w:rPr>
                <w:rFonts w:ascii="Arial" w:hAnsi="Arial" w:cs="Arial"/>
                <w:sz w:val="23"/>
                <w:szCs w:val="23"/>
              </w:rPr>
            </w:pPr>
          </w:p>
          <w:p w14:paraId="05A6F331" w14:textId="77777777" w:rsidR="00C17633" w:rsidRPr="000D756E" w:rsidRDefault="00C17633" w:rsidP="00C17633">
            <w:pPr>
              <w:jc w:val="right"/>
              <w:rPr>
                <w:rFonts w:ascii="Arial" w:hAnsi="Arial" w:cs="Arial"/>
                <w:sz w:val="23"/>
                <w:szCs w:val="23"/>
              </w:rPr>
            </w:pPr>
          </w:p>
          <w:p w14:paraId="70CC4C94" w14:textId="77777777" w:rsidR="00C17633" w:rsidRPr="000D756E" w:rsidRDefault="00C17633" w:rsidP="00C17633">
            <w:pPr>
              <w:jc w:val="right"/>
              <w:rPr>
                <w:rFonts w:ascii="Arial" w:hAnsi="Arial" w:cs="Arial"/>
                <w:sz w:val="23"/>
                <w:szCs w:val="23"/>
              </w:rPr>
            </w:pPr>
          </w:p>
          <w:p w14:paraId="68A2C94B" w14:textId="77777777" w:rsidR="00C17633" w:rsidRPr="000D756E" w:rsidRDefault="00C17633" w:rsidP="00C17633">
            <w:pPr>
              <w:jc w:val="right"/>
              <w:rPr>
                <w:rFonts w:ascii="Arial" w:hAnsi="Arial" w:cs="Arial"/>
                <w:sz w:val="23"/>
                <w:szCs w:val="23"/>
              </w:rPr>
            </w:pPr>
          </w:p>
          <w:p w14:paraId="47B5FEAF" w14:textId="48112214" w:rsidR="00C17633" w:rsidRPr="000D756E" w:rsidRDefault="00C17633" w:rsidP="00C17633">
            <w:pPr>
              <w:jc w:val="right"/>
              <w:rPr>
                <w:rFonts w:ascii="Arial" w:hAnsi="Arial" w:cs="Arial"/>
                <w:sz w:val="23"/>
                <w:szCs w:val="23"/>
              </w:rPr>
            </w:pPr>
            <w:r w:rsidRPr="000D756E">
              <w:rPr>
                <w:rFonts w:ascii="Arial" w:hAnsi="Arial" w:cs="Arial"/>
                <w:sz w:val="23"/>
                <w:szCs w:val="23"/>
              </w:rPr>
              <w:t>-11,423</w:t>
            </w:r>
          </w:p>
        </w:tc>
        <w:tc>
          <w:tcPr>
            <w:tcW w:w="1421" w:type="dxa"/>
            <w:gridSpan w:val="2"/>
            <w:tcBorders>
              <w:top w:val="single" w:sz="4" w:space="0" w:color="auto"/>
              <w:left w:val="single" w:sz="4" w:space="0" w:color="auto"/>
              <w:bottom w:val="single" w:sz="4" w:space="0" w:color="auto"/>
              <w:right w:val="single" w:sz="4" w:space="0" w:color="auto"/>
            </w:tcBorders>
          </w:tcPr>
          <w:p w14:paraId="656AEF66" w14:textId="77777777" w:rsidR="00C17633" w:rsidRPr="000D756E" w:rsidRDefault="00C17633" w:rsidP="00C17633">
            <w:pPr>
              <w:jc w:val="right"/>
              <w:rPr>
                <w:rFonts w:ascii="Arial" w:hAnsi="Arial" w:cs="Arial"/>
                <w:sz w:val="23"/>
                <w:szCs w:val="23"/>
              </w:rPr>
            </w:pPr>
          </w:p>
          <w:p w14:paraId="526F0840" w14:textId="77777777" w:rsidR="00C17633" w:rsidRPr="000D756E" w:rsidRDefault="00C17633" w:rsidP="00C17633">
            <w:pPr>
              <w:jc w:val="right"/>
              <w:rPr>
                <w:rFonts w:ascii="Arial" w:hAnsi="Arial" w:cs="Arial"/>
                <w:sz w:val="23"/>
                <w:szCs w:val="23"/>
              </w:rPr>
            </w:pPr>
          </w:p>
          <w:p w14:paraId="089C642F" w14:textId="77777777" w:rsidR="00C17633" w:rsidRPr="000D756E" w:rsidRDefault="00C17633" w:rsidP="00C17633">
            <w:pPr>
              <w:jc w:val="right"/>
              <w:rPr>
                <w:rFonts w:ascii="Arial" w:hAnsi="Arial" w:cs="Arial"/>
                <w:sz w:val="23"/>
                <w:szCs w:val="23"/>
              </w:rPr>
            </w:pPr>
          </w:p>
          <w:p w14:paraId="72BC05E2" w14:textId="77777777" w:rsidR="00C17633" w:rsidRPr="000D756E" w:rsidRDefault="00C17633" w:rsidP="00C17633">
            <w:pPr>
              <w:jc w:val="right"/>
              <w:rPr>
                <w:rFonts w:ascii="Arial" w:hAnsi="Arial" w:cs="Arial"/>
                <w:sz w:val="23"/>
                <w:szCs w:val="23"/>
              </w:rPr>
            </w:pPr>
          </w:p>
          <w:p w14:paraId="323AB2C0" w14:textId="77777777" w:rsidR="00C17633" w:rsidRPr="000D756E" w:rsidRDefault="00C17633" w:rsidP="00C17633">
            <w:pPr>
              <w:jc w:val="right"/>
              <w:rPr>
                <w:rFonts w:ascii="Arial" w:hAnsi="Arial" w:cs="Arial"/>
                <w:sz w:val="23"/>
                <w:szCs w:val="23"/>
              </w:rPr>
            </w:pPr>
          </w:p>
          <w:p w14:paraId="10E84F23" w14:textId="77777777" w:rsidR="00C17633" w:rsidRPr="000D756E" w:rsidRDefault="00C17633" w:rsidP="00C17633">
            <w:pPr>
              <w:jc w:val="right"/>
              <w:rPr>
                <w:rFonts w:ascii="Arial" w:hAnsi="Arial" w:cs="Arial"/>
                <w:sz w:val="23"/>
                <w:szCs w:val="23"/>
              </w:rPr>
            </w:pPr>
          </w:p>
          <w:p w14:paraId="3B30ADF5" w14:textId="77777777" w:rsidR="00C17633" w:rsidRPr="000D756E" w:rsidRDefault="00C17633" w:rsidP="00C17633">
            <w:pPr>
              <w:jc w:val="right"/>
              <w:rPr>
                <w:rFonts w:ascii="Arial" w:hAnsi="Arial" w:cs="Arial"/>
                <w:sz w:val="23"/>
                <w:szCs w:val="23"/>
              </w:rPr>
            </w:pPr>
            <w:r w:rsidRPr="000D756E">
              <w:rPr>
                <w:rFonts w:ascii="Arial" w:hAnsi="Arial" w:cs="Arial"/>
                <w:sz w:val="23"/>
                <w:szCs w:val="23"/>
              </w:rPr>
              <w:t>-2,346</w:t>
            </w:r>
          </w:p>
          <w:p w14:paraId="558E6B57" w14:textId="77777777" w:rsidR="00C17633" w:rsidRPr="000D756E" w:rsidRDefault="00C17633" w:rsidP="00C17633">
            <w:pPr>
              <w:jc w:val="right"/>
              <w:rPr>
                <w:rFonts w:ascii="Arial" w:hAnsi="Arial" w:cs="Arial"/>
                <w:sz w:val="23"/>
                <w:szCs w:val="23"/>
              </w:rPr>
            </w:pPr>
          </w:p>
          <w:p w14:paraId="53B8D28E" w14:textId="77777777" w:rsidR="00C17633" w:rsidRPr="000D756E" w:rsidRDefault="00C17633" w:rsidP="00C17633">
            <w:pPr>
              <w:jc w:val="right"/>
              <w:rPr>
                <w:rFonts w:ascii="Arial" w:hAnsi="Arial" w:cs="Arial"/>
                <w:sz w:val="23"/>
                <w:szCs w:val="23"/>
              </w:rPr>
            </w:pPr>
          </w:p>
          <w:p w14:paraId="74726547" w14:textId="77777777" w:rsidR="00C17633" w:rsidRPr="000D756E" w:rsidRDefault="00C17633" w:rsidP="00C17633">
            <w:pPr>
              <w:jc w:val="right"/>
              <w:rPr>
                <w:rFonts w:ascii="Arial" w:hAnsi="Arial" w:cs="Arial"/>
                <w:sz w:val="23"/>
                <w:szCs w:val="23"/>
              </w:rPr>
            </w:pPr>
          </w:p>
          <w:p w14:paraId="63A450DF" w14:textId="77777777" w:rsidR="00C17633" w:rsidRPr="000D756E" w:rsidRDefault="00C17633" w:rsidP="00C17633">
            <w:pPr>
              <w:jc w:val="right"/>
              <w:rPr>
                <w:rFonts w:ascii="Arial" w:hAnsi="Arial" w:cs="Arial"/>
                <w:sz w:val="23"/>
                <w:szCs w:val="23"/>
              </w:rPr>
            </w:pPr>
          </w:p>
          <w:p w14:paraId="3F270042" w14:textId="31BF736C" w:rsidR="00C17633" w:rsidRPr="000D756E" w:rsidRDefault="00C17633" w:rsidP="00C17633">
            <w:pPr>
              <w:jc w:val="right"/>
              <w:rPr>
                <w:rFonts w:ascii="Arial" w:hAnsi="Arial" w:cs="Arial"/>
                <w:sz w:val="23"/>
                <w:szCs w:val="23"/>
              </w:rPr>
            </w:pPr>
            <w:r w:rsidRPr="000D756E">
              <w:rPr>
                <w:rFonts w:ascii="Arial" w:hAnsi="Arial" w:cs="Arial"/>
                <w:sz w:val="23"/>
                <w:szCs w:val="23"/>
              </w:rPr>
              <w:t>0</w:t>
            </w:r>
          </w:p>
        </w:tc>
      </w:tr>
      <w:tr w:rsidR="00C17633" w:rsidRPr="000D756E" w14:paraId="346ADE5C" w14:textId="77777777" w:rsidTr="001A0BC1">
        <w:tc>
          <w:tcPr>
            <w:tcW w:w="1843" w:type="dxa"/>
            <w:tcBorders>
              <w:right w:val="single" w:sz="4" w:space="0" w:color="auto"/>
            </w:tcBorders>
          </w:tcPr>
          <w:p w14:paraId="0C6A355C" w14:textId="77777777" w:rsidR="00C17633" w:rsidRPr="000D756E" w:rsidRDefault="00C17633" w:rsidP="00C17633">
            <w:pPr>
              <w:rPr>
                <w:rFonts w:ascii="Arial" w:hAnsi="Arial" w:cs="Arial"/>
                <w:b/>
                <w:sz w:val="23"/>
                <w:szCs w:val="23"/>
              </w:rPr>
            </w:pPr>
          </w:p>
          <w:p w14:paraId="483AA66A" w14:textId="261EA3F8" w:rsidR="00C17633" w:rsidRPr="000D756E" w:rsidRDefault="00C17633" w:rsidP="00C17633">
            <w:pPr>
              <w:rPr>
                <w:rFonts w:ascii="Arial" w:hAnsi="Arial" w:cs="Arial"/>
                <w:b/>
                <w:sz w:val="23"/>
                <w:szCs w:val="23"/>
              </w:rPr>
            </w:pPr>
            <w:r w:rsidRPr="000D756E">
              <w:rPr>
                <w:rFonts w:ascii="Arial" w:hAnsi="Arial" w:cs="Arial"/>
                <w:b/>
                <w:sz w:val="23"/>
                <w:szCs w:val="23"/>
              </w:rPr>
              <w:t>Increase/-Decrease in 202</w:t>
            </w:r>
            <w:r w:rsidR="00C934F4">
              <w:rPr>
                <w:rFonts w:ascii="Arial" w:hAnsi="Arial" w:cs="Arial"/>
                <w:b/>
                <w:sz w:val="23"/>
                <w:szCs w:val="23"/>
              </w:rPr>
              <w:t>3/24</w:t>
            </w:r>
          </w:p>
        </w:tc>
        <w:tc>
          <w:tcPr>
            <w:tcW w:w="1276" w:type="dxa"/>
            <w:tcBorders>
              <w:top w:val="single" w:sz="4" w:space="0" w:color="auto"/>
              <w:left w:val="single" w:sz="4" w:space="0" w:color="auto"/>
              <w:bottom w:val="single" w:sz="4" w:space="0" w:color="auto"/>
              <w:right w:val="single" w:sz="4" w:space="0" w:color="auto"/>
            </w:tcBorders>
          </w:tcPr>
          <w:p w14:paraId="7791E16D" w14:textId="77777777" w:rsidR="00C17633" w:rsidRPr="000D756E" w:rsidRDefault="00C17633" w:rsidP="00C17633">
            <w:pPr>
              <w:jc w:val="right"/>
              <w:rPr>
                <w:rFonts w:ascii="Arial" w:hAnsi="Arial" w:cs="Arial"/>
                <w:b/>
                <w:sz w:val="23"/>
                <w:szCs w:val="23"/>
              </w:rPr>
            </w:pPr>
          </w:p>
          <w:p w14:paraId="32820696" w14:textId="77777777" w:rsidR="00C17633" w:rsidRPr="000D756E" w:rsidRDefault="00C17633" w:rsidP="00C17633">
            <w:pPr>
              <w:jc w:val="right"/>
              <w:rPr>
                <w:rFonts w:ascii="Arial" w:hAnsi="Arial" w:cs="Arial"/>
                <w:b/>
                <w:sz w:val="23"/>
                <w:szCs w:val="23"/>
              </w:rPr>
            </w:pPr>
          </w:p>
          <w:p w14:paraId="3FC54DE7" w14:textId="4143893A" w:rsidR="00C17633" w:rsidRPr="000D756E" w:rsidRDefault="00C17633" w:rsidP="00C17633">
            <w:pPr>
              <w:jc w:val="right"/>
              <w:rPr>
                <w:rFonts w:ascii="Arial" w:hAnsi="Arial" w:cs="Arial"/>
                <w:b/>
                <w:sz w:val="23"/>
                <w:szCs w:val="23"/>
              </w:rPr>
            </w:pPr>
            <w:r w:rsidRPr="000D756E">
              <w:rPr>
                <w:rFonts w:ascii="Arial" w:hAnsi="Arial" w:cs="Arial"/>
                <w:b/>
                <w:sz w:val="23"/>
                <w:szCs w:val="23"/>
              </w:rPr>
              <w:t>742</w:t>
            </w:r>
          </w:p>
        </w:tc>
        <w:tc>
          <w:tcPr>
            <w:tcW w:w="1560" w:type="dxa"/>
            <w:gridSpan w:val="3"/>
            <w:tcBorders>
              <w:top w:val="single" w:sz="4" w:space="0" w:color="auto"/>
              <w:left w:val="single" w:sz="4" w:space="0" w:color="auto"/>
              <w:bottom w:val="single" w:sz="4" w:space="0" w:color="auto"/>
              <w:right w:val="single" w:sz="4" w:space="0" w:color="auto"/>
            </w:tcBorders>
          </w:tcPr>
          <w:p w14:paraId="56F43CA7" w14:textId="77777777" w:rsidR="00C17633" w:rsidRPr="000D756E" w:rsidRDefault="00C17633" w:rsidP="00C17633">
            <w:pPr>
              <w:jc w:val="right"/>
              <w:rPr>
                <w:rFonts w:ascii="Arial" w:hAnsi="Arial" w:cs="Arial"/>
                <w:b/>
                <w:sz w:val="23"/>
                <w:szCs w:val="23"/>
              </w:rPr>
            </w:pPr>
          </w:p>
          <w:p w14:paraId="72C7B08D" w14:textId="77777777" w:rsidR="00C17633" w:rsidRPr="000D756E" w:rsidRDefault="00C17633" w:rsidP="00C17633">
            <w:pPr>
              <w:jc w:val="right"/>
              <w:rPr>
                <w:rFonts w:ascii="Arial" w:hAnsi="Arial" w:cs="Arial"/>
                <w:b/>
                <w:sz w:val="23"/>
                <w:szCs w:val="23"/>
              </w:rPr>
            </w:pPr>
          </w:p>
          <w:p w14:paraId="566D3EDB" w14:textId="71CD01E9" w:rsidR="00C17633" w:rsidRPr="000D756E" w:rsidRDefault="00C17633" w:rsidP="00C17633">
            <w:pPr>
              <w:jc w:val="right"/>
              <w:rPr>
                <w:rFonts w:ascii="Arial" w:hAnsi="Arial" w:cs="Arial"/>
                <w:b/>
                <w:sz w:val="23"/>
                <w:szCs w:val="23"/>
              </w:rPr>
            </w:pPr>
            <w:r w:rsidRPr="000D756E">
              <w:rPr>
                <w:rFonts w:ascii="Arial" w:hAnsi="Arial" w:cs="Arial"/>
                <w:b/>
                <w:sz w:val="23"/>
                <w:szCs w:val="23"/>
              </w:rPr>
              <w:t>0</w:t>
            </w:r>
          </w:p>
        </w:tc>
        <w:tc>
          <w:tcPr>
            <w:tcW w:w="1026" w:type="dxa"/>
            <w:gridSpan w:val="2"/>
            <w:tcBorders>
              <w:top w:val="single" w:sz="4" w:space="0" w:color="auto"/>
              <w:left w:val="single" w:sz="4" w:space="0" w:color="auto"/>
              <w:bottom w:val="single" w:sz="4" w:space="0" w:color="auto"/>
              <w:right w:val="single" w:sz="4" w:space="0" w:color="auto"/>
            </w:tcBorders>
          </w:tcPr>
          <w:p w14:paraId="0C18152B" w14:textId="77777777" w:rsidR="00C17633" w:rsidRPr="000D756E" w:rsidRDefault="00C17633" w:rsidP="00C17633">
            <w:pPr>
              <w:jc w:val="right"/>
              <w:rPr>
                <w:rFonts w:ascii="Arial" w:hAnsi="Arial" w:cs="Arial"/>
                <w:b/>
                <w:sz w:val="23"/>
                <w:szCs w:val="23"/>
              </w:rPr>
            </w:pPr>
          </w:p>
          <w:p w14:paraId="12F0C0A1" w14:textId="77777777" w:rsidR="00C17633" w:rsidRPr="000D756E" w:rsidRDefault="00C17633" w:rsidP="00C17633">
            <w:pPr>
              <w:jc w:val="right"/>
              <w:rPr>
                <w:rFonts w:ascii="Arial" w:hAnsi="Arial" w:cs="Arial"/>
                <w:b/>
                <w:sz w:val="23"/>
                <w:szCs w:val="23"/>
              </w:rPr>
            </w:pPr>
          </w:p>
          <w:p w14:paraId="303D6D35" w14:textId="391AA832" w:rsidR="00C17633" w:rsidRPr="000D756E" w:rsidRDefault="00C17633" w:rsidP="00C17633">
            <w:pPr>
              <w:jc w:val="right"/>
              <w:rPr>
                <w:rFonts w:ascii="Arial" w:hAnsi="Arial" w:cs="Arial"/>
                <w:b/>
                <w:sz w:val="23"/>
                <w:szCs w:val="23"/>
              </w:rPr>
            </w:pPr>
            <w:r w:rsidRPr="000D756E">
              <w:rPr>
                <w:rFonts w:ascii="Arial" w:hAnsi="Arial" w:cs="Arial"/>
                <w:b/>
                <w:sz w:val="23"/>
                <w:szCs w:val="23"/>
              </w:rPr>
              <w:t>742</w:t>
            </w:r>
          </w:p>
        </w:tc>
        <w:tc>
          <w:tcPr>
            <w:tcW w:w="1384" w:type="dxa"/>
            <w:gridSpan w:val="2"/>
            <w:tcBorders>
              <w:top w:val="single" w:sz="4" w:space="0" w:color="auto"/>
              <w:left w:val="single" w:sz="4" w:space="0" w:color="auto"/>
              <w:bottom w:val="single" w:sz="4" w:space="0" w:color="auto"/>
              <w:right w:val="single" w:sz="4" w:space="0" w:color="auto"/>
            </w:tcBorders>
          </w:tcPr>
          <w:p w14:paraId="517CC349" w14:textId="77777777" w:rsidR="00C17633" w:rsidRPr="000D756E" w:rsidRDefault="00C17633" w:rsidP="00C17633">
            <w:pPr>
              <w:jc w:val="right"/>
              <w:rPr>
                <w:rFonts w:ascii="Arial" w:hAnsi="Arial" w:cs="Arial"/>
                <w:b/>
                <w:sz w:val="23"/>
                <w:szCs w:val="23"/>
              </w:rPr>
            </w:pPr>
          </w:p>
          <w:p w14:paraId="3A5CAE2C" w14:textId="77777777" w:rsidR="00C17633" w:rsidRPr="000D756E" w:rsidRDefault="00C17633" w:rsidP="00C17633">
            <w:pPr>
              <w:jc w:val="right"/>
              <w:rPr>
                <w:rFonts w:ascii="Arial" w:hAnsi="Arial" w:cs="Arial"/>
                <w:b/>
                <w:sz w:val="23"/>
                <w:szCs w:val="23"/>
              </w:rPr>
            </w:pPr>
          </w:p>
          <w:p w14:paraId="1092A1FB" w14:textId="77777777" w:rsidR="00C17633" w:rsidRPr="000D756E" w:rsidRDefault="00C17633" w:rsidP="00C17633">
            <w:pPr>
              <w:jc w:val="right"/>
              <w:rPr>
                <w:rFonts w:ascii="Arial" w:hAnsi="Arial" w:cs="Arial"/>
                <w:b/>
                <w:sz w:val="23"/>
                <w:szCs w:val="23"/>
              </w:rPr>
            </w:pPr>
            <w:r w:rsidRPr="000D756E">
              <w:rPr>
                <w:rFonts w:ascii="Arial" w:hAnsi="Arial" w:cs="Arial"/>
                <w:b/>
                <w:sz w:val="23"/>
                <w:szCs w:val="23"/>
              </w:rPr>
              <w:t>0</w:t>
            </w:r>
          </w:p>
          <w:p w14:paraId="3FF054D4" w14:textId="4EB3597C" w:rsidR="00C17633" w:rsidRPr="000D756E" w:rsidRDefault="00C17633" w:rsidP="00C17633">
            <w:pPr>
              <w:jc w:val="right"/>
              <w:rPr>
                <w:rFonts w:ascii="Arial" w:hAnsi="Arial" w:cs="Arial"/>
                <w:b/>
                <w:sz w:val="23"/>
                <w:szCs w:val="23"/>
              </w:rPr>
            </w:pPr>
          </w:p>
        </w:tc>
        <w:tc>
          <w:tcPr>
            <w:tcW w:w="1274" w:type="dxa"/>
            <w:gridSpan w:val="2"/>
            <w:tcBorders>
              <w:top w:val="single" w:sz="4" w:space="0" w:color="auto"/>
              <w:left w:val="single" w:sz="4" w:space="0" w:color="auto"/>
              <w:bottom w:val="single" w:sz="4" w:space="0" w:color="auto"/>
              <w:right w:val="single" w:sz="4" w:space="0" w:color="auto"/>
            </w:tcBorders>
          </w:tcPr>
          <w:p w14:paraId="5AD9D512" w14:textId="77777777" w:rsidR="00C17633" w:rsidRPr="000D756E" w:rsidRDefault="00C17633" w:rsidP="00C17633">
            <w:pPr>
              <w:jc w:val="right"/>
              <w:rPr>
                <w:rFonts w:ascii="Arial" w:hAnsi="Arial" w:cs="Arial"/>
                <w:b/>
                <w:sz w:val="23"/>
                <w:szCs w:val="23"/>
              </w:rPr>
            </w:pPr>
          </w:p>
          <w:p w14:paraId="71CFEAE7" w14:textId="77777777" w:rsidR="00C17633" w:rsidRPr="000D756E" w:rsidRDefault="00C17633" w:rsidP="00C17633">
            <w:pPr>
              <w:jc w:val="right"/>
              <w:rPr>
                <w:rFonts w:ascii="Arial" w:hAnsi="Arial" w:cs="Arial"/>
                <w:b/>
                <w:sz w:val="23"/>
                <w:szCs w:val="23"/>
              </w:rPr>
            </w:pPr>
          </w:p>
          <w:p w14:paraId="406EFA68" w14:textId="5073982D" w:rsidR="00C17633" w:rsidRPr="000D756E" w:rsidRDefault="00C17633" w:rsidP="00C17633">
            <w:pPr>
              <w:jc w:val="right"/>
              <w:rPr>
                <w:rFonts w:ascii="Arial" w:hAnsi="Arial" w:cs="Arial"/>
                <w:b/>
                <w:sz w:val="23"/>
                <w:szCs w:val="23"/>
              </w:rPr>
            </w:pPr>
            <w:r w:rsidRPr="000D756E">
              <w:rPr>
                <w:rFonts w:ascii="Arial" w:hAnsi="Arial" w:cs="Arial"/>
                <w:b/>
                <w:sz w:val="23"/>
                <w:szCs w:val="23"/>
              </w:rPr>
              <w:t>742</w:t>
            </w:r>
          </w:p>
        </w:tc>
        <w:tc>
          <w:tcPr>
            <w:tcW w:w="1275" w:type="dxa"/>
            <w:gridSpan w:val="2"/>
            <w:tcBorders>
              <w:top w:val="single" w:sz="4" w:space="0" w:color="auto"/>
              <w:left w:val="single" w:sz="4" w:space="0" w:color="auto"/>
              <w:bottom w:val="single" w:sz="4" w:space="0" w:color="auto"/>
              <w:right w:val="single" w:sz="4" w:space="0" w:color="auto"/>
            </w:tcBorders>
          </w:tcPr>
          <w:p w14:paraId="46D02FAD" w14:textId="77777777" w:rsidR="00C17633" w:rsidRPr="000D756E" w:rsidRDefault="00C17633" w:rsidP="00C17633">
            <w:pPr>
              <w:jc w:val="right"/>
              <w:rPr>
                <w:rFonts w:ascii="Arial" w:hAnsi="Arial" w:cs="Arial"/>
                <w:b/>
                <w:sz w:val="23"/>
                <w:szCs w:val="23"/>
              </w:rPr>
            </w:pPr>
          </w:p>
          <w:p w14:paraId="3BC1C89B" w14:textId="77777777" w:rsidR="00C17633" w:rsidRPr="000D756E" w:rsidRDefault="00C17633" w:rsidP="00C17633">
            <w:pPr>
              <w:jc w:val="right"/>
              <w:rPr>
                <w:rFonts w:ascii="Arial" w:hAnsi="Arial" w:cs="Arial"/>
                <w:b/>
                <w:sz w:val="23"/>
                <w:szCs w:val="23"/>
              </w:rPr>
            </w:pPr>
          </w:p>
          <w:p w14:paraId="7088700A" w14:textId="1439A419" w:rsidR="00C17633" w:rsidRPr="000D756E" w:rsidRDefault="00C17633" w:rsidP="00C17633">
            <w:pPr>
              <w:jc w:val="right"/>
              <w:rPr>
                <w:rFonts w:ascii="Arial" w:hAnsi="Arial" w:cs="Arial"/>
                <w:b/>
                <w:sz w:val="23"/>
                <w:szCs w:val="23"/>
              </w:rPr>
            </w:pPr>
            <w:r w:rsidRPr="000D756E">
              <w:rPr>
                <w:rFonts w:ascii="Arial" w:hAnsi="Arial" w:cs="Arial"/>
                <w:b/>
                <w:sz w:val="23"/>
                <w:szCs w:val="23"/>
              </w:rPr>
              <w:t>-3,088</w:t>
            </w:r>
          </w:p>
        </w:tc>
        <w:tc>
          <w:tcPr>
            <w:tcW w:w="1421" w:type="dxa"/>
            <w:gridSpan w:val="2"/>
            <w:tcBorders>
              <w:top w:val="single" w:sz="4" w:space="0" w:color="auto"/>
              <w:left w:val="single" w:sz="4" w:space="0" w:color="auto"/>
              <w:bottom w:val="single" w:sz="4" w:space="0" w:color="auto"/>
              <w:right w:val="single" w:sz="4" w:space="0" w:color="auto"/>
            </w:tcBorders>
          </w:tcPr>
          <w:p w14:paraId="2F208DCF" w14:textId="77777777" w:rsidR="00C17633" w:rsidRPr="000D756E" w:rsidRDefault="00C17633" w:rsidP="00C17633">
            <w:pPr>
              <w:jc w:val="right"/>
              <w:rPr>
                <w:rFonts w:ascii="Arial" w:hAnsi="Arial" w:cs="Arial"/>
                <w:b/>
                <w:sz w:val="23"/>
                <w:szCs w:val="23"/>
              </w:rPr>
            </w:pPr>
          </w:p>
          <w:p w14:paraId="0EED0743" w14:textId="77777777" w:rsidR="00C17633" w:rsidRPr="000D756E" w:rsidRDefault="00C17633" w:rsidP="00C17633">
            <w:pPr>
              <w:jc w:val="right"/>
              <w:rPr>
                <w:rFonts w:ascii="Arial" w:hAnsi="Arial" w:cs="Arial"/>
                <w:b/>
                <w:sz w:val="23"/>
                <w:szCs w:val="23"/>
              </w:rPr>
            </w:pPr>
          </w:p>
          <w:p w14:paraId="032B6FC1" w14:textId="363C3D47" w:rsidR="00C17633" w:rsidRPr="000D756E" w:rsidRDefault="00C17633" w:rsidP="00C17633">
            <w:pPr>
              <w:jc w:val="right"/>
              <w:rPr>
                <w:rFonts w:ascii="Arial" w:hAnsi="Arial" w:cs="Arial"/>
                <w:b/>
                <w:sz w:val="23"/>
                <w:szCs w:val="23"/>
              </w:rPr>
            </w:pPr>
            <w:r w:rsidRPr="000D756E">
              <w:rPr>
                <w:rFonts w:ascii="Arial" w:hAnsi="Arial" w:cs="Arial"/>
                <w:b/>
                <w:sz w:val="23"/>
                <w:szCs w:val="23"/>
              </w:rPr>
              <w:t>-2,346</w:t>
            </w:r>
          </w:p>
        </w:tc>
      </w:tr>
      <w:tr w:rsidR="00C17633" w:rsidRPr="000D756E" w14:paraId="56171F44" w14:textId="77777777" w:rsidTr="001A0BC1">
        <w:tc>
          <w:tcPr>
            <w:tcW w:w="1843" w:type="dxa"/>
            <w:tcBorders>
              <w:right w:val="single" w:sz="4" w:space="0" w:color="auto"/>
            </w:tcBorders>
          </w:tcPr>
          <w:p w14:paraId="5D9E0898" w14:textId="77777777" w:rsidR="00C17633" w:rsidRPr="000D756E" w:rsidRDefault="00C17633" w:rsidP="00C17633">
            <w:pPr>
              <w:rPr>
                <w:rFonts w:ascii="Arial" w:hAnsi="Arial" w:cs="Arial"/>
                <w:sz w:val="23"/>
                <w:szCs w:val="23"/>
              </w:rPr>
            </w:pPr>
          </w:p>
          <w:p w14:paraId="43CBD727" w14:textId="77777777" w:rsidR="00C934F4" w:rsidRDefault="00C17633" w:rsidP="00C17633">
            <w:pPr>
              <w:rPr>
                <w:rFonts w:ascii="Arial" w:hAnsi="Arial" w:cs="Arial"/>
                <w:b/>
                <w:sz w:val="23"/>
                <w:szCs w:val="23"/>
              </w:rPr>
            </w:pPr>
            <w:r w:rsidRPr="000D756E">
              <w:rPr>
                <w:rFonts w:ascii="Arial" w:hAnsi="Arial" w:cs="Arial"/>
                <w:b/>
                <w:sz w:val="23"/>
                <w:szCs w:val="23"/>
              </w:rPr>
              <w:t>Balance as at 31 March 2023</w:t>
            </w:r>
            <w:r w:rsidR="00C934F4">
              <w:rPr>
                <w:rFonts w:ascii="Arial" w:hAnsi="Arial" w:cs="Arial"/>
                <w:b/>
                <w:sz w:val="23"/>
                <w:szCs w:val="23"/>
              </w:rPr>
              <w:t>4</w:t>
            </w:r>
          </w:p>
          <w:p w14:paraId="164BE8F6" w14:textId="32BAD00A" w:rsidR="00C17633" w:rsidRPr="000D756E" w:rsidRDefault="00C17633" w:rsidP="00C17633">
            <w:pPr>
              <w:rPr>
                <w:rFonts w:ascii="Arial" w:hAnsi="Arial" w:cs="Arial"/>
                <w:b/>
                <w:sz w:val="23"/>
                <w:szCs w:val="23"/>
              </w:rPr>
            </w:pPr>
            <w:r w:rsidRPr="000D756E">
              <w:rPr>
                <w:rFonts w:ascii="Arial" w:hAnsi="Arial" w:cs="Arial"/>
                <w:b/>
                <w:sz w:val="23"/>
                <w:szCs w:val="23"/>
              </w:rPr>
              <w:t>cfwd</w:t>
            </w:r>
          </w:p>
        </w:tc>
        <w:tc>
          <w:tcPr>
            <w:tcW w:w="1276" w:type="dxa"/>
            <w:tcBorders>
              <w:top w:val="single" w:sz="4" w:space="0" w:color="auto"/>
              <w:left w:val="single" w:sz="4" w:space="0" w:color="auto"/>
              <w:bottom w:val="single" w:sz="4" w:space="0" w:color="auto"/>
              <w:right w:val="single" w:sz="4" w:space="0" w:color="auto"/>
            </w:tcBorders>
          </w:tcPr>
          <w:p w14:paraId="7F7F52CE" w14:textId="77777777" w:rsidR="00C17633" w:rsidRPr="000D756E" w:rsidRDefault="00C17633" w:rsidP="00C17633">
            <w:pPr>
              <w:jc w:val="right"/>
              <w:rPr>
                <w:rFonts w:ascii="Arial" w:hAnsi="Arial" w:cs="Arial"/>
                <w:b/>
                <w:sz w:val="23"/>
                <w:szCs w:val="23"/>
              </w:rPr>
            </w:pPr>
          </w:p>
          <w:p w14:paraId="5298B075" w14:textId="77777777" w:rsidR="00C17633" w:rsidRPr="000D756E" w:rsidRDefault="00C17633" w:rsidP="00C17633">
            <w:pPr>
              <w:jc w:val="right"/>
              <w:rPr>
                <w:rFonts w:ascii="Arial" w:hAnsi="Arial" w:cs="Arial"/>
                <w:b/>
                <w:sz w:val="23"/>
                <w:szCs w:val="23"/>
              </w:rPr>
            </w:pPr>
          </w:p>
          <w:p w14:paraId="444384AE" w14:textId="46B649A7" w:rsidR="00C17633" w:rsidRPr="000D756E" w:rsidRDefault="00C17633" w:rsidP="00C17633">
            <w:pPr>
              <w:jc w:val="right"/>
              <w:rPr>
                <w:rFonts w:ascii="Arial" w:hAnsi="Arial" w:cs="Arial"/>
                <w:b/>
                <w:sz w:val="23"/>
                <w:szCs w:val="23"/>
              </w:rPr>
            </w:pPr>
            <w:r w:rsidRPr="000D756E">
              <w:rPr>
                <w:rFonts w:ascii="Arial" w:hAnsi="Arial" w:cs="Arial"/>
                <w:b/>
                <w:sz w:val="23"/>
                <w:szCs w:val="23"/>
              </w:rPr>
              <w:t>2,465</w:t>
            </w:r>
          </w:p>
        </w:tc>
        <w:tc>
          <w:tcPr>
            <w:tcW w:w="1560" w:type="dxa"/>
            <w:gridSpan w:val="3"/>
            <w:tcBorders>
              <w:top w:val="single" w:sz="4" w:space="0" w:color="auto"/>
              <w:left w:val="single" w:sz="4" w:space="0" w:color="auto"/>
              <w:bottom w:val="single" w:sz="4" w:space="0" w:color="auto"/>
              <w:right w:val="single" w:sz="4" w:space="0" w:color="auto"/>
            </w:tcBorders>
          </w:tcPr>
          <w:p w14:paraId="258630A7" w14:textId="77777777" w:rsidR="00C17633" w:rsidRPr="000D756E" w:rsidRDefault="00C17633" w:rsidP="00C17633">
            <w:pPr>
              <w:jc w:val="right"/>
              <w:rPr>
                <w:rFonts w:ascii="Arial" w:hAnsi="Arial" w:cs="Arial"/>
                <w:b/>
                <w:sz w:val="23"/>
                <w:szCs w:val="23"/>
              </w:rPr>
            </w:pPr>
          </w:p>
          <w:p w14:paraId="28053FCD" w14:textId="77777777" w:rsidR="00C17633" w:rsidRPr="000D756E" w:rsidRDefault="00C17633" w:rsidP="00C17633">
            <w:pPr>
              <w:jc w:val="right"/>
              <w:rPr>
                <w:rFonts w:ascii="Arial" w:hAnsi="Arial" w:cs="Arial"/>
                <w:b/>
                <w:sz w:val="23"/>
                <w:szCs w:val="23"/>
              </w:rPr>
            </w:pPr>
          </w:p>
          <w:p w14:paraId="0DD8CFEC" w14:textId="6C6D59BC" w:rsidR="00C17633" w:rsidRPr="000D756E" w:rsidRDefault="00C17633" w:rsidP="00C17633">
            <w:pPr>
              <w:jc w:val="right"/>
              <w:rPr>
                <w:rFonts w:ascii="Arial" w:hAnsi="Arial" w:cs="Arial"/>
                <w:b/>
                <w:sz w:val="23"/>
                <w:szCs w:val="23"/>
              </w:rPr>
            </w:pPr>
            <w:r w:rsidRPr="000D756E">
              <w:rPr>
                <w:rFonts w:ascii="Arial" w:hAnsi="Arial" w:cs="Arial"/>
                <w:b/>
                <w:sz w:val="23"/>
                <w:szCs w:val="23"/>
              </w:rPr>
              <w:t>11,095</w:t>
            </w:r>
          </w:p>
        </w:tc>
        <w:tc>
          <w:tcPr>
            <w:tcW w:w="1026" w:type="dxa"/>
            <w:gridSpan w:val="2"/>
            <w:tcBorders>
              <w:top w:val="single" w:sz="4" w:space="0" w:color="auto"/>
              <w:left w:val="single" w:sz="4" w:space="0" w:color="auto"/>
              <w:bottom w:val="single" w:sz="4" w:space="0" w:color="auto"/>
              <w:right w:val="single" w:sz="4" w:space="0" w:color="auto"/>
            </w:tcBorders>
          </w:tcPr>
          <w:p w14:paraId="58D98112" w14:textId="77777777" w:rsidR="00C17633" w:rsidRPr="000D756E" w:rsidRDefault="00C17633" w:rsidP="00C17633">
            <w:pPr>
              <w:jc w:val="right"/>
              <w:rPr>
                <w:rFonts w:ascii="Arial" w:hAnsi="Arial" w:cs="Arial"/>
                <w:b/>
                <w:sz w:val="23"/>
                <w:szCs w:val="23"/>
              </w:rPr>
            </w:pPr>
          </w:p>
          <w:p w14:paraId="2B397B4A" w14:textId="77777777" w:rsidR="00C17633" w:rsidRPr="000D756E" w:rsidRDefault="00C17633" w:rsidP="00C17633">
            <w:pPr>
              <w:jc w:val="right"/>
              <w:rPr>
                <w:rFonts w:ascii="Arial" w:hAnsi="Arial" w:cs="Arial"/>
                <w:b/>
                <w:sz w:val="23"/>
                <w:szCs w:val="23"/>
              </w:rPr>
            </w:pPr>
          </w:p>
          <w:p w14:paraId="078C9D54" w14:textId="573B8100" w:rsidR="00C17633" w:rsidRPr="000D756E" w:rsidRDefault="00C17633" w:rsidP="00C17633">
            <w:pPr>
              <w:jc w:val="right"/>
              <w:rPr>
                <w:rFonts w:ascii="Arial" w:hAnsi="Arial" w:cs="Arial"/>
                <w:b/>
                <w:sz w:val="23"/>
                <w:szCs w:val="23"/>
              </w:rPr>
            </w:pPr>
            <w:r w:rsidRPr="000D756E">
              <w:rPr>
                <w:rFonts w:ascii="Arial" w:hAnsi="Arial" w:cs="Arial"/>
                <w:b/>
                <w:sz w:val="23"/>
                <w:szCs w:val="23"/>
              </w:rPr>
              <w:t>13,560</w:t>
            </w:r>
          </w:p>
        </w:tc>
        <w:tc>
          <w:tcPr>
            <w:tcW w:w="1384" w:type="dxa"/>
            <w:gridSpan w:val="2"/>
            <w:tcBorders>
              <w:top w:val="single" w:sz="4" w:space="0" w:color="auto"/>
              <w:left w:val="single" w:sz="4" w:space="0" w:color="auto"/>
              <w:bottom w:val="single" w:sz="4" w:space="0" w:color="auto"/>
              <w:right w:val="single" w:sz="4" w:space="0" w:color="auto"/>
            </w:tcBorders>
          </w:tcPr>
          <w:p w14:paraId="03D1F2F6" w14:textId="77777777" w:rsidR="00C17633" w:rsidRPr="000D756E" w:rsidRDefault="00C17633" w:rsidP="00C17633">
            <w:pPr>
              <w:jc w:val="right"/>
              <w:rPr>
                <w:rFonts w:ascii="Arial" w:hAnsi="Arial" w:cs="Arial"/>
                <w:b/>
                <w:sz w:val="23"/>
                <w:szCs w:val="23"/>
              </w:rPr>
            </w:pPr>
          </w:p>
          <w:p w14:paraId="28626F15" w14:textId="77777777" w:rsidR="00C17633" w:rsidRPr="000D756E" w:rsidRDefault="00C17633" w:rsidP="00C17633">
            <w:pPr>
              <w:jc w:val="right"/>
              <w:rPr>
                <w:rFonts w:ascii="Arial" w:hAnsi="Arial" w:cs="Arial"/>
                <w:b/>
                <w:sz w:val="23"/>
                <w:szCs w:val="23"/>
              </w:rPr>
            </w:pPr>
          </w:p>
          <w:p w14:paraId="0A1116A5" w14:textId="634C3671" w:rsidR="00C17633" w:rsidRPr="000D756E" w:rsidRDefault="00C17633" w:rsidP="00C17633">
            <w:pPr>
              <w:jc w:val="right"/>
              <w:rPr>
                <w:rFonts w:ascii="Arial" w:hAnsi="Arial" w:cs="Arial"/>
                <w:b/>
                <w:sz w:val="23"/>
                <w:szCs w:val="23"/>
              </w:rPr>
            </w:pPr>
            <w:r w:rsidRPr="000D756E">
              <w:rPr>
                <w:rFonts w:ascii="Arial" w:hAnsi="Arial" w:cs="Arial"/>
                <w:b/>
                <w:sz w:val="23"/>
                <w:szCs w:val="23"/>
              </w:rPr>
              <w:t>0</w:t>
            </w:r>
          </w:p>
        </w:tc>
        <w:tc>
          <w:tcPr>
            <w:tcW w:w="1274" w:type="dxa"/>
            <w:gridSpan w:val="2"/>
            <w:tcBorders>
              <w:top w:val="single" w:sz="4" w:space="0" w:color="auto"/>
              <w:left w:val="single" w:sz="4" w:space="0" w:color="auto"/>
              <w:bottom w:val="single" w:sz="4" w:space="0" w:color="auto"/>
              <w:right w:val="single" w:sz="4" w:space="0" w:color="auto"/>
            </w:tcBorders>
          </w:tcPr>
          <w:p w14:paraId="6A4D31FB" w14:textId="77777777" w:rsidR="00C17633" w:rsidRPr="000D756E" w:rsidRDefault="00C17633" w:rsidP="00C17633">
            <w:pPr>
              <w:jc w:val="right"/>
              <w:rPr>
                <w:rFonts w:ascii="Arial" w:hAnsi="Arial" w:cs="Arial"/>
                <w:b/>
                <w:sz w:val="23"/>
                <w:szCs w:val="23"/>
              </w:rPr>
            </w:pPr>
          </w:p>
          <w:p w14:paraId="2E836C30" w14:textId="77777777" w:rsidR="00C17633" w:rsidRPr="000D756E" w:rsidRDefault="00C17633" w:rsidP="00C17633">
            <w:pPr>
              <w:jc w:val="right"/>
              <w:rPr>
                <w:rFonts w:ascii="Arial" w:hAnsi="Arial" w:cs="Arial"/>
                <w:b/>
                <w:sz w:val="23"/>
                <w:szCs w:val="23"/>
              </w:rPr>
            </w:pPr>
          </w:p>
          <w:p w14:paraId="0DECB7D7" w14:textId="02DA2689" w:rsidR="00C17633" w:rsidRPr="000D756E" w:rsidRDefault="00C17633" w:rsidP="00C17633">
            <w:pPr>
              <w:jc w:val="right"/>
              <w:rPr>
                <w:rFonts w:ascii="Arial" w:hAnsi="Arial" w:cs="Arial"/>
                <w:b/>
                <w:sz w:val="23"/>
                <w:szCs w:val="23"/>
              </w:rPr>
            </w:pPr>
            <w:r w:rsidRPr="000D756E">
              <w:rPr>
                <w:rFonts w:ascii="Arial" w:hAnsi="Arial" w:cs="Arial"/>
                <w:b/>
                <w:sz w:val="23"/>
                <w:szCs w:val="23"/>
              </w:rPr>
              <w:t>13,560</w:t>
            </w:r>
          </w:p>
        </w:tc>
        <w:tc>
          <w:tcPr>
            <w:tcW w:w="1275" w:type="dxa"/>
            <w:gridSpan w:val="2"/>
            <w:tcBorders>
              <w:top w:val="single" w:sz="4" w:space="0" w:color="auto"/>
              <w:left w:val="single" w:sz="4" w:space="0" w:color="auto"/>
              <w:bottom w:val="single" w:sz="4" w:space="0" w:color="auto"/>
              <w:right w:val="single" w:sz="4" w:space="0" w:color="auto"/>
            </w:tcBorders>
          </w:tcPr>
          <w:p w14:paraId="0C9C2C68" w14:textId="77777777" w:rsidR="00C17633" w:rsidRPr="000D756E" w:rsidRDefault="00C17633" w:rsidP="00C17633">
            <w:pPr>
              <w:jc w:val="right"/>
              <w:rPr>
                <w:rFonts w:ascii="Arial" w:hAnsi="Arial" w:cs="Arial"/>
                <w:b/>
                <w:sz w:val="23"/>
                <w:szCs w:val="23"/>
              </w:rPr>
            </w:pPr>
          </w:p>
          <w:p w14:paraId="5E60465F" w14:textId="77777777" w:rsidR="00C17633" w:rsidRPr="000D756E" w:rsidRDefault="00C17633" w:rsidP="00C17633">
            <w:pPr>
              <w:jc w:val="right"/>
              <w:rPr>
                <w:rFonts w:ascii="Arial" w:hAnsi="Arial" w:cs="Arial"/>
                <w:b/>
                <w:sz w:val="23"/>
                <w:szCs w:val="23"/>
              </w:rPr>
            </w:pPr>
          </w:p>
          <w:p w14:paraId="0A65C060" w14:textId="2E7888BA" w:rsidR="00C17633" w:rsidRPr="000D756E" w:rsidRDefault="00C17633" w:rsidP="00C17633">
            <w:pPr>
              <w:jc w:val="right"/>
              <w:rPr>
                <w:rFonts w:ascii="Arial" w:hAnsi="Arial" w:cs="Arial"/>
                <w:b/>
                <w:sz w:val="23"/>
                <w:szCs w:val="23"/>
              </w:rPr>
            </w:pPr>
            <w:r w:rsidRPr="000D756E">
              <w:rPr>
                <w:rFonts w:ascii="Arial" w:hAnsi="Arial" w:cs="Arial"/>
                <w:b/>
                <w:sz w:val="23"/>
                <w:szCs w:val="23"/>
              </w:rPr>
              <w:t>-160,896</w:t>
            </w:r>
          </w:p>
        </w:tc>
        <w:tc>
          <w:tcPr>
            <w:tcW w:w="1421" w:type="dxa"/>
            <w:gridSpan w:val="2"/>
            <w:tcBorders>
              <w:top w:val="single" w:sz="4" w:space="0" w:color="auto"/>
              <w:left w:val="single" w:sz="4" w:space="0" w:color="auto"/>
              <w:bottom w:val="single" w:sz="4" w:space="0" w:color="auto"/>
              <w:right w:val="single" w:sz="4" w:space="0" w:color="auto"/>
            </w:tcBorders>
          </w:tcPr>
          <w:p w14:paraId="729FAAE3" w14:textId="77777777" w:rsidR="00C17633" w:rsidRPr="000D756E" w:rsidRDefault="00C17633" w:rsidP="00C17633">
            <w:pPr>
              <w:jc w:val="right"/>
              <w:rPr>
                <w:rFonts w:ascii="Arial" w:hAnsi="Arial" w:cs="Arial"/>
                <w:b/>
                <w:sz w:val="23"/>
                <w:szCs w:val="23"/>
              </w:rPr>
            </w:pPr>
          </w:p>
          <w:p w14:paraId="726BB86E" w14:textId="77777777" w:rsidR="00C17633" w:rsidRPr="000D756E" w:rsidRDefault="00C17633" w:rsidP="00C17633">
            <w:pPr>
              <w:jc w:val="right"/>
              <w:rPr>
                <w:rFonts w:ascii="Arial" w:hAnsi="Arial" w:cs="Arial"/>
                <w:b/>
                <w:sz w:val="23"/>
                <w:szCs w:val="23"/>
              </w:rPr>
            </w:pPr>
          </w:p>
          <w:p w14:paraId="1481E411" w14:textId="298F3871" w:rsidR="00C17633" w:rsidRPr="000D756E" w:rsidRDefault="00C17633" w:rsidP="00C17633">
            <w:pPr>
              <w:jc w:val="right"/>
              <w:rPr>
                <w:rFonts w:ascii="Arial" w:hAnsi="Arial" w:cs="Arial"/>
                <w:b/>
                <w:sz w:val="23"/>
                <w:szCs w:val="23"/>
              </w:rPr>
            </w:pPr>
            <w:r w:rsidRPr="000D756E">
              <w:rPr>
                <w:rFonts w:ascii="Arial" w:hAnsi="Arial" w:cs="Arial"/>
                <w:b/>
                <w:sz w:val="23"/>
                <w:szCs w:val="23"/>
              </w:rPr>
              <w:t>-147,336</w:t>
            </w:r>
          </w:p>
        </w:tc>
      </w:tr>
      <w:tr w:rsidR="00C17633" w:rsidRPr="000D756E" w14:paraId="47E04833" w14:textId="77777777" w:rsidTr="001A0BC1">
        <w:tc>
          <w:tcPr>
            <w:tcW w:w="1843" w:type="dxa"/>
            <w:tcBorders>
              <w:right w:val="single" w:sz="4" w:space="0" w:color="auto"/>
            </w:tcBorders>
          </w:tcPr>
          <w:p w14:paraId="25AF44CF" w14:textId="77777777" w:rsidR="00C17633" w:rsidRPr="000D756E" w:rsidRDefault="00C17633" w:rsidP="00C17633">
            <w:pPr>
              <w:rPr>
                <w:rFonts w:ascii="Arial" w:hAnsi="Arial" w:cs="Arial"/>
                <w:sz w:val="23"/>
                <w:szCs w:val="23"/>
              </w:rPr>
            </w:pPr>
          </w:p>
          <w:p w14:paraId="2A699F3C" w14:textId="4FEF7212" w:rsidR="00C17633" w:rsidRPr="000D756E" w:rsidRDefault="00C17633" w:rsidP="00C17633">
            <w:pPr>
              <w:rPr>
                <w:rFonts w:ascii="Arial" w:hAnsi="Arial" w:cs="Arial"/>
                <w:sz w:val="23"/>
                <w:szCs w:val="23"/>
              </w:rPr>
            </w:pPr>
            <w:r w:rsidRPr="000D756E">
              <w:rPr>
                <w:rFonts w:ascii="Arial" w:hAnsi="Arial" w:cs="Arial"/>
                <w:sz w:val="23"/>
                <w:szCs w:val="23"/>
              </w:rPr>
              <w:t>Transfers to/from Earmarked Reserves</w:t>
            </w:r>
          </w:p>
        </w:tc>
        <w:tc>
          <w:tcPr>
            <w:tcW w:w="1276" w:type="dxa"/>
            <w:tcBorders>
              <w:top w:val="single" w:sz="4" w:space="0" w:color="auto"/>
              <w:left w:val="single" w:sz="4" w:space="0" w:color="auto"/>
              <w:bottom w:val="single" w:sz="4" w:space="0" w:color="auto"/>
              <w:right w:val="single" w:sz="4" w:space="0" w:color="auto"/>
            </w:tcBorders>
          </w:tcPr>
          <w:p w14:paraId="0414782E" w14:textId="77777777" w:rsidR="00C17633" w:rsidRPr="000D756E" w:rsidRDefault="00C17633" w:rsidP="00C17633">
            <w:pPr>
              <w:jc w:val="right"/>
              <w:rPr>
                <w:rFonts w:ascii="Arial" w:hAnsi="Arial" w:cs="Arial"/>
                <w:sz w:val="23"/>
                <w:szCs w:val="23"/>
              </w:rPr>
            </w:pPr>
          </w:p>
          <w:p w14:paraId="20532F4A" w14:textId="77777777" w:rsidR="00C17633" w:rsidRPr="000D756E" w:rsidRDefault="00C17633" w:rsidP="00C17633">
            <w:pPr>
              <w:jc w:val="right"/>
              <w:rPr>
                <w:rFonts w:ascii="Arial" w:hAnsi="Arial" w:cs="Arial"/>
                <w:sz w:val="23"/>
                <w:szCs w:val="23"/>
              </w:rPr>
            </w:pPr>
          </w:p>
          <w:p w14:paraId="3249F4AA" w14:textId="77777777" w:rsidR="00C17633" w:rsidRPr="000D756E" w:rsidRDefault="00C17633" w:rsidP="00C17633">
            <w:pPr>
              <w:jc w:val="right"/>
              <w:rPr>
                <w:rFonts w:ascii="Arial" w:hAnsi="Arial" w:cs="Arial"/>
                <w:sz w:val="23"/>
                <w:szCs w:val="23"/>
              </w:rPr>
            </w:pPr>
          </w:p>
          <w:p w14:paraId="56AB9859" w14:textId="5A3BDBDF" w:rsidR="00C17633" w:rsidRPr="000D756E" w:rsidRDefault="00C17633" w:rsidP="00C17633">
            <w:pPr>
              <w:jc w:val="right"/>
              <w:rPr>
                <w:rFonts w:ascii="Arial" w:hAnsi="Arial" w:cs="Arial"/>
                <w:sz w:val="23"/>
                <w:szCs w:val="23"/>
              </w:rPr>
            </w:pPr>
            <w:r w:rsidRPr="000D756E">
              <w:rPr>
                <w:rFonts w:ascii="Arial" w:hAnsi="Arial" w:cs="Arial"/>
                <w:sz w:val="23"/>
                <w:szCs w:val="23"/>
              </w:rPr>
              <w:t>-32</w:t>
            </w:r>
          </w:p>
        </w:tc>
        <w:tc>
          <w:tcPr>
            <w:tcW w:w="1560" w:type="dxa"/>
            <w:gridSpan w:val="3"/>
            <w:tcBorders>
              <w:top w:val="single" w:sz="4" w:space="0" w:color="auto"/>
              <w:left w:val="single" w:sz="4" w:space="0" w:color="auto"/>
              <w:bottom w:val="single" w:sz="4" w:space="0" w:color="auto"/>
              <w:right w:val="single" w:sz="4" w:space="0" w:color="auto"/>
            </w:tcBorders>
          </w:tcPr>
          <w:p w14:paraId="4B17DD75" w14:textId="77777777" w:rsidR="00C17633" w:rsidRPr="000D756E" w:rsidRDefault="00C17633" w:rsidP="00C17633">
            <w:pPr>
              <w:jc w:val="right"/>
              <w:rPr>
                <w:rFonts w:ascii="Arial" w:hAnsi="Arial" w:cs="Arial"/>
                <w:sz w:val="23"/>
                <w:szCs w:val="23"/>
              </w:rPr>
            </w:pPr>
          </w:p>
          <w:p w14:paraId="6D97AE90" w14:textId="77777777" w:rsidR="00C17633" w:rsidRPr="000D756E" w:rsidRDefault="00C17633" w:rsidP="00C17633">
            <w:pPr>
              <w:jc w:val="right"/>
              <w:rPr>
                <w:rFonts w:ascii="Arial" w:hAnsi="Arial" w:cs="Arial"/>
                <w:sz w:val="23"/>
                <w:szCs w:val="23"/>
              </w:rPr>
            </w:pPr>
          </w:p>
          <w:p w14:paraId="6F10BB14" w14:textId="77777777" w:rsidR="00C17633" w:rsidRPr="000D756E" w:rsidRDefault="00C17633" w:rsidP="00C17633">
            <w:pPr>
              <w:jc w:val="right"/>
              <w:rPr>
                <w:rFonts w:ascii="Arial" w:hAnsi="Arial" w:cs="Arial"/>
                <w:sz w:val="23"/>
                <w:szCs w:val="23"/>
              </w:rPr>
            </w:pPr>
          </w:p>
          <w:p w14:paraId="58E1BAE3" w14:textId="6FE5D657" w:rsidR="00C17633" w:rsidRPr="000D756E" w:rsidRDefault="00C17633" w:rsidP="00C17633">
            <w:pPr>
              <w:jc w:val="right"/>
              <w:rPr>
                <w:rFonts w:ascii="Arial" w:hAnsi="Arial" w:cs="Arial"/>
                <w:sz w:val="23"/>
                <w:szCs w:val="23"/>
              </w:rPr>
            </w:pPr>
            <w:r w:rsidRPr="000D756E">
              <w:rPr>
                <w:rFonts w:ascii="Arial" w:hAnsi="Arial" w:cs="Arial"/>
                <w:sz w:val="23"/>
                <w:szCs w:val="23"/>
              </w:rPr>
              <w:t>32</w:t>
            </w:r>
          </w:p>
        </w:tc>
        <w:tc>
          <w:tcPr>
            <w:tcW w:w="1026" w:type="dxa"/>
            <w:gridSpan w:val="2"/>
            <w:tcBorders>
              <w:top w:val="single" w:sz="4" w:space="0" w:color="auto"/>
              <w:left w:val="single" w:sz="4" w:space="0" w:color="auto"/>
              <w:bottom w:val="single" w:sz="4" w:space="0" w:color="auto"/>
              <w:right w:val="single" w:sz="4" w:space="0" w:color="auto"/>
            </w:tcBorders>
          </w:tcPr>
          <w:p w14:paraId="01651040" w14:textId="77777777" w:rsidR="00C17633" w:rsidRPr="000D756E" w:rsidRDefault="00C17633" w:rsidP="00C17633">
            <w:pPr>
              <w:jc w:val="right"/>
              <w:rPr>
                <w:rFonts w:ascii="Arial" w:hAnsi="Arial" w:cs="Arial"/>
                <w:sz w:val="23"/>
                <w:szCs w:val="23"/>
              </w:rPr>
            </w:pPr>
          </w:p>
          <w:p w14:paraId="1D2D0C6B" w14:textId="77777777" w:rsidR="00C17633" w:rsidRPr="000D756E" w:rsidRDefault="00C17633" w:rsidP="00C17633">
            <w:pPr>
              <w:jc w:val="right"/>
              <w:rPr>
                <w:rFonts w:ascii="Arial" w:hAnsi="Arial" w:cs="Arial"/>
                <w:sz w:val="23"/>
                <w:szCs w:val="23"/>
              </w:rPr>
            </w:pPr>
          </w:p>
          <w:p w14:paraId="64421BF1" w14:textId="77777777" w:rsidR="00C17633" w:rsidRPr="000D756E" w:rsidRDefault="00C17633" w:rsidP="00C17633">
            <w:pPr>
              <w:jc w:val="right"/>
              <w:rPr>
                <w:rFonts w:ascii="Arial" w:hAnsi="Arial" w:cs="Arial"/>
                <w:sz w:val="23"/>
                <w:szCs w:val="23"/>
              </w:rPr>
            </w:pPr>
          </w:p>
          <w:p w14:paraId="54153420" w14:textId="5736E54C" w:rsidR="00C17633" w:rsidRPr="000D756E" w:rsidRDefault="00C17633" w:rsidP="00C17633">
            <w:pPr>
              <w:jc w:val="right"/>
              <w:rPr>
                <w:rFonts w:ascii="Arial" w:hAnsi="Arial" w:cs="Arial"/>
                <w:sz w:val="23"/>
                <w:szCs w:val="23"/>
              </w:rPr>
            </w:pPr>
            <w:r w:rsidRPr="000D756E">
              <w:rPr>
                <w:rFonts w:ascii="Arial" w:hAnsi="Arial" w:cs="Arial"/>
                <w:sz w:val="23"/>
                <w:szCs w:val="23"/>
              </w:rPr>
              <w:t>0</w:t>
            </w:r>
          </w:p>
        </w:tc>
        <w:tc>
          <w:tcPr>
            <w:tcW w:w="1384" w:type="dxa"/>
            <w:gridSpan w:val="2"/>
            <w:tcBorders>
              <w:top w:val="single" w:sz="4" w:space="0" w:color="auto"/>
              <w:left w:val="single" w:sz="4" w:space="0" w:color="auto"/>
              <w:bottom w:val="single" w:sz="4" w:space="0" w:color="auto"/>
              <w:right w:val="single" w:sz="4" w:space="0" w:color="auto"/>
            </w:tcBorders>
          </w:tcPr>
          <w:p w14:paraId="695E555A" w14:textId="77777777" w:rsidR="00C17633" w:rsidRPr="000D756E" w:rsidRDefault="00C17633" w:rsidP="00C17633">
            <w:pPr>
              <w:jc w:val="right"/>
              <w:rPr>
                <w:rFonts w:ascii="Arial" w:hAnsi="Arial" w:cs="Arial"/>
                <w:sz w:val="23"/>
                <w:szCs w:val="23"/>
              </w:rPr>
            </w:pPr>
          </w:p>
          <w:p w14:paraId="62FD4252" w14:textId="77777777" w:rsidR="00C17633" w:rsidRPr="000D756E" w:rsidRDefault="00C17633" w:rsidP="00C17633">
            <w:pPr>
              <w:jc w:val="right"/>
              <w:rPr>
                <w:rFonts w:ascii="Arial" w:hAnsi="Arial" w:cs="Arial"/>
                <w:sz w:val="23"/>
                <w:szCs w:val="23"/>
              </w:rPr>
            </w:pPr>
          </w:p>
          <w:p w14:paraId="28E641D2" w14:textId="77777777" w:rsidR="00C17633" w:rsidRPr="000D756E" w:rsidRDefault="00C17633" w:rsidP="00C17633">
            <w:pPr>
              <w:jc w:val="right"/>
              <w:rPr>
                <w:rFonts w:ascii="Arial" w:hAnsi="Arial" w:cs="Arial"/>
                <w:sz w:val="23"/>
                <w:szCs w:val="23"/>
              </w:rPr>
            </w:pPr>
          </w:p>
          <w:p w14:paraId="77731D43" w14:textId="2477DCB3" w:rsidR="00C17633" w:rsidRPr="000D756E" w:rsidRDefault="00C17633" w:rsidP="00C17633">
            <w:pPr>
              <w:jc w:val="right"/>
              <w:rPr>
                <w:rFonts w:ascii="Arial" w:hAnsi="Arial" w:cs="Arial"/>
                <w:sz w:val="23"/>
                <w:szCs w:val="23"/>
              </w:rPr>
            </w:pPr>
            <w:r w:rsidRPr="000D756E">
              <w:rPr>
                <w:rFonts w:ascii="Arial" w:hAnsi="Arial" w:cs="Arial"/>
                <w:sz w:val="23"/>
                <w:szCs w:val="23"/>
              </w:rPr>
              <w:t>0</w:t>
            </w:r>
          </w:p>
        </w:tc>
        <w:tc>
          <w:tcPr>
            <w:tcW w:w="1274" w:type="dxa"/>
            <w:gridSpan w:val="2"/>
            <w:tcBorders>
              <w:top w:val="single" w:sz="4" w:space="0" w:color="auto"/>
              <w:left w:val="single" w:sz="4" w:space="0" w:color="auto"/>
              <w:bottom w:val="single" w:sz="4" w:space="0" w:color="auto"/>
              <w:right w:val="single" w:sz="4" w:space="0" w:color="auto"/>
            </w:tcBorders>
          </w:tcPr>
          <w:p w14:paraId="1A7FE9AF" w14:textId="77777777" w:rsidR="00C17633" w:rsidRPr="000D756E" w:rsidRDefault="00C17633" w:rsidP="00C17633">
            <w:pPr>
              <w:jc w:val="right"/>
              <w:rPr>
                <w:rFonts w:ascii="Arial" w:hAnsi="Arial" w:cs="Arial"/>
                <w:sz w:val="23"/>
                <w:szCs w:val="23"/>
              </w:rPr>
            </w:pPr>
          </w:p>
          <w:p w14:paraId="38349D5D" w14:textId="77777777" w:rsidR="00C17633" w:rsidRPr="000D756E" w:rsidRDefault="00C17633" w:rsidP="00C17633">
            <w:pPr>
              <w:jc w:val="right"/>
              <w:rPr>
                <w:rFonts w:ascii="Arial" w:hAnsi="Arial" w:cs="Arial"/>
                <w:sz w:val="23"/>
                <w:szCs w:val="23"/>
              </w:rPr>
            </w:pPr>
          </w:p>
          <w:p w14:paraId="5585DADE" w14:textId="77777777" w:rsidR="00C17633" w:rsidRPr="000D756E" w:rsidRDefault="00C17633" w:rsidP="00C17633">
            <w:pPr>
              <w:jc w:val="right"/>
              <w:rPr>
                <w:rFonts w:ascii="Arial" w:hAnsi="Arial" w:cs="Arial"/>
                <w:sz w:val="23"/>
                <w:szCs w:val="23"/>
              </w:rPr>
            </w:pPr>
          </w:p>
          <w:p w14:paraId="14C4E199" w14:textId="0B2A4793" w:rsidR="00C17633" w:rsidRPr="000D756E" w:rsidRDefault="00C17633" w:rsidP="00C17633">
            <w:pPr>
              <w:jc w:val="right"/>
              <w:rPr>
                <w:rFonts w:ascii="Arial" w:hAnsi="Arial" w:cs="Arial"/>
                <w:sz w:val="23"/>
                <w:szCs w:val="23"/>
              </w:rPr>
            </w:pPr>
            <w:r w:rsidRPr="000D756E">
              <w:rPr>
                <w:rFonts w:ascii="Arial" w:hAnsi="Arial" w:cs="Arial"/>
                <w:sz w:val="23"/>
                <w:szCs w:val="23"/>
              </w:rPr>
              <w:t>0</w:t>
            </w:r>
          </w:p>
        </w:tc>
        <w:tc>
          <w:tcPr>
            <w:tcW w:w="1275" w:type="dxa"/>
            <w:gridSpan w:val="2"/>
            <w:tcBorders>
              <w:top w:val="single" w:sz="4" w:space="0" w:color="auto"/>
              <w:left w:val="single" w:sz="4" w:space="0" w:color="auto"/>
              <w:bottom w:val="single" w:sz="4" w:space="0" w:color="auto"/>
              <w:right w:val="single" w:sz="4" w:space="0" w:color="auto"/>
            </w:tcBorders>
          </w:tcPr>
          <w:p w14:paraId="1301CF08" w14:textId="77777777" w:rsidR="00C17633" w:rsidRPr="000D756E" w:rsidRDefault="00C17633" w:rsidP="00C17633">
            <w:pPr>
              <w:jc w:val="right"/>
              <w:rPr>
                <w:rFonts w:ascii="Arial" w:hAnsi="Arial" w:cs="Arial"/>
                <w:sz w:val="23"/>
                <w:szCs w:val="23"/>
              </w:rPr>
            </w:pPr>
          </w:p>
          <w:p w14:paraId="47702E10" w14:textId="77777777" w:rsidR="00C17633" w:rsidRPr="000D756E" w:rsidRDefault="00C17633" w:rsidP="00C17633">
            <w:pPr>
              <w:jc w:val="right"/>
              <w:rPr>
                <w:rFonts w:ascii="Arial" w:hAnsi="Arial" w:cs="Arial"/>
                <w:sz w:val="23"/>
                <w:szCs w:val="23"/>
              </w:rPr>
            </w:pPr>
          </w:p>
          <w:p w14:paraId="35A3F295" w14:textId="77777777" w:rsidR="00C17633" w:rsidRPr="000D756E" w:rsidRDefault="00C17633" w:rsidP="00C17633">
            <w:pPr>
              <w:jc w:val="right"/>
              <w:rPr>
                <w:rFonts w:ascii="Arial" w:hAnsi="Arial" w:cs="Arial"/>
                <w:sz w:val="23"/>
                <w:szCs w:val="23"/>
              </w:rPr>
            </w:pPr>
          </w:p>
          <w:p w14:paraId="4BA12137" w14:textId="6D9DFEA4" w:rsidR="00C17633" w:rsidRPr="000D756E" w:rsidRDefault="00C17633" w:rsidP="00C17633">
            <w:pPr>
              <w:jc w:val="right"/>
              <w:rPr>
                <w:rFonts w:ascii="Arial" w:hAnsi="Arial" w:cs="Arial"/>
                <w:sz w:val="23"/>
                <w:szCs w:val="23"/>
              </w:rPr>
            </w:pPr>
            <w:r w:rsidRPr="000D756E">
              <w:rPr>
                <w:rFonts w:ascii="Arial" w:hAnsi="Arial" w:cs="Arial"/>
                <w:sz w:val="23"/>
                <w:szCs w:val="23"/>
              </w:rPr>
              <w:t>0</w:t>
            </w:r>
          </w:p>
        </w:tc>
        <w:tc>
          <w:tcPr>
            <w:tcW w:w="1421" w:type="dxa"/>
            <w:gridSpan w:val="2"/>
            <w:tcBorders>
              <w:top w:val="single" w:sz="4" w:space="0" w:color="auto"/>
              <w:left w:val="single" w:sz="4" w:space="0" w:color="auto"/>
              <w:bottom w:val="single" w:sz="4" w:space="0" w:color="auto"/>
              <w:right w:val="single" w:sz="4" w:space="0" w:color="auto"/>
            </w:tcBorders>
          </w:tcPr>
          <w:p w14:paraId="3FB7A78C" w14:textId="77777777" w:rsidR="00C17633" w:rsidRPr="000D756E" w:rsidRDefault="00C17633" w:rsidP="00C17633">
            <w:pPr>
              <w:jc w:val="right"/>
              <w:rPr>
                <w:rFonts w:ascii="Arial" w:hAnsi="Arial" w:cs="Arial"/>
                <w:sz w:val="23"/>
                <w:szCs w:val="23"/>
              </w:rPr>
            </w:pPr>
          </w:p>
          <w:p w14:paraId="03A38EEA" w14:textId="77777777" w:rsidR="00C17633" w:rsidRPr="000D756E" w:rsidRDefault="00C17633" w:rsidP="00C17633">
            <w:pPr>
              <w:jc w:val="right"/>
              <w:rPr>
                <w:rFonts w:ascii="Arial" w:hAnsi="Arial" w:cs="Arial"/>
                <w:sz w:val="23"/>
                <w:szCs w:val="23"/>
              </w:rPr>
            </w:pPr>
          </w:p>
          <w:p w14:paraId="34AE4D72" w14:textId="77777777" w:rsidR="00C17633" w:rsidRPr="000D756E" w:rsidRDefault="00C17633" w:rsidP="00C17633">
            <w:pPr>
              <w:jc w:val="right"/>
              <w:rPr>
                <w:rFonts w:ascii="Arial" w:hAnsi="Arial" w:cs="Arial"/>
                <w:sz w:val="23"/>
                <w:szCs w:val="23"/>
              </w:rPr>
            </w:pPr>
          </w:p>
          <w:p w14:paraId="73741897" w14:textId="1DDDEF39" w:rsidR="00C17633" w:rsidRPr="000D756E" w:rsidRDefault="00C17633" w:rsidP="00C17633">
            <w:pPr>
              <w:jc w:val="right"/>
              <w:rPr>
                <w:rFonts w:ascii="Arial" w:hAnsi="Arial" w:cs="Arial"/>
                <w:sz w:val="23"/>
                <w:szCs w:val="23"/>
              </w:rPr>
            </w:pPr>
            <w:r w:rsidRPr="000D756E">
              <w:rPr>
                <w:rFonts w:ascii="Arial" w:hAnsi="Arial" w:cs="Arial"/>
                <w:sz w:val="23"/>
                <w:szCs w:val="23"/>
              </w:rPr>
              <w:t>0</w:t>
            </w:r>
          </w:p>
        </w:tc>
      </w:tr>
      <w:tr w:rsidR="00C17633" w:rsidRPr="000D756E" w14:paraId="125E8FFF" w14:textId="77777777" w:rsidTr="001A0BC1">
        <w:tc>
          <w:tcPr>
            <w:tcW w:w="1843" w:type="dxa"/>
            <w:tcBorders>
              <w:right w:val="single" w:sz="4" w:space="0" w:color="auto"/>
            </w:tcBorders>
          </w:tcPr>
          <w:p w14:paraId="1BF51EDC" w14:textId="77777777" w:rsidR="00C17633" w:rsidRPr="000D756E" w:rsidRDefault="00C17633" w:rsidP="00C17633">
            <w:pPr>
              <w:rPr>
                <w:rFonts w:ascii="Arial" w:hAnsi="Arial" w:cs="Arial"/>
                <w:b/>
                <w:sz w:val="23"/>
                <w:szCs w:val="23"/>
              </w:rPr>
            </w:pPr>
          </w:p>
          <w:p w14:paraId="380E3AFE" w14:textId="58540F92" w:rsidR="00C17633" w:rsidRPr="000D756E" w:rsidRDefault="00C17633" w:rsidP="00C17633">
            <w:pPr>
              <w:rPr>
                <w:rFonts w:ascii="Arial" w:hAnsi="Arial" w:cs="Arial"/>
                <w:b/>
                <w:sz w:val="23"/>
                <w:szCs w:val="23"/>
              </w:rPr>
            </w:pPr>
            <w:r w:rsidRPr="000D756E">
              <w:rPr>
                <w:rFonts w:ascii="Arial" w:hAnsi="Arial" w:cs="Arial"/>
                <w:b/>
                <w:sz w:val="23"/>
                <w:szCs w:val="23"/>
              </w:rPr>
              <w:t>Balance as at 31 March 202</w:t>
            </w:r>
            <w:r w:rsidR="00C934F4">
              <w:rPr>
                <w:rFonts w:ascii="Arial" w:hAnsi="Arial" w:cs="Arial"/>
                <w:b/>
                <w:sz w:val="23"/>
                <w:szCs w:val="23"/>
              </w:rPr>
              <w:t>4</w:t>
            </w:r>
            <w:r w:rsidRPr="000D756E">
              <w:rPr>
                <w:rFonts w:ascii="Arial" w:hAnsi="Arial" w:cs="Arial"/>
                <w:b/>
                <w:sz w:val="23"/>
                <w:szCs w:val="23"/>
              </w:rPr>
              <w:t xml:space="preserve"> cfwd</w:t>
            </w:r>
          </w:p>
        </w:tc>
        <w:tc>
          <w:tcPr>
            <w:tcW w:w="1276" w:type="dxa"/>
            <w:tcBorders>
              <w:top w:val="single" w:sz="4" w:space="0" w:color="auto"/>
              <w:left w:val="single" w:sz="4" w:space="0" w:color="auto"/>
              <w:bottom w:val="single" w:sz="4" w:space="0" w:color="auto"/>
              <w:right w:val="single" w:sz="4" w:space="0" w:color="auto"/>
            </w:tcBorders>
          </w:tcPr>
          <w:p w14:paraId="3A9B5CBE" w14:textId="77777777" w:rsidR="00C17633" w:rsidRPr="000D756E" w:rsidRDefault="00C17633" w:rsidP="00C17633">
            <w:pPr>
              <w:jc w:val="right"/>
              <w:rPr>
                <w:rFonts w:ascii="Arial" w:hAnsi="Arial" w:cs="Arial"/>
                <w:b/>
                <w:sz w:val="23"/>
                <w:szCs w:val="23"/>
              </w:rPr>
            </w:pPr>
          </w:p>
          <w:p w14:paraId="7541AFB9" w14:textId="77777777" w:rsidR="00C17633" w:rsidRPr="000D756E" w:rsidRDefault="00C17633" w:rsidP="00C17633">
            <w:pPr>
              <w:jc w:val="right"/>
              <w:rPr>
                <w:rFonts w:ascii="Arial" w:hAnsi="Arial" w:cs="Arial"/>
                <w:b/>
                <w:sz w:val="23"/>
                <w:szCs w:val="23"/>
              </w:rPr>
            </w:pPr>
          </w:p>
          <w:p w14:paraId="6F7AC4F9" w14:textId="73FF5014" w:rsidR="00C17633" w:rsidRPr="000D756E" w:rsidRDefault="00C17633" w:rsidP="00C17633">
            <w:pPr>
              <w:jc w:val="right"/>
              <w:rPr>
                <w:rFonts w:ascii="Arial" w:hAnsi="Arial" w:cs="Arial"/>
                <w:b/>
                <w:sz w:val="23"/>
                <w:szCs w:val="23"/>
              </w:rPr>
            </w:pPr>
            <w:r w:rsidRPr="000D756E">
              <w:rPr>
                <w:rFonts w:ascii="Arial" w:hAnsi="Arial" w:cs="Arial"/>
                <w:b/>
                <w:sz w:val="23"/>
                <w:szCs w:val="23"/>
              </w:rPr>
              <w:t>2,433</w:t>
            </w:r>
          </w:p>
        </w:tc>
        <w:tc>
          <w:tcPr>
            <w:tcW w:w="1560" w:type="dxa"/>
            <w:gridSpan w:val="3"/>
            <w:tcBorders>
              <w:top w:val="single" w:sz="4" w:space="0" w:color="auto"/>
              <w:left w:val="single" w:sz="4" w:space="0" w:color="auto"/>
              <w:bottom w:val="single" w:sz="4" w:space="0" w:color="auto"/>
              <w:right w:val="single" w:sz="4" w:space="0" w:color="auto"/>
            </w:tcBorders>
          </w:tcPr>
          <w:p w14:paraId="0F825509" w14:textId="77777777" w:rsidR="00C17633" w:rsidRPr="000D756E" w:rsidRDefault="00C17633" w:rsidP="00C17633">
            <w:pPr>
              <w:jc w:val="right"/>
              <w:rPr>
                <w:rFonts w:ascii="Arial" w:hAnsi="Arial" w:cs="Arial"/>
                <w:b/>
                <w:sz w:val="23"/>
                <w:szCs w:val="23"/>
              </w:rPr>
            </w:pPr>
          </w:p>
          <w:p w14:paraId="1604FB76" w14:textId="77777777" w:rsidR="00C17633" w:rsidRPr="000D756E" w:rsidRDefault="00C17633" w:rsidP="00C17633">
            <w:pPr>
              <w:jc w:val="right"/>
              <w:rPr>
                <w:rFonts w:ascii="Arial" w:hAnsi="Arial" w:cs="Arial"/>
                <w:b/>
                <w:sz w:val="23"/>
                <w:szCs w:val="23"/>
              </w:rPr>
            </w:pPr>
          </w:p>
          <w:p w14:paraId="53DCF658" w14:textId="582F9264" w:rsidR="00C17633" w:rsidRPr="000D756E" w:rsidRDefault="00C17633" w:rsidP="00C17633">
            <w:pPr>
              <w:jc w:val="right"/>
              <w:rPr>
                <w:rFonts w:ascii="Arial" w:hAnsi="Arial" w:cs="Arial"/>
                <w:b/>
                <w:sz w:val="23"/>
                <w:szCs w:val="23"/>
              </w:rPr>
            </w:pPr>
            <w:r w:rsidRPr="000D756E">
              <w:rPr>
                <w:rFonts w:ascii="Arial" w:hAnsi="Arial" w:cs="Arial"/>
                <w:b/>
                <w:sz w:val="23"/>
                <w:szCs w:val="23"/>
              </w:rPr>
              <w:t>11,127</w:t>
            </w:r>
          </w:p>
        </w:tc>
        <w:tc>
          <w:tcPr>
            <w:tcW w:w="1026" w:type="dxa"/>
            <w:gridSpan w:val="2"/>
            <w:tcBorders>
              <w:top w:val="single" w:sz="4" w:space="0" w:color="auto"/>
              <w:left w:val="single" w:sz="4" w:space="0" w:color="auto"/>
              <w:bottom w:val="single" w:sz="4" w:space="0" w:color="auto"/>
              <w:right w:val="single" w:sz="4" w:space="0" w:color="auto"/>
            </w:tcBorders>
          </w:tcPr>
          <w:p w14:paraId="61FD6D6F" w14:textId="77777777" w:rsidR="00C17633" w:rsidRPr="000D756E" w:rsidRDefault="00C17633" w:rsidP="00C17633">
            <w:pPr>
              <w:jc w:val="right"/>
              <w:rPr>
                <w:rFonts w:ascii="Arial" w:hAnsi="Arial" w:cs="Arial"/>
                <w:b/>
                <w:sz w:val="23"/>
                <w:szCs w:val="23"/>
              </w:rPr>
            </w:pPr>
          </w:p>
          <w:p w14:paraId="525C3528" w14:textId="77777777" w:rsidR="00C17633" w:rsidRPr="000D756E" w:rsidRDefault="00C17633" w:rsidP="00C17633">
            <w:pPr>
              <w:jc w:val="right"/>
              <w:rPr>
                <w:rFonts w:ascii="Arial" w:hAnsi="Arial" w:cs="Arial"/>
                <w:b/>
                <w:sz w:val="23"/>
                <w:szCs w:val="23"/>
              </w:rPr>
            </w:pPr>
          </w:p>
          <w:p w14:paraId="24780FE9" w14:textId="367026B5" w:rsidR="00C17633" w:rsidRPr="000D756E" w:rsidRDefault="00C17633" w:rsidP="00C17633">
            <w:pPr>
              <w:jc w:val="right"/>
              <w:rPr>
                <w:rFonts w:ascii="Arial" w:hAnsi="Arial" w:cs="Arial"/>
                <w:b/>
                <w:sz w:val="23"/>
                <w:szCs w:val="23"/>
              </w:rPr>
            </w:pPr>
            <w:r w:rsidRPr="000D756E">
              <w:rPr>
                <w:rFonts w:ascii="Arial" w:hAnsi="Arial" w:cs="Arial"/>
                <w:b/>
                <w:sz w:val="23"/>
                <w:szCs w:val="23"/>
              </w:rPr>
              <w:t>13,560</w:t>
            </w:r>
          </w:p>
        </w:tc>
        <w:tc>
          <w:tcPr>
            <w:tcW w:w="1384" w:type="dxa"/>
            <w:gridSpan w:val="2"/>
            <w:tcBorders>
              <w:top w:val="single" w:sz="4" w:space="0" w:color="auto"/>
              <w:left w:val="single" w:sz="4" w:space="0" w:color="auto"/>
              <w:bottom w:val="single" w:sz="4" w:space="0" w:color="auto"/>
              <w:right w:val="single" w:sz="4" w:space="0" w:color="auto"/>
            </w:tcBorders>
          </w:tcPr>
          <w:p w14:paraId="4C6A3C00" w14:textId="77777777" w:rsidR="00C17633" w:rsidRPr="000D756E" w:rsidRDefault="00C17633" w:rsidP="00C17633">
            <w:pPr>
              <w:jc w:val="right"/>
              <w:rPr>
                <w:rFonts w:ascii="Arial" w:hAnsi="Arial" w:cs="Arial"/>
                <w:b/>
                <w:sz w:val="23"/>
                <w:szCs w:val="23"/>
              </w:rPr>
            </w:pPr>
          </w:p>
          <w:p w14:paraId="228CB68D" w14:textId="77777777" w:rsidR="00C17633" w:rsidRPr="000D756E" w:rsidRDefault="00C17633" w:rsidP="00C17633">
            <w:pPr>
              <w:jc w:val="right"/>
              <w:rPr>
                <w:rFonts w:ascii="Arial" w:hAnsi="Arial" w:cs="Arial"/>
                <w:b/>
                <w:sz w:val="23"/>
                <w:szCs w:val="23"/>
              </w:rPr>
            </w:pPr>
          </w:p>
          <w:p w14:paraId="13BAE4AD" w14:textId="0B43FDF1" w:rsidR="00C17633" w:rsidRPr="000D756E" w:rsidRDefault="00C17633" w:rsidP="00C17633">
            <w:pPr>
              <w:jc w:val="right"/>
              <w:rPr>
                <w:rFonts w:ascii="Arial" w:hAnsi="Arial" w:cs="Arial"/>
                <w:b/>
                <w:sz w:val="23"/>
                <w:szCs w:val="23"/>
              </w:rPr>
            </w:pPr>
            <w:r w:rsidRPr="000D756E">
              <w:rPr>
                <w:rFonts w:ascii="Arial" w:hAnsi="Arial" w:cs="Arial"/>
                <w:b/>
                <w:sz w:val="23"/>
                <w:szCs w:val="23"/>
              </w:rPr>
              <w:t>0</w:t>
            </w:r>
          </w:p>
        </w:tc>
        <w:tc>
          <w:tcPr>
            <w:tcW w:w="1274" w:type="dxa"/>
            <w:gridSpan w:val="2"/>
            <w:tcBorders>
              <w:top w:val="single" w:sz="4" w:space="0" w:color="auto"/>
              <w:left w:val="single" w:sz="4" w:space="0" w:color="auto"/>
              <w:bottom w:val="single" w:sz="4" w:space="0" w:color="auto"/>
              <w:right w:val="single" w:sz="4" w:space="0" w:color="auto"/>
            </w:tcBorders>
          </w:tcPr>
          <w:p w14:paraId="082B4E05" w14:textId="77777777" w:rsidR="00C17633" w:rsidRPr="000D756E" w:rsidRDefault="00C17633" w:rsidP="00C17633">
            <w:pPr>
              <w:jc w:val="right"/>
              <w:rPr>
                <w:rFonts w:ascii="Arial" w:hAnsi="Arial" w:cs="Arial"/>
                <w:b/>
                <w:sz w:val="23"/>
                <w:szCs w:val="23"/>
              </w:rPr>
            </w:pPr>
          </w:p>
          <w:p w14:paraId="005CCF84" w14:textId="77777777" w:rsidR="00C17633" w:rsidRPr="000D756E" w:rsidRDefault="00C17633" w:rsidP="00C17633">
            <w:pPr>
              <w:jc w:val="right"/>
              <w:rPr>
                <w:rFonts w:ascii="Arial" w:hAnsi="Arial" w:cs="Arial"/>
                <w:b/>
                <w:sz w:val="23"/>
                <w:szCs w:val="23"/>
              </w:rPr>
            </w:pPr>
          </w:p>
          <w:p w14:paraId="5CAC5542" w14:textId="0391A930" w:rsidR="00C17633" w:rsidRPr="000D756E" w:rsidRDefault="00C17633" w:rsidP="00C17633">
            <w:pPr>
              <w:jc w:val="right"/>
              <w:rPr>
                <w:rFonts w:ascii="Arial" w:hAnsi="Arial" w:cs="Arial"/>
                <w:b/>
                <w:sz w:val="23"/>
                <w:szCs w:val="23"/>
              </w:rPr>
            </w:pPr>
            <w:r w:rsidRPr="000D756E">
              <w:rPr>
                <w:rFonts w:ascii="Arial" w:hAnsi="Arial" w:cs="Arial"/>
                <w:b/>
                <w:sz w:val="23"/>
                <w:szCs w:val="23"/>
              </w:rPr>
              <w:t>13,560</w:t>
            </w:r>
          </w:p>
        </w:tc>
        <w:tc>
          <w:tcPr>
            <w:tcW w:w="1275" w:type="dxa"/>
            <w:gridSpan w:val="2"/>
            <w:tcBorders>
              <w:top w:val="single" w:sz="4" w:space="0" w:color="auto"/>
              <w:left w:val="single" w:sz="4" w:space="0" w:color="auto"/>
              <w:bottom w:val="single" w:sz="4" w:space="0" w:color="auto"/>
              <w:right w:val="single" w:sz="4" w:space="0" w:color="auto"/>
            </w:tcBorders>
          </w:tcPr>
          <w:p w14:paraId="06144CB1" w14:textId="77777777" w:rsidR="00C17633" w:rsidRPr="000D756E" w:rsidRDefault="00C17633" w:rsidP="00C17633">
            <w:pPr>
              <w:jc w:val="right"/>
              <w:rPr>
                <w:rFonts w:ascii="Arial" w:hAnsi="Arial" w:cs="Arial"/>
                <w:b/>
                <w:sz w:val="23"/>
                <w:szCs w:val="23"/>
              </w:rPr>
            </w:pPr>
          </w:p>
          <w:p w14:paraId="53CED144" w14:textId="77777777" w:rsidR="00C17633" w:rsidRPr="000D756E" w:rsidRDefault="00C17633" w:rsidP="00C17633">
            <w:pPr>
              <w:jc w:val="right"/>
              <w:rPr>
                <w:rFonts w:ascii="Arial" w:hAnsi="Arial" w:cs="Arial"/>
                <w:b/>
                <w:sz w:val="23"/>
                <w:szCs w:val="23"/>
              </w:rPr>
            </w:pPr>
          </w:p>
          <w:p w14:paraId="12F91409" w14:textId="403F02C0" w:rsidR="00C17633" w:rsidRPr="000D756E" w:rsidRDefault="00C17633" w:rsidP="00C17633">
            <w:pPr>
              <w:jc w:val="right"/>
              <w:rPr>
                <w:rFonts w:ascii="Arial" w:hAnsi="Arial" w:cs="Arial"/>
                <w:b/>
                <w:sz w:val="23"/>
                <w:szCs w:val="23"/>
              </w:rPr>
            </w:pPr>
            <w:r w:rsidRPr="000D756E">
              <w:rPr>
                <w:rFonts w:ascii="Arial" w:hAnsi="Arial" w:cs="Arial"/>
                <w:b/>
                <w:sz w:val="23"/>
                <w:szCs w:val="23"/>
              </w:rPr>
              <w:t>-160,896</w:t>
            </w:r>
          </w:p>
        </w:tc>
        <w:tc>
          <w:tcPr>
            <w:tcW w:w="1421" w:type="dxa"/>
            <w:gridSpan w:val="2"/>
            <w:tcBorders>
              <w:top w:val="single" w:sz="4" w:space="0" w:color="auto"/>
              <w:left w:val="single" w:sz="4" w:space="0" w:color="auto"/>
              <w:bottom w:val="single" w:sz="4" w:space="0" w:color="auto"/>
              <w:right w:val="single" w:sz="4" w:space="0" w:color="auto"/>
            </w:tcBorders>
          </w:tcPr>
          <w:p w14:paraId="18BDDF53" w14:textId="77777777" w:rsidR="00C17633" w:rsidRPr="000D756E" w:rsidRDefault="00C17633" w:rsidP="00C17633">
            <w:pPr>
              <w:jc w:val="right"/>
              <w:rPr>
                <w:rFonts w:ascii="Arial" w:hAnsi="Arial" w:cs="Arial"/>
                <w:b/>
                <w:sz w:val="23"/>
                <w:szCs w:val="23"/>
              </w:rPr>
            </w:pPr>
          </w:p>
          <w:p w14:paraId="472D438D" w14:textId="77777777" w:rsidR="00C17633" w:rsidRPr="000D756E" w:rsidRDefault="00C17633" w:rsidP="00C17633">
            <w:pPr>
              <w:jc w:val="right"/>
              <w:rPr>
                <w:rFonts w:ascii="Arial" w:hAnsi="Arial" w:cs="Arial"/>
                <w:b/>
                <w:sz w:val="23"/>
                <w:szCs w:val="23"/>
              </w:rPr>
            </w:pPr>
          </w:p>
          <w:p w14:paraId="175E292E" w14:textId="2E854E3E" w:rsidR="00C17633" w:rsidRPr="000D756E" w:rsidRDefault="00C17633" w:rsidP="00C17633">
            <w:pPr>
              <w:jc w:val="right"/>
              <w:rPr>
                <w:rFonts w:ascii="Arial" w:hAnsi="Arial" w:cs="Arial"/>
                <w:b/>
                <w:sz w:val="23"/>
                <w:szCs w:val="23"/>
              </w:rPr>
            </w:pPr>
            <w:r w:rsidRPr="000D756E">
              <w:rPr>
                <w:rFonts w:ascii="Arial" w:hAnsi="Arial" w:cs="Arial"/>
                <w:b/>
                <w:sz w:val="23"/>
                <w:szCs w:val="23"/>
              </w:rPr>
              <w:t>-147,336</w:t>
            </w:r>
          </w:p>
        </w:tc>
      </w:tr>
      <w:tr w:rsidR="006329E6" w:rsidRPr="000D756E" w14:paraId="290FB2B5" w14:textId="77777777" w:rsidTr="001A0BC1">
        <w:tc>
          <w:tcPr>
            <w:tcW w:w="3119" w:type="dxa"/>
            <w:gridSpan w:val="2"/>
          </w:tcPr>
          <w:p w14:paraId="50C6EBA6" w14:textId="77777777" w:rsidR="00513339" w:rsidRPr="000D756E" w:rsidRDefault="00513339" w:rsidP="00513339">
            <w:pPr>
              <w:rPr>
                <w:rFonts w:ascii="Arial" w:hAnsi="Arial" w:cs="Arial"/>
                <w:b/>
                <w:sz w:val="23"/>
                <w:szCs w:val="23"/>
              </w:rPr>
            </w:pPr>
          </w:p>
        </w:tc>
        <w:tc>
          <w:tcPr>
            <w:tcW w:w="375" w:type="dxa"/>
            <w:tcBorders>
              <w:top w:val="single" w:sz="4" w:space="0" w:color="auto"/>
            </w:tcBorders>
          </w:tcPr>
          <w:p w14:paraId="7A4B1A1D" w14:textId="77777777" w:rsidR="00513339" w:rsidRPr="000D756E" w:rsidRDefault="00513339" w:rsidP="00513339">
            <w:pPr>
              <w:rPr>
                <w:rFonts w:ascii="Arial" w:hAnsi="Arial" w:cs="Arial"/>
                <w:b/>
                <w:sz w:val="23"/>
                <w:szCs w:val="23"/>
              </w:rPr>
            </w:pPr>
          </w:p>
        </w:tc>
        <w:tc>
          <w:tcPr>
            <w:tcW w:w="1185" w:type="dxa"/>
            <w:gridSpan w:val="2"/>
            <w:tcBorders>
              <w:top w:val="single" w:sz="4" w:space="0" w:color="auto"/>
            </w:tcBorders>
          </w:tcPr>
          <w:p w14:paraId="3BF937BE" w14:textId="77777777" w:rsidR="00513339" w:rsidRPr="000D756E" w:rsidRDefault="00513339" w:rsidP="00513339">
            <w:pPr>
              <w:jc w:val="right"/>
              <w:rPr>
                <w:rFonts w:ascii="Arial" w:hAnsi="Arial" w:cs="Arial"/>
                <w:b/>
                <w:sz w:val="23"/>
                <w:szCs w:val="23"/>
              </w:rPr>
            </w:pPr>
          </w:p>
          <w:p w14:paraId="6189FC94" w14:textId="244F9A0D" w:rsidR="00513339" w:rsidRPr="000D756E" w:rsidRDefault="00513339" w:rsidP="00513339">
            <w:pPr>
              <w:jc w:val="right"/>
              <w:rPr>
                <w:rFonts w:ascii="Arial" w:hAnsi="Arial" w:cs="Arial"/>
                <w:b/>
                <w:sz w:val="23"/>
                <w:szCs w:val="23"/>
              </w:rPr>
            </w:pPr>
            <w:r w:rsidRPr="000D756E">
              <w:rPr>
                <w:rFonts w:ascii="Arial" w:hAnsi="Arial" w:cs="Arial"/>
                <w:b/>
                <w:sz w:val="23"/>
                <w:szCs w:val="23"/>
              </w:rPr>
              <w:t>Note 2</w:t>
            </w:r>
            <w:r w:rsidR="00F164E7">
              <w:rPr>
                <w:rFonts w:ascii="Arial" w:hAnsi="Arial" w:cs="Arial"/>
                <w:b/>
                <w:sz w:val="23"/>
                <w:szCs w:val="23"/>
              </w:rPr>
              <w:t>4</w:t>
            </w:r>
          </w:p>
        </w:tc>
        <w:tc>
          <w:tcPr>
            <w:tcW w:w="1026" w:type="dxa"/>
            <w:gridSpan w:val="2"/>
            <w:tcBorders>
              <w:top w:val="single" w:sz="4" w:space="0" w:color="auto"/>
            </w:tcBorders>
          </w:tcPr>
          <w:p w14:paraId="05AB93D5" w14:textId="77777777" w:rsidR="00513339" w:rsidRPr="000D756E" w:rsidRDefault="00513339" w:rsidP="00513339">
            <w:pPr>
              <w:jc w:val="right"/>
              <w:rPr>
                <w:rFonts w:ascii="Arial" w:hAnsi="Arial" w:cs="Arial"/>
                <w:b/>
                <w:sz w:val="23"/>
                <w:szCs w:val="23"/>
              </w:rPr>
            </w:pPr>
          </w:p>
        </w:tc>
        <w:tc>
          <w:tcPr>
            <w:tcW w:w="1384" w:type="dxa"/>
            <w:gridSpan w:val="2"/>
            <w:tcBorders>
              <w:top w:val="single" w:sz="4" w:space="0" w:color="auto"/>
            </w:tcBorders>
          </w:tcPr>
          <w:p w14:paraId="39A3BD73" w14:textId="77777777" w:rsidR="00513339" w:rsidRPr="000D756E" w:rsidRDefault="00513339" w:rsidP="00513339">
            <w:pPr>
              <w:jc w:val="right"/>
              <w:rPr>
                <w:rFonts w:ascii="Arial" w:hAnsi="Arial" w:cs="Arial"/>
                <w:b/>
                <w:sz w:val="23"/>
                <w:szCs w:val="23"/>
              </w:rPr>
            </w:pPr>
          </w:p>
          <w:p w14:paraId="67FD1E3E" w14:textId="5469818E" w:rsidR="00513339" w:rsidRPr="000D756E" w:rsidRDefault="00513339" w:rsidP="00513339">
            <w:pPr>
              <w:jc w:val="right"/>
              <w:rPr>
                <w:rFonts w:ascii="Arial" w:hAnsi="Arial" w:cs="Arial"/>
                <w:b/>
                <w:sz w:val="23"/>
                <w:szCs w:val="23"/>
              </w:rPr>
            </w:pPr>
          </w:p>
        </w:tc>
        <w:tc>
          <w:tcPr>
            <w:tcW w:w="1274" w:type="dxa"/>
            <w:gridSpan w:val="2"/>
            <w:tcBorders>
              <w:top w:val="single" w:sz="4" w:space="0" w:color="auto"/>
            </w:tcBorders>
          </w:tcPr>
          <w:p w14:paraId="59A7A8A9" w14:textId="77777777" w:rsidR="00513339" w:rsidRPr="000D756E" w:rsidRDefault="00513339" w:rsidP="00513339">
            <w:pPr>
              <w:jc w:val="right"/>
              <w:rPr>
                <w:rFonts w:ascii="Arial" w:hAnsi="Arial" w:cs="Arial"/>
                <w:b/>
                <w:sz w:val="23"/>
                <w:szCs w:val="23"/>
              </w:rPr>
            </w:pPr>
          </w:p>
          <w:p w14:paraId="268DB35A" w14:textId="77777777" w:rsidR="00513339" w:rsidRPr="000D756E" w:rsidRDefault="00513339" w:rsidP="00513339">
            <w:pPr>
              <w:jc w:val="right"/>
              <w:rPr>
                <w:rFonts w:ascii="Arial" w:hAnsi="Arial" w:cs="Arial"/>
                <w:b/>
                <w:sz w:val="23"/>
                <w:szCs w:val="23"/>
              </w:rPr>
            </w:pPr>
          </w:p>
        </w:tc>
        <w:tc>
          <w:tcPr>
            <w:tcW w:w="1275" w:type="dxa"/>
            <w:gridSpan w:val="2"/>
            <w:tcBorders>
              <w:top w:val="single" w:sz="4" w:space="0" w:color="auto"/>
            </w:tcBorders>
          </w:tcPr>
          <w:p w14:paraId="298EAAF7" w14:textId="77777777" w:rsidR="00513339" w:rsidRPr="000D756E" w:rsidRDefault="00513339" w:rsidP="00513339">
            <w:pPr>
              <w:jc w:val="right"/>
              <w:rPr>
                <w:rFonts w:ascii="Arial" w:hAnsi="Arial" w:cs="Arial"/>
                <w:b/>
                <w:sz w:val="23"/>
                <w:szCs w:val="23"/>
              </w:rPr>
            </w:pPr>
          </w:p>
          <w:p w14:paraId="464D6296" w14:textId="4CFFA2E0" w:rsidR="00513339" w:rsidRPr="000D756E" w:rsidRDefault="00513339" w:rsidP="00513339">
            <w:pPr>
              <w:jc w:val="right"/>
              <w:rPr>
                <w:rFonts w:ascii="Arial" w:hAnsi="Arial" w:cs="Arial"/>
                <w:b/>
                <w:sz w:val="23"/>
                <w:szCs w:val="23"/>
              </w:rPr>
            </w:pPr>
            <w:r w:rsidRPr="000D756E">
              <w:rPr>
                <w:rFonts w:ascii="Arial" w:hAnsi="Arial" w:cs="Arial"/>
                <w:b/>
                <w:sz w:val="23"/>
                <w:szCs w:val="23"/>
              </w:rPr>
              <w:t>Note 2</w:t>
            </w:r>
            <w:r w:rsidR="00F164E7">
              <w:rPr>
                <w:rFonts w:ascii="Arial" w:hAnsi="Arial" w:cs="Arial"/>
                <w:b/>
                <w:sz w:val="23"/>
                <w:szCs w:val="23"/>
              </w:rPr>
              <w:t>3</w:t>
            </w:r>
          </w:p>
        </w:tc>
        <w:tc>
          <w:tcPr>
            <w:tcW w:w="1421" w:type="dxa"/>
            <w:gridSpan w:val="2"/>
            <w:tcBorders>
              <w:top w:val="single" w:sz="4" w:space="0" w:color="auto"/>
            </w:tcBorders>
          </w:tcPr>
          <w:p w14:paraId="21CBF8AC" w14:textId="77777777" w:rsidR="00513339" w:rsidRPr="000D756E" w:rsidRDefault="00513339" w:rsidP="00513339">
            <w:pPr>
              <w:rPr>
                <w:rFonts w:ascii="Arial" w:hAnsi="Arial" w:cs="Arial"/>
                <w:b/>
                <w:sz w:val="23"/>
                <w:szCs w:val="23"/>
              </w:rPr>
            </w:pPr>
          </w:p>
        </w:tc>
      </w:tr>
    </w:tbl>
    <w:p w14:paraId="5A478386" w14:textId="77777777" w:rsidR="00982355" w:rsidRPr="000D756E" w:rsidRDefault="00982355" w:rsidP="002A7C01">
      <w:pPr>
        <w:rPr>
          <w:rFonts w:ascii="Arial" w:hAnsi="Arial" w:cs="Arial"/>
        </w:rPr>
      </w:pPr>
    </w:p>
    <w:p w14:paraId="048D873F" w14:textId="77777777" w:rsidR="00982355" w:rsidRPr="000D756E" w:rsidRDefault="00982355" w:rsidP="002A7C01">
      <w:pPr>
        <w:rPr>
          <w:rFonts w:ascii="Arial" w:hAnsi="Arial" w:cs="Arial"/>
        </w:rPr>
        <w:sectPr w:rsidR="00982355" w:rsidRPr="000D756E" w:rsidSect="00540FFA">
          <w:headerReference w:type="default" r:id="rId32"/>
          <w:pgSz w:w="11909" w:h="16834" w:code="9"/>
          <w:pgMar w:top="567" w:right="1185" w:bottom="992" w:left="1276" w:header="454" w:footer="720" w:gutter="0"/>
          <w:cols w:space="720"/>
          <w:docGrid w:linePitch="272"/>
        </w:sectPr>
      </w:pPr>
    </w:p>
    <w:tbl>
      <w:tblPr>
        <w:tblW w:w="9356" w:type="dxa"/>
        <w:tblInd w:w="-147" w:type="dxa"/>
        <w:tblLayout w:type="fixed"/>
        <w:tblLook w:val="01E0" w:firstRow="1" w:lastRow="1" w:firstColumn="1" w:lastColumn="1" w:noHBand="0" w:noVBand="0"/>
      </w:tblPr>
      <w:tblGrid>
        <w:gridCol w:w="1418"/>
        <w:gridCol w:w="5954"/>
        <w:gridCol w:w="850"/>
        <w:gridCol w:w="1134"/>
      </w:tblGrid>
      <w:tr w:rsidR="00D52DE2" w:rsidRPr="000D756E" w14:paraId="24B5F48E" w14:textId="77777777" w:rsidTr="00DE2880">
        <w:tc>
          <w:tcPr>
            <w:tcW w:w="1418" w:type="dxa"/>
            <w:tcBorders>
              <w:top w:val="single" w:sz="4" w:space="0" w:color="auto"/>
              <w:left w:val="single" w:sz="4" w:space="0" w:color="auto"/>
              <w:bottom w:val="single" w:sz="4" w:space="0" w:color="auto"/>
              <w:right w:val="single" w:sz="4" w:space="0" w:color="auto"/>
            </w:tcBorders>
          </w:tcPr>
          <w:p w14:paraId="68169BE2" w14:textId="30AB9002" w:rsidR="00D52DE2" w:rsidRPr="000D756E" w:rsidRDefault="00D52DE2" w:rsidP="00154485">
            <w:pPr>
              <w:jc w:val="right"/>
              <w:rPr>
                <w:rFonts w:ascii="Arial" w:hAnsi="Arial" w:cs="Arial"/>
                <w:b/>
                <w:sz w:val="22"/>
                <w:szCs w:val="22"/>
              </w:rPr>
            </w:pPr>
            <w:r w:rsidRPr="000D756E">
              <w:rPr>
                <w:rFonts w:ascii="Arial" w:hAnsi="Arial" w:cs="Arial"/>
                <w:b/>
                <w:sz w:val="22"/>
                <w:szCs w:val="22"/>
              </w:rPr>
              <w:lastRenderedPageBreak/>
              <w:t>31 March 202</w:t>
            </w:r>
            <w:r>
              <w:rPr>
                <w:rFonts w:ascii="Arial" w:hAnsi="Arial" w:cs="Arial"/>
                <w:b/>
                <w:sz w:val="22"/>
                <w:szCs w:val="22"/>
              </w:rPr>
              <w:t>4</w:t>
            </w:r>
          </w:p>
          <w:p w14:paraId="65C30E46" w14:textId="466727FC" w:rsidR="00D52DE2" w:rsidRPr="000D756E" w:rsidRDefault="00D52DE2" w:rsidP="00154485">
            <w:pPr>
              <w:jc w:val="right"/>
              <w:rPr>
                <w:rFonts w:ascii="Arial" w:hAnsi="Arial" w:cs="Arial"/>
                <w:b/>
                <w:sz w:val="22"/>
                <w:szCs w:val="22"/>
              </w:rPr>
            </w:pPr>
            <w:r w:rsidRPr="000D756E">
              <w:rPr>
                <w:rFonts w:ascii="Arial" w:hAnsi="Arial" w:cs="Arial"/>
                <w:b/>
                <w:sz w:val="22"/>
                <w:szCs w:val="22"/>
              </w:rPr>
              <w:t>£’000</w:t>
            </w:r>
          </w:p>
        </w:tc>
        <w:tc>
          <w:tcPr>
            <w:tcW w:w="5954" w:type="dxa"/>
            <w:tcBorders>
              <w:top w:val="single" w:sz="4" w:space="0" w:color="auto"/>
              <w:left w:val="single" w:sz="4" w:space="0" w:color="auto"/>
              <w:bottom w:val="single" w:sz="4" w:space="0" w:color="auto"/>
              <w:right w:val="single" w:sz="4" w:space="0" w:color="auto"/>
            </w:tcBorders>
          </w:tcPr>
          <w:p w14:paraId="11BAF3DD" w14:textId="77777777" w:rsidR="00D52DE2" w:rsidRPr="000D756E" w:rsidRDefault="00D52DE2" w:rsidP="00154485">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tcPr>
          <w:p w14:paraId="4C2A2CC4" w14:textId="77777777" w:rsidR="00D52DE2" w:rsidRPr="000D756E" w:rsidRDefault="00D52DE2" w:rsidP="00154485">
            <w:pPr>
              <w:rPr>
                <w:rFonts w:ascii="Arial" w:hAnsi="Arial" w:cs="Arial"/>
                <w:b/>
                <w:sz w:val="22"/>
                <w:szCs w:val="22"/>
              </w:rPr>
            </w:pPr>
          </w:p>
          <w:p w14:paraId="09043FFC" w14:textId="15AAA986" w:rsidR="00D52DE2" w:rsidRPr="000D756E" w:rsidRDefault="00D52DE2" w:rsidP="00154485">
            <w:pPr>
              <w:rPr>
                <w:rFonts w:ascii="Arial" w:hAnsi="Arial" w:cs="Arial"/>
                <w:b/>
                <w:sz w:val="22"/>
                <w:szCs w:val="22"/>
              </w:rPr>
            </w:pPr>
            <w:r w:rsidRPr="000D756E">
              <w:rPr>
                <w:rFonts w:ascii="Arial" w:hAnsi="Arial" w:cs="Arial"/>
                <w:b/>
                <w:sz w:val="22"/>
                <w:szCs w:val="22"/>
              </w:rPr>
              <w:t>Note</w:t>
            </w:r>
          </w:p>
          <w:p w14:paraId="031765CA" w14:textId="77777777" w:rsidR="00D52DE2" w:rsidRPr="000D756E" w:rsidRDefault="00D52DE2" w:rsidP="00154485">
            <w:pP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3A8B58C" w14:textId="52A1E412" w:rsidR="00D52DE2" w:rsidRPr="000D756E" w:rsidRDefault="00D52DE2" w:rsidP="00154485">
            <w:pPr>
              <w:jc w:val="right"/>
              <w:rPr>
                <w:rFonts w:ascii="Arial" w:hAnsi="Arial" w:cs="Arial"/>
                <w:b/>
                <w:sz w:val="22"/>
                <w:szCs w:val="22"/>
              </w:rPr>
            </w:pPr>
            <w:r w:rsidRPr="000D756E">
              <w:rPr>
                <w:rFonts w:ascii="Arial" w:hAnsi="Arial" w:cs="Arial"/>
                <w:b/>
                <w:sz w:val="22"/>
                <w:szCs w:val="22"/>
              </w:rPr>
              <w:t>31 March 202</w:t>
            </w:r>
            <w:r>
              <w:rPr>
                <w:rFonts w:ascii="Arial" w:hAnsi="Arial" w:cs="Arial"/>
                <w:b/>
                <w:sz w:val="22"/>
                <w:szCs w:val="22"/>
              </w:rPr>
              <w:t>5</w:t>
            </w:r>
          </w:p>
          <w:p w14:paraId="6A499A6B" w14:textId="77777777" w:rsidR="00D52DE2" w:rsidRPr="000D756E" w:rsidRDefault="00D52DE2" w:rsidP="00154485">
            <w:pPr>
              <w:jc w:val="right"/>
              <w:rPr>
                <w:rFonts w:ascii="Arial" w:hAnsi="Arial" w:cs="Arial"/>
                <w:b/>
                <w:sz w:val="22"/>
                <w:szCs w:val="22"/>
              </w:rPr>
            </w:pPr>
            <w:r w:rsidRPr="000D756E">
              <w:rPr>
                <w:rFonts w:ascii="Arial" w:hAnsi="Arial" w:cs="Arial"/>
                <w:b/>
                <w:sz w:val="22"/>
                <w:szCs w:val="22"/>
              </w:rPr>
              <w:t>£’000</w:t>
            </w:r>
          </w:p>
        </w:tc>
      </w:tr>
      <w:tr w:rsidR="00D52DE2" w:rsidRPr="000D756E" w14:paraId="39ED70AA" w14:textId="77777777" w:rsidTr="00DE2880">
        <w:tc>
          <w:tcPr>
            <w:tcW w:w="1418" w:type="dxa"/>
            <w:tcBorders>
              <w:top w:val="single" w:sz="4" w:space="0" w:color="auto"/>
              <w:left w:val="single" w:sz="4" w:space="0" w:color="auto"/>
              <w:right w:val="single" w:sz="4" w:space="0" w:color="auto"/>
            </w:tcBorders>
          </w:tcPr>
          <w:p w14:paraId="76C11BD8" w14:textId="2081064B" w:rsidR="00D52DE2" w:rsidRPr="000D756E" w:rsidRDefault="00D52DE2" w:rsidP="008808CD">
            <w:pPr>
              <w:rPr>
                <w:rFonts w:ascii="Arial" w:hAnsi="Arial" w:cs="Arial"/>
                <w:sz w:val="22"/>
                <w:szCs w:val="22"/>
              </w:rPr>
            </w:pPr>
          </w:p>
        </w:tc>
        <w:tc>
          <w:tcPr>
            <w:tcW w:w="5954" w:type="dxa"/>
            <w:tcBorders>
              <w:top w:val="single" w:sz="4" w:space="0" w:color="auto"/>
              <w:left w:val="single" w:sz="4" w:space="0" w:color="auto"/>
              <w:right w:val="single" w:sz="4" w:space="0" w:color="auto"/>
            </w:tcBorders>
          </w:tcPr>
          <w:p w14:paraId="3B52B94E" w14:textId="77777777" w:rsidR="00D52DE2" w:rsidRPr="000D756E" w:rsidRDefault="00D52DE2" w:rsidP="008808CD">
            <w:pPr>
              <w:rPr>
                <w:rFonts w:ascii="Arial" w:hAnsi="Arial" w:cs="Arial"/>
                <w:b/>
                <w:sz w:val="22"/>
                <w:szCs w:val="22"/>
              </w:rPr>
            </w:pPr>
            <w:r w:rsidRPr="000D756E">
              <w:rPr>
                <w:rFonts w:ascii="Arial" w:hAnsi="Arial" w:cs="Arial"/>
                <w:b/>
                <w:sz w:val="22"/>
                <w:szCs w:val="22"/>
              </w:rPr>
              <w:t xml:space="preserve">Property Plant and Equipment                        </w:t>
            </w:r>
          </w:p>
        </w:tc>
        <w:tc>
          <w:tcPr>
            <w:tcW w:w="850" w:type="dxa"/>
            <w:tcBorders>
              <w:top w:val="single" w:sz="4" w:space="0" w:color="auto"/>
              <w:left w:val="single" w:sz="4" w:space="0" w:color="auto"/>
              <w:right w:val="single" w:sz="4" w:space="0" w:color="auto"/>
            </w:tcBorders>
          </w:tcPr>
          <w:p w14:paraId="6F9BB97A" w14:textId="77777777" w:rsidR="00D52DE2" w:rsidRPr="000D756E" w:rsidRDefault="00D52DE2" w:rsidP="008808CD">
            <w:pPr>
              <w:rPr>
                <w:rFonts w:ascii="Arial" w:hAnsi="Arial" w:cs="Arial"/>
                <w:sz w:val="22"/>
                <w:szCs w:val="22"/>
              </w:rPr>
            </w:pPr>
            <w:r w:rsidRPr="000D756E">
              <w:rPr>
                <w:rFonts w:ascii="Arial" w:hAnsi="Arial" w:cs="Arial"/>
                <w:sz w:val="22"/>
                <w:szCs w:val="22"/>
              </w:rPr>
              <w:t xml:space="preserve">     </w:t>
            </w:r>
          </w:p>
        </w:tc>
        <w:tc>
          <w:tcPr>
            <w:tcW w:w="1134" w:type="dxa"/>
            <w:tcBorders>
              <w:top w:val="single" w:sz="4" w:space="0" w:color="auto"/>
              <w:left w:val="single" w:sz="4" w:space="0" w:color="auto"/>
              <w:right w:val="single" w:sz="4" w:space="0" w:color="auto"/>
            </w:tcBorders>
          </w:tcPr>
          <w:p w14:paraId="44277CD9" w14:textId="77777777" w:rsidR="00D52DE2" w:rsidRPr="000D756E" w:rsidRDefault="00D52DE2" w:rsidP="001B5FB3">
            <w:pPr>
              <w:jc w:val="right"/>
              <w:rPr>
                <w:rFonts w:ascii="Arial" w:hAnsi="Arial" w:cs="Arial"/>
                <w:sz w:val="22"/>
                <w:szCs w:val="22"/>
              </w:rPr>
            </w:pPr>
          </w:p>
        </w:tc>
      </w:tr>
      <w:tr w:rsidR="00D52DE2" w:rsidRPr="000D756E" w14:paraId="255AFA5F" w14:textId="77777777" w:rsidTr="00DE2880">
        <w:tc>
          <w:tcPr>
            <w:tcW w:w="1418" w:type="dxa"/>
            <w:tcBorders>
              <w:left w:val="single" w:sz="4" w:space="0" w:color="auto"/>
              <w:right w:val="single" w:sz="4" w:space="0" w:color="auto"/>
            </w:tcBorders>
          </w:tcPr>
          <w:p w14:paraId="00A7CCA8" w14:textId="24240D66" w:rsidR="00D52DE2" w:rsidRPr="000D756E" w:rsidRDefault="00D52DE2" w:rsidP="00D52DE2">
            <w:pPr>
              <w:jc w:val="right"/>
              <w:rPr>
                <w:rFonts w:ascii="Arial" w:hAnsi="Arial" w:cs="Arial"/>
                <w:sz w:val="22"/>
                <w:szCs w:val="22"/>
              </w:rPr>
            </w:pPr>
            <w:r w:rsidRPr="000D756E">
              <w:rPr>
                <w:rFonts w:ascii="Arial" w:hAnsi="Arial" w:cs="Arial"/>
                <w:sz w:val="22"/>
                <w:szCs w:val="22"/>
              </w:rPr>
              <w:t>27,610</w:t>
            </w:r>
          </w:p>
        </w:tc>
        <w:tc>
          <w:tcPr>
            <w:tcW w:w="5954" w:type="dxa"/>
            <w:tcBorders>
              <w:left w:val="single" w:sz="4" w:space="0" w:color="auto"/>
              <w:right w:val="single" w:sz="4" w:space="0" w:color="auto"/>
            </w:tcBorders>
          </w:tcPr>
          <w:p w14:paraId="0153612E"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Land and Buildings                                                 </w:t>
            </w:r>
          </w:p>
        </w:tc>
        <w:tc>
          <w:tcPr>
            <w:tcW w:w="850" w:type="dxa"/>
            <w:tcBorders>
              <w:left w:val="single" w:sz="4" w:space="0" w:color="auto"/>
              <w:right w:val="single" w:sz="4" w:space="0" w:color="auto"/>
            </w:tcBorders>
          </w:tcPr>
          <w:p w14:paraId="76C3C12E" w14:textId="5D6C4C25" w:rsidR="00D52DE2" w:rsidRPr="000D756E" w:rsidRDefault="00D52DE2" w:rsidP="00D52DE2">
            <w:pPr>
              <w:rPr>
                <w:rFonts w:ascii="Arial" w:hAnsi="Arial" w:cs="Arial"/>
                <w:sz w:val="22"/>
                <w:szCs w:val="22"/>
              </w:rPr>
            </w:pPr>
            <w:r w:rsidRPr="000D756E">
              <w:rPr>
                <w:rFonts w:ascii="Arial" w:hAnsi="Arial" w:cs="Arial"/>
                <w:sz w:val="22"/>
                <w:szCs w:val="22"/>
              </w:rPr>
              <w:t>1</w:t>
            </w:r>
            <w:r w:rsidR="00C82DA9">
              <w:rPr>
                <w:rFonts w:ascii="Arial" w:hAnsi="Arial" w:cs="Arial"/>
                <w:sz w:val="22"/>
                <w:szCs w:val="22"/>
              </w:rPr>
              <w:t>5</w:t>
            </w:r>
          </w:p>
        </w:tc>
        <w:tc>
          <w:tcPr>
            <w:tcW w:w="1134" w:type="dxa"/>
            <w:tcBorders>
              <w:left w:val="single" w:sz="4" w:space="0" w:color="auto"/>
              <w:right w:val="single" w:sz="4" w:space="0" w:color="auto"/>
            </w:tcBorders>
          </w:tcPr>
          <w:p w14:paraId="4ED6E6A4" w14:textId="25B6A1E6" w:rsidR="00D52DE2" w:rsidRPr="000D756E" w:rsidRDefault="00312982" w:rsidP="001B5FB3">
            <w:pPr>
              <w:jc w:val="right"/>
              <w:rPr>
                <w:rFonts w:ascii="Arial" w:hAnsi="Arial" w:cs="Arial"/>
                <w:sz w:val="22"/>
                <w:szCs w:val="22"/>
              </w:rPr>
            </w:pPr>
            <w:r>
              <w:rPr>
                <w:rFonts w:ascii="Arial" w:hAnsi="Arial" w:cs="Arial"/>
                <w:sz w:val="22"/>
                <w:szCs w:val="22"/>
              </w:rPr>
              <w:t>32,520</w:t>
            </w:r>
          </w:p>
        </w:tc>
      </w:tr>
      <w:tr w:rsidR="00D52DE2" w:rsidRPr="000D756E" w14:paraId="5B61621D" w14:textId="77777777" w:rsidTr="00DE2880">
        <w:tc>
          <w:tcPr>
            <w:tcW w:w="1418" w:type="dxa"/>
            <w:tcBorders>
              <w:left w:val="single" w:sz="4" w:space="0" w:color="auto"/>
              <w:bottom w:val="single" w:sz="4" w:space="0" w:color="auto"/>
              <w:right w:val="single" w:sz="4" w:space="0" w:color="auto"/>
            </w:tcBorders>
          </w:tcPr>
          <w:p w14:paraId="3C1547F5" w14:textId="4C86D4FC" w:rsidR="00D52DE2" w:rsidRPr="000D756E" w:rsidRDefault="00D52DE2" w:rsidP="00D52DE2">
            <w:pPr>
              <w:jc w:val="right"/>
              <w:rPr>
                <w:rFonts w:ascii="Arial" w:hAnsi="Arial" w:cs="Arial"/>
                <w:sz w:val="22"/>
                <w:szCs w:val="22"/>
              </w:rPr>
            </w:pPr>
            <w:r w:rsidRPr="000D756E">
              <w:rPr>
                <w:rFonts w:ascii="Arial" w:hAnsi="Arial" w:cs="Arial"/>
                <w:sz w:val="22"/>
                <w:szCs w:val="22"/>
              </w:rPr>
              <w:t>6,852</w:t>
            </w:r>
          </w:p>
        </w:tc>
        <w:tc>
          <w:tcPr>
            <w:tcW w:w="5954" w:type="dxa"/>
            <w:tcBorders>
              <w:left w:val="single" w:sz="4" w:space="0" w:color="auto"/>
              <w:bottom w:val="single" w:sz="4" w:space="0" w:color="auto"/>
              <w:right w:val="single" w:sz="4" w:space="0" w:color="auto"/>
            </w:tcBorders>
          </w:tcPr>
          <w:p w14:paraId="79DD286A"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Vehicles Plant Furniture and Equipment          </w:t>
            </w:r>
          </w:p>
        </w:tc>
        <w:tc>
          <w:tcPr>
            <w:tcW w:w="850" w:type="dxa"/>
            <w:tcBorders>
              <w:left w:val="single" w:sz="4" w:space="0" w:color="auto"/>
              <w:bottom w:val="single" w:sz="4" w:space="0" w:color="auto"/>
              <w:right w:val="single" w:sz="4" w:space="0" w:color="auto"/>
            </w:tcBorders>
          </w:tcPr>
          <w:p w14:paraId="346459DA" w14:textId="3204097F" w:rsidR="00D52DE2" w:rsidRPr="000D756E" w:rsidRDefault="00D52DE2" w:rsidP="00D52DE2">
            <w:pPr>
              <w:rPr>
                <w:rFonts w:ascii="Arial" w:hAnsi="Arial" w:cs="Arial"/>
                <w:sz w:val="22"/>
                <w:szCs w:val="22"/>
              </w:rPr>
            </w:pPr>
            <w:r w:rsidRPr="000D756E">
              <w:rPr>
                <w:rFonts w:ascii="Arial" w:hAnsi="Arial" w:cs="Arial"/>
                <w:sz w:val="22"/>
                <w:szCs w:val="22"/>
              </w:rPr>
              <w:t>1</w:t>
            </w:r>
            <w:r w:rsidR="00C82DA9">
              <w:rPr>
                <w:rFonts w:ascii="Arial" w:hAnsi="Arial" w:cs="Arial"/>
                <w:sz w:val="22"/>
                <w:szCs w:val="22"/>
              </w:rPr>
              <w:t>5</w:t>
            </w:r>
          </w:p>
        </w:tc>
        <w:tc>
          <w:tcPr>
            <w:tcW w:w="1134" w:type="dxa"/>
            <w:tcBorders>
              <w:left w:val="single" w:sz="4" w:space="0" w:color="auto"/>
              <w:bottom w:val="single" w:sz="4" w:space="0" w:color="auto"/>
              <w:right w:val="single" w:sz="4" w:space="0" w:color="auto"/>
            </w:tcBorders>
          </w:tcPr>
          <w:p w14:paraId="08D7D70A" w14:textId="36EAE1C8" w:rsidR="00D52DE2" w:rsidRPr="000D756E" w:rsidRDefault="00E8120C" w:rsidP="001B5FB3">
            <w:pPr>
              <w:jc w:val="right"/>
              <w:rPr>
                <w:rFonts w:ascii="Arial" w:hAnsi="Arial" w:cs="Arial"/>
                <w:sz w:val="22"/>
                <w:szCs w:val="22"/>
              </w:rPr>
            </w:pPr>
            <w:r>
              <w:rPr>
                <w:rFonts w:ascii="Arial" w:hAnsi="Arial" w:cs="Arial"/>
                <w:sz w:val="22"/>
                <w:szCs w:val="22"/>
              </w:rPr>
              <w:t>9,139</w:t>
            </w:r>
          </w:p>
        </w:tc>
      </w:tr>
      <w:tr w:rsidR="00AF06C3" w:rsidRPr="000D756E" w14:paraId="217D9CF3" w14:textId="77777777" w:rsidTr="00DE2880">
        <w:tc>
          <w:tcPr>
            <w:tcW w:w="1418" w:type="dxa"/>
            <w:tcBorders>
              <w:top w:val="single" w:sz="4" w:space="0" w:color="auto"/>
              <w:left w:val="single" w:sz="4" w:space="0" w:color="auto"/>
              <w:bottom w:val="single" w:sz="4" w:space="0" w:color="auto"/>
              <w:right w:val="single" w:sz="4" w:space="0" w:color="auto"/>
            </w:tcBorders>
          </w:tcPr>
          <w:p w14:paraId="34C00937" w14:textId="4AAED5D6" w:rsidR="00D52DE2" w:rsidRPr="000D756E" w:rsidRDefault="00D52DE2" w:rsidP="00D52DE2">
            <w:pPr>
              <w:jc w:val="right"/>
              <w:rPr>
                <w:rFonts w:ascii="Arial" w:hAnsi="Arial" w:cs="Arial"/>
                <w:b/>
                <w:sz w:val="22"/>
                <w:szCs w:val="22"/>
              </w:rPr>
            </w:pPr>
            <w:r w:rsidRPr="000D756E">
              <w:rPr>
                <w:rFonts w:ascii="Arial" w:hAnsi="Arial" w:cs="Arial"/>
                <w:b/>
                <w:sz w:val="22"/>
                <w:szCs w:val="22"/>
              </w:rPr>
              <w:t>34,462</w:t>
            </w:r>
          </w:p>
        </w:tc>
        <w:tc>
          <w:tcPr>
            <w:tcW w:w="5954" w:type="dxa"/>
            <w:tcBorders>
              <w:left w:val="single" w:sz="4" w:space="0" w:color="auto"/>
              <w:bottom w:val="single" w:sz="4" w:space="0" w:color="auto"/>
              <w:right w:val="single" w:sz="4" w:space="0" w:color="auto"/>
            </w:tcBorders>
          </w:tcPr>
          <w:p w14:paraId="4239FDAA" w14:textId="77777777" w:rsidR="00D52DE2" w:rsidRPr="000D756E" w:rsidRDefault="00D52DE2" w:rsidP="00D52DE2">
            <w:pPr>
              <w:rPr>
                <w:rFonts w:ascii="Arial" w:hAnsi="Arial" w:cs="Arial"/>
                <w:b/>
                <w:sz w:val="22"/>
                <w:szCs w:val="22"/>
              </w:rPr>
            </w:pPr>
            <w:r w:rsidRPr="000D756E">
              <w:rPr>
                <w:rFonts w:ascii="Arial" w:hAnsi="Arial" w:cs="Arial"/>
                <w:b/>
                <w:sz w:val="22"/>
                <w:szCs w:val="22"/>
              </w:rPr>
              <w:t>Total Long Term Assets</w:t>
            </w:r>
          </w:p>
        </w:tc>
        <w:tc>
          <w:tcPr>
            <w:tcW w:w="850" w:type="dxa"/>
            <w:tcBorders>
              <w:left w:val="single" w:sz="4" w:space="0" w:color="auto"/>
              <w:bottom w:val="single" w:sz="4" w:space="0" w:color="auto"/>
              <w:right w:val="single" w:sz="4" w:space="0" w:color="auto"/>
            </w:tcBorders>
          </w:tcPr>
          <w:p w14:paraId="45C54849" w14:textId="77777777" w:rsidR="00D52DE2" w:rsidRPr="000D756E" w:rsidRDefault="00D52DE2" w:rsidP="00D52DE2">
            <w:pPr>
              <w:rPr>
                <w:rFonts w:ascii="Arial" w:hAnsi="Arial" w:cs="Arial"/>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3C72F714" w14:textId="3DF7C59D" w:rsidR="00D52DE2" w:rsidRPr="00E8120C" w:rsidRDefault="00913B1C" w:rsidP="001B5FB3">
            <w:pPr>
              <w:jc w:val="right"/>
              <w:rPr>
                <w:rFonts w:ascii="Arial" w:hAnsi="Arial" w:cs="Arial"/>
                <w:b/>
                <w:sz w:val="22"/>
                <w:szCs w:val="22"/>
              </w:rPr>
            </w:pPr>
            <w:r w:rsidRPr="00E8120C">
              <w:rPr>
                <w:rFonts w:ascii="Arial" w:hAnsi="Arial" w:cs="Arial"/>
                <w:b/>
                <w:sz w:val="22"/>
                <w:szCs w:val="22"/>
              </w:rPr>
              <w:t>41,659</w:t>
            </w:r>
          </w:p>
        </w:tc>
      </w:tr>
      <w:tr w:rsidR="00D52DE2" w:rsidRPr="000D756E" w14:paraId="6A252700" w14:textId="77777777" w:rsidTr="00DE2880">
        <w:tc>
          <w:tcPr>
            <w:tcW w:w="1418" w:type="dxa"/>
            <w:tcBorders>
              <w:top w:val="single" w:sz="4" w:space="0" w:color="auto"/>
              <w:left w:val="single" w:sz="4" w:space="0" w:color="auto"/>
              <w:right w:val="single" w:sz="4" w:space="0" w:color="auto"/>
            </w:tcBorders>
          </w:tcPr>
          <w:p w14:paraId="08A55FD6" w14:textId="020C3E2C" w:rsidR="00D52DE2" w:rsidRPr="000D756E" w:rsidRDefault="00D52DE2" w:rsidP="00D52DE2">
            <w:pPr>
              <w:jc w:val="right"/>
              <w:rPr>
                <w:rFonts w:ascii="Arial" w:hAnsi="Arial" w:cs="Arial"/>
                <w:sz w:val="22"/>
                <w:szCs w:val="22"/>
              </w:rPr>
            </w:pPr>
          </w:p>
        </w:tc>
        <w:tc>
          <w:tcPr>
            <w:tcW w:w="5954" w:type="dxa"/>
            <w:tcBorders>
              <w:top w:val="single" w:sz="4" w:space="0" w:color="auto"/>
              <w:left w:val="single" w:sz="4" w:space="0" w:color="auto"/>
              <w:right w:val="single" w:sz="4" w:space="0" w:color="auto"/>
            </w:tcBorders>
          </w:tcPr>
          <w:p w14:paraId="335F942C" w14:textId="77777777" w:rsidR="00D52DE2" w:rsidRPr="000D756E" w:rsidRDefault="00D52DE2" w:rsidP="00D52DE2">
            <w:pPr>
              <w:rPr>
                <w:rFonts w:ascii="Arial" w:hAnsi="Arial" w:cs="Arial"/>
                <w:sz w:val="22"/>
                <w:szCs w:val="22"/>
              </w:rPr>
            </w:pPr>
          </w:p>
        </w:tc>
        <w:tc>
          <w:tcPr>
            <w:tcW w:w="850" w:type="dxa"/>
            <w:tcBorders>
              <w:top w:val="single" w:sz="4" w:space="0" w:color="auto"/>
              <w:left w:val="single" w:sz="4" w:space="0" w:color="auto"/>
              <w:right w:val="single" w:sz="4" w:space="0" w:color="auto"/>
            </w:tcBorders>
          </w:tcPr>
          <w:p w14:paraId="74C43020" w14:textId="77777777" w:rsidR="00D52DE2" w:rsidRPr="000D756E" w:rsidRDefault="00D52DE2" w:rsidP="00D52DE2">
            <w:pPr>
              <w:rPr>
                <w:rFonts w:ascii="Arial" w:hAnsi="Arial" w:cs="Arial"/>
                <w:sz w:val="22"/>
                <w:szCs w:val="22"/>
                <w:highlight w:val="yellow"/>
              </w:rPr>
            </w:pPr>
          </w:p>
        </w:tc>
        <w:tc>
          <w:tcPr>
            <w:tcW w:w="1134" w:type="dxa"/>
            <w:tcBorders>
              <w:top w:val="single" w:sz="4" w:space="0" w:color="auto"/>
              <w:left w:val="single" w:sz="4" w:space="0" w:color="auto"/>
              <w:right w:val="single" w:sz="4" w:space="0" w:color="auto"/>
            </w:tcBorders>
          </w:tcPr>
          <w:p w14:paraId="25773B28" w14:textId="77777777" w:rsidR="00D52DE2" w:rsidRPr="000D756E" w:rsidRDefault="00D52DE2" w:rsidP="001B5FB3">
            <w:pPr>
              <w:jc w:val="right"/>
              <w:rPr>
                <w:rFonts w:ascii="Arial" w:hAnsi="Arial" w:cs="Arial"/>
                <w:sz w:val="22"/>
                <w:szCs w:val="22"/>
              </w:rPr>
            </w:pPr>
          </w:p>
        </w:tc>
      </w:tr>
      <w:tr w:rsidR="00D52DE2" w:rsidRPr="000D756E" w14:paraId="7749E45E" w14:textId="77777777" w:rsidTr="00DE2880">
        <w:tc>
          <w:tcPr>
            <w:tcW w:w="1418" w:type="dxa"/>
            <w:tcBorders>
              <w:left w:val="single" w:sz="4" w:space="0" w:color="auto"/>
              <w:right w:val="single" w:sz="4" w:space="0" w:color="auto"/>
            </w:tcBorders>
          </w:tcPr>
          <w:p w14:paraId="593CF276" w14:textId="4874EF70" w:rsidR="00D52DE2" w:rsidRPr="000D756E" w:rsidRDefault="00D52DE2" w:rsidP="00D52DE2">
            <w:pPr>
              <w:jc w:val="right"/>
              <w:rPr>
                <w:rFonts w:ascii="Arial" w:hAnsi="Arial" w:cs="Arial"/>
                <w:sz w:val="22"/>
                <w:szCs w:val="22"/>
              </w:rPr>
            </w:pPr>
            <w:r w:rsidRPr="000D756E">
              <w:rPr>
                <w:rFonts w:ascii="Arial" w:hAnsi="Arial" w:cs="Arial"/>
                <w:sz w:val="22"/>
                <w:szCs w:val="22"/>
              </w:rPr>
              <w:t>322</w:t>
            </w:r>
          </w:p>
        </w:tc>
        <w:tc>
          <w:tcPr>
            <w:tcW w:w="5954" w:type="dxa"/>
            <w:tcBorders>
              <w:left w:val="single" w:sz="4" w:space="0" w:color="auto"/>
              <w:right w:val="single" w:sz="4" w:space="0" w:color="auto"/>
            </w:tcBorders>
          </w:tcPr>
          <w:p w14:paraId="36D908B3"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Inventories                                                                 </w:t>
            </w:r>
          </w:p>
        </w:tc>
        <w:tc>
          <w:tcPr>
            <w:tcW w:w="850" w:type="dxa"/>
            <w:tcBorders>
              <w:left w:val="single" w:sz="4" w:space="0" w:color="auto"/>
              <w:right w:val="single" w:sz="4" w:space="0" w:color="auto"/>
            </w:tcBorders>
          </w:tcPr>
          <w:p w14:paraId="3F2F80DC" w14:textId="261A2C39" w:rsidR="00D52DE2" w:rsidRPr="000D756E" w:rsidRDefault="00D52DE2" w:rsidP="00D52DE2">
            <w:pPr>
              <w:rPr>
                <w:rFonts w:ascii="Arial" w:hAnsi="Arial" w:cs="Arial"/>
                <w:sz w:val="22"/>
                <w:szCs w:val="22"/>
              </w:rPr>
            </w:pPr>
            <w:r w:rsidRPr="000D756E">
              <w:rPr>
                <w:rFonts w:ascii="Arial" w:hAnsi="Arial" w:cs="Arial"/>
                <w:sz w:val="22"/>
                <w:szCs w:val="22"/>
              </w:rPr>
              <w:t>1</w:t>
            </w:r>
            <w:r w:rsidR="00C82DA9">
              <w:rPr>
                <w:rFonts w:ascii="Arial" w:hAnsi="Arial" w:cs="Arial"/>
                <w:sz w:val="22"/>
                <w:szCs w:val="22"/>
              </w:rPr>
              <w:t>7</w:t>
            </w:r>
          </w:p>
        </w:tc>
        <w:tc>
          <w:tcPr>
            <w:tcW w:w="1134" w:type="dxa"/>
            <w:tcBorders>
              <w:left w:val="single" w:sz="4" w:space="0" w:color="auto"/>
              <w:right w:val="single" w:sz="4" w:space="0" w:color="auto"/>
            </w:tcBorders>
          </w:tcPr>
          <w:p w14:paraId="1C6F5CDA" w14:textId="58A9F383" w:rsidR="00D52DE2" w:rsidRPr="000D756E" w:rsidRDefault="31F082D4" w:rsidP="001B5FB3">
            <w:pPr>
              <w:jc w:val="right"/>
              <w:rPr>
                <w:rFonts w:ascii="Arial" w:hAnsi="Arial" w:cs="Arial"/>
                <w:sz w:val="22"/>
                <w:szCs w:val="22"/>
              </w:rPr>
            </w:pPr>
            <w:r w:rsidRPr="53079805">
              <w:rPr>
                <w:rFonts w:ascii="Arial" w:hAnsi="Arial" w:cs="Arial"/>
                <w:sz w:val="22"/>
                <w:szCs w:val="22"/>
              </w:rPr>
              <w:t>308</w:t>
            </w:r>
          </w:p>
        </w:tc>
      </w:tr>
      <w:tr w:rsidR="00D52DE2" w:rsidRPr="000D756E" w14:paraId="6EBADB59" w14:textId="77777777" w:rsidTr="00DE2880">
        <w:tc>
          <w:tcPr>
            <w:tcW w:w="1418" w:type="dxa"/>
            <w:tcBorders>
              <w:left w:val="single" w:sz="4" w:space="0" w:color="auto"/>
              <w:right w:val="single" w:sz="4" w:space="0" w:color="auto"/>
            </w:tcBorders>
          </w:tcPr>
          <w:p w14:paraId="62AC9F4D" w14:textId="77777777" w:rsidR="00D52DE2" w:rsidRPr="000D756E" w:rsidRDefault="00D52DE2" w:rsidP="00D52DE2">
            <w:pPr>
              <w:jc w:val="right"/>
              <w:rPr>
                <w:rFonts w:ascii="Arial" w:hAnsi="Arial" w:cs="Arial"/>
                <w:sz w:val="22"/>
                <w:szCs w:val="22"/>
              </w:rPr>
            </w:pPr>
            <w:r w:rsidRPr="000D756E">
              <w:rPr>
                <w:rFonts w:ascii="Arial" w:hAnsi="Arial" w:cs="Arial"/>
                <w:sz w:val="22"/>
                <w:szCs w:val="22"/>
              </w:rPr>
              <w:t>2,377</w:t>
            </w:r>
          </w:p>
          <w:p w14:paraId="3EF4F3D9" w14:textId="13683DBE" w:rsidR="00D52DE2" w:rsidRPr="000D756E" w:rsidRDefault="00D52DE2" w:rsidP="00D52DE2">
            <w:pPr>
              <w:jc w:val="right"/>
              <w:rPr>
                <w:rFonts w:ascii="Arial" w:hAnsi="Arial" w:cs="Arial"/>
                <w:sz w:val="22"/>
                <w:szCs w:val="22"/>
              </w:rPr>
            </w:pPr>
            <w:r w:rsidRPr="000D756E">
              <w:rPr>
                <w:rFonts w:ascii="Arial" w:hAnsi="Arial" w:cs="Arial"/>
                <w:sz w:val="22"/>
                <w:szCs w:val="22"/>
              </w:rPr>
              <w:t>1,000</w:t>
            </w:r>
          </w:p>
        </w:tc>
        <w:tc>
          <w:tcPr>
            <w:tcW w:w="5954" w:type="dxa"/>
            <w:tcBorders>
              <w:left w:val="single" w:sz="4" w:space="0" w:color="auto"/>
              <w:right w:val="single" w:sz="4" w:space="0" w:color="auto"/>
            </w:tcBorders>
          </w:tcPr>
          <w:p w14:paraId="55346F7B"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Short Term Debtors  </w:t>
            </w:r>
          </w:p>
          <w:p w14:paraId="4C118A7E" w14:textId="2C873AC7" w:rsidR="00D52DE2" w:rsidRPr="000D756E" w:rsidRDefault="00D52DE2" w:rsidP="00D52DE2">
            <w:pPr>
              <w:rPr>
                <w:rFonts w:ascii="Arial" w:hAnsi="Arial" w:cs="Arial"/>
                <w:sz w:val="22"/>
                <w:szCs w:val="22"/>
              </w:rPr>
            </w:pPr>
            <w:r w:rsidRPr="000D756E">
              <w:rPr>
                <w:rFonts w:ascii="Arial" w:hAnsi="Arial" w:cs="Arial"/>
                <w:sz w:val="22"/>
                <w:szCs w:val="22"/>
              </w:rPr>
              <w:t xml:space="preserve">Investments                                                </w:t>
            </w:r>
          </w:p>
        </w:tc>
        <w:tc>
          <w:tcPr>
            <w:tcW w:w="850" w:type="dxa"/>
            <w:tcBorders>
              <w:left w:val="single" w:sz="4" w:space="0" w:color="auto"/>
              <w:right w:val="single" w:sz="4" w:space="0" w:color="auto"/>
            </w:tcBorders>
          </w:tcPr>
          <w:p w14:paraId="22E80C27" w14:textId="2A3BAC6B" w:rsidR="00D52DE2" w:rsidRPr="000D756E" w:rsidRDefault="00D52DE2" w:rsidP="00D52DE2">
            <w:pPr>
              <w:rPr>
                <w:rFonts w:ascii="Arial" w:hAnsi="Arial" w:cs="Arial"/>
                <w:sz w:val="22"/>
                <w:szCs w:val="22"/>
              </w:rPr>
            </w:pPr>
            <w:r w:rsidRPr="000D756E">
              <w:rPr>
                <w:rFonts w:ascii="Arial" w:hAnsi="Arial" w:cs="Arial"/>
                <w:sz w:val="22"/>
                <w:szCs w:val="22"/>
              </w:rPr>
              <w:t>1</w:t>
            </w:r>
            <w:r w:rsidR="00C82DA9">
              <w:rPr>
                <w:rFonts w:ascii="Arial" w:hAnsi="Arial" w:cs="Arial"/>
                <w:sz w:val="22"/>
                <w:szCs w:val="22"/>
              </w:rPr>
              <w:t>8</w:t>
            </w:r>
          </w:p>
          <w:p w14:paraId="57FAE661" w14:textId="4958BA2B" w:rsidR="00D52DE2" w:rsidRPr="000D756E" w:rsidRDefault="00D52DE2" w:rsidP="00D52DE2">
            <w:pPr>
              <w:rPr>
                <w:rFonts w:ascii="Arial" w:hAnsi="Arial" w:cs="Arial"/>
                <w:sz w:val="22"/>
                <w:szCs w:val="22"/>
              </w:rPr>
            </w:pPr>
            <w:r w:rsidRPr="000D756E">
              <w:rPr>
                <w:rFonts w:ascii="Arial" w:hAnsi="Arial" w:cs="Arial"/>
                <w:sz w:val="22"/>
                <w:szCs w:val="22"/>
              </w:rPr>
              <w:t>1</w:t>
            </w:r>
            <w:r w:rsidR="00C82DA9">
              <w:rPr>
                <w:rFonts w:ascii="Arial" w:hAnsi="Arial" w:cs="Arial"/>
                <w:sz w:val="22"/>
                <w:szCs w:val="22"/>
              </w:rPr>
              <w:t>6</w:t>
            </w:r>
          </w:p>
        </w:tc>
        <w:tc>
          <w:tcPr>
            <w:tcW w:w="1134" w:type="dxa"/>
            <w:tcBorders>
              <w:left w:val="single" w:sz="4" w:space="0" w:color="auto"/>
              <w:right w:val="single" w:sz="4" w:space="0" w:color="auto"/>
            </w:tcBorders>
          </w:tcPr>
          <w:p w14:paraId="4F64F293" w14:textId="68B039AB" w:rsidR="00D52DE2" w:rsidRPr="000D756E" w:rsidRDefault="445F6B38" w:rsidP="001B5FB3">
            <w:pPr>
              <w:jc w:val="right"/>
              <w:rPr>
                <w:rFonts w:ascii="Arial" w:hAnsi="Arial" w:cs="Arial"/>
                <w:sz w:val="22"/>
                <w:szCs w:val="22"/>
              </w:rPr>
            </w:pPr>
            <w:r w:rsidRPr="42AC12F0">
              <w:rPr>
                <w:rFonts w:ascii="Arial" w:hAnsi="Arial" w:cs="Arial"/>
                <w:sz w:val="22"/>
                <w:szCs w:val="22"/>
              </w:rPr>
              <w:t>1,812</w:t>
            </w:r>
          </w:p>
        </w:tc>
      </w:tr>
      <w:tr w:rsidR="00D52DE2" w:rsidRPr="000D756E" w14:paraId="40DE267E" w14:textId="77777777" w:rsidTr="00DE2880">
        <w:trPr>
          <w:trHeight w:val="80"/>
        </w:trPr>
        <w:tc>
          <w:tcPr>
            <w:tcW w:w="1418" w:type="dxa"/>
            <w:tcBorders>
              <w:left w:val="single" w:sz="4" w:space="0" w:color="auto"/>
              <w:bottom w:val="single" w:sz="4" w:space="0" w:color="auto"/>
              <w:right w:val="single" w:sz="4" w:space="0" w:color="auto"/>
            </w:tcBorders>
          </w:tcPr>
          <w:p w14:paraId="7BCAACF3" w14:textId="4C9D28BB" w:rsidR="00D52DE2" w:rsidRPr="000D756E" w:rsidRDefault="00D52DE2" w:rsidP="00D52DE2">
            <w:pPr>
              <w:jc w:val="right"/>
              <w:rPr>
                <w:rFonts w:ascii="Arial" w:hAnsi="Arial" w:cs="Arial"/>
                <w:sz w:val="22"/>
                <w:szCs w:val="22"/>
              </w:rPr>
            </w:pPr>
            <w:r w:rsidRPr="000D756E">
              <w:rPr>
                <w:rFonts w:ascii="Arial" w:hAnsi="Arial" w:cs="Arial"/>
                <w:sz w:val="22"/>
                <w:szCs w:val="22"/>
              </w:rPr>
              <w:t>6,012</w:t>
            </w:r>
          </w:p>
        </w:tc>
        <w:tc>
          <w:tcPr>
            <w:tcW w:w="5954" w:type="dxa"/>
            <w:tcBorders>
              <w:left w:val="single" w:sz="4" w:space="0" w:color="auto"/>
              <w:bottom w:val="single" w:sz="4" w:space="0" w:color="auto"/>
              <w:right w:val="single" w:sz="4" w:space="0" w:color="auto"/>
            </w:tcBorders>
          </w:tcPr>
          <w:p w14:paraId="24EFD51F" w14:textId="3A3FE43E" w:rsidR="00D52DE2" w:rsidRPr="000D756E" w:rsidRDefault="00D52DE2" w:rsidP="00D52DE2">
            <w:pPr>
              <w:rPr>
                <w:rFonts w:ascii="Arial" w:hAnsi="Arial" w:cs="Arial"/>
                <w:sz w:val="22"/>
                <w:szCs w:val="22"/>
              </w:rPr>
            </w:pPr>
            <w:r w:rsidRPr="000D756E">
              <w:rPr>
                <w:rFonts w:ascii="Arial" w:hAnsi="Arial" w:cs="Arial"/>
                <w:sz w:val="22"/>
                <w:szCs w:val="22"/>
              </w:rPr>
              <w:t xml:space="preserve">Cash and Cash Equivalent                                        </w:t>
            </w:r>
          </w:p>
        </w:tc>
        <w:tc>
          <w:tcPr>
            <w:tcW w:w="850" w:type="dxa"/>
            <w:tcBorders>
              <w:left w:val="single" w:sz="4" w:space="0" w:color="auto"/>
              <w:bottom w:val="single" w:sz="4" w:space="0" w:color="auto"/>
              <w:right w:val="single" w:sz="4" w:space="0" w:color="auto"/>
            </w:tcBorders>
          </w:tcPr>
          <w:p w14:paraId="1FCFDF47" w14:textId="68A3062E" w:rsidR="00D52DE2" w:rsidRPr="000D756E" w:rsidRDefault="00C82DA9" w:rsidP="00D52DE2">
            <w:pPr>
              <w:rPr>
                <w:rFonts w:ascii="Arial" w:hAnsi="Arial" w:cs="Arial"/>
                <w:sz w:val="22"/>
                <w:szCs w:val="22"/>
              </w:rPr>
            </w:pPr>
            <w:r>
              <w:rPr>
                <w:rFonts w:ascii="Arial" w:hAnsi="Arial" w:cs="Arial"/>
                <w:sz w:val="22"/>
                <w:szCs w:val="22"/>
              </w:rPr>
              <w:t>19</w:t>
            </w:r>
          </w:p>
        </w:tc>
        <w:tc>
          <w:tcPr>
            <w:tcW w:w="1134" w:type="dxa"/>
            <w:tcBorders>
              <w:left w:val="single" w:sz="4" w:space="0" w:color="auto"/>
              <w:bottom w:val="single" w:sz="4" w:space="0" w:color="auto"/>
              <w:right w:val="single" w:sz="4" w:space="0" w:color="auto"/>
            </w:tcBorders>
          </w:tcPr>
          <w:p w14:paraId="04B5788B" w14:textId="3FDD73BD" w:rsidR="00D52DE2" w:rsidRPr="000D756E" w:rsidRDefault="009C3997" w:rsidP="001B5FB3">
            <w:pPr>
              <w:jc w:val="right"/>
              <w:rPr>
                <w:rFonts w:ascii="Arial" w:hAnsi="Arial" w:cs="Arial"/>
                <w:sz w:val="22"/>
                <w:szCs w:val="22"/>
              </w:rPr>
            </w:pPr>
            <w:r>
              <w:rPr>
                <w:rFonts w:ascii="Arial" w:hAnsi="Arial" w:cs="Arial"/>
                <w:sz w:val="22"/>
                <w:szCs w:val="22"/>
              </w:rPr>
              <w:t>8,387</w:t>
            </w:r>
          </w:p>
        </w:tc>
      </w:tr>
      <w:tr w:rsidR="00D52DE2" w:rsidRPr="000D756E" w14:paraId="197C0742" w14:textId="77777777" w:rsidTr="00DE2880">
        <w:tc>
          <w:tcPr>
            <w:tcW w:w="1418" w:type="dxa"/>
            <w:tcBorders>
              <w:top w:val="single" w:sz="4" w:space="0" w:color="auto"/>
              <w:left w:val="single" w:sz="4" w:space="0" w:color="auto"/>
              <w:bottom w:val="single" w:sz="4" w:space="0" w:color="auto"/>
              <w:right w:val="single" w:sz="4" w:space="0" w:color="auto"/>
            </w:tcBorders>
          </w:tcPr>
          <w:p w14:paraId="6423480A" w14:textId="0E3B1D6D" w:rsidR="00D52DE2" w:rsidRPr="000D756E" w:rsidRDefault="00D52DE2" w:rsidP="00D52DE2">
            <w:pPr>
              <w:jc w:val="right"/>
              <w:rPr>
                <w:rFonts w:ascii="Arial" w:hAnsi="Arial" w:cs="Arial"/>
                <w:b/>
                <w:sz w:val="22"/>
                <w:szCs w:val="22"/>
              </w:rPr>
            </w:pPr>
            <w:r w:rsidRPr="000D756E">
              <w:rPr>
                <w:rFonts w:ascii="Arial" w:hAnsi="Arial" w:cs="Arial"/>
                <w:b/>
                <w:sz w:val="22"/>
                <w:szCs w:val="22"/>
              </w:rPr>
              <w:t>9,711</w:t>
            </w:r>
          </w:p>
        </w:tc>
        <w:tc>
          <w:tcPr>
            <w:tcW w:w="5954" w:type="dxa"/>
            <w:tcBorders>
              <w:top w:val="single" w:sz="4" w:space="0" w:color="auto"/>
              <w:left w:val="single" w:sz="4" w:space="0" w:color="auto"/>
              <w:bottom w:val="single" w:sz="4" w:space="0" w:color="auto"/>
              <w:right w:val="single" w:sz="4" w:space="0" w:color="auto"/>
            </w:tcBorders>
          </w:tcPr>
          <w:p w14:paraId="738B78DD" w14:textId="77777777" w:rsidR="00D52DE2" w:rsidRPr="000D756E" w:rsidRDefault="00D52DE2" w:rsidP="00D52DE2">
            <w:pPr>
              <w:rPr>
                <w:rFonts w:ascii="Arial" w:hAnsi="Arial" w:cs="Arial"/>
                <w:b/>
                <w:sz w:val="22"/>
                <w:szCs w:val="22"/>
              </w:rPr>
            </w:pPr>
            <w:r w:rsidRPr="000D756E">
              <w:rPr>
                <w:rFonts w:ascii="Arial" w:hAnsi="Arial" w:cs="Arial"/>
                <w:b/>
                <w:sz w:val="22"/>
                <w:szCs w:val="22"/>
              </w:rPr>
              <w:t>Total Current Assets</w:t>
            </w:r>
          </w:p>
        </w:tc>
        <w:tc>
          <w:tcPr>
            <w:tcW w:w="850" w:type="dxa"/>
            <w:tcBorders>
              <w:top w:val="single" w:sz="4" w:space="0" w:color="auto"/>
              <w:left w:val="single" w:sz="4" w:space="0" w:color="auto"/>
              <w:bottom w:val="single" w:sz="4" w:space="0" w:color="auto"/>
              <w:right w:val="single" w:sz="4" w:space="0" w:color="auto"/>
            </w:tcBorders>
          </w:tcPr>
          <w:p w14:paraId="48A8A51B" w14:textId="77777777" w:rsidR="00D52DE2" w:rsidRPr="000D756E" w:rsidRDefault="00D52DE2" w:rsidP="00D52DE2">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D2C92A" w14:textId="06717B05" w:rsidR="00D52DE2" w:rsidRPr="000D756E" w:rsidRDefault="00A33035" w:rsidP="001B5FB3">
            <w:pPr>
              <w:jc w:val="right"/>
              <w:rPr>
                <w:rFonts w:ascii="Arial" w:hAnsi="Arial" w:cs="Arial"/>
                <w:b/>
                <w:sz w:val="22"/>
                <w:szCs w:val="22"/>
              </w:rPr>
            </w:pPr>
            <w:r>
              <w:rPr>
                <w:rFonts w:ascii="Arial" w:hAnsi="Arial" w:cs="Arial"/>
                <w:b/>
                <w:sz w:val="22"/>
                <w:szCs w:val="22"/>
              </w:rPr>
              <w:t>10</w:t>
            </w:r>
            <w:r w:rsidR="00A56F45">
              <w:rPr>
                <w:rFonts w:ascii="Arial" w:hAnsi="Arial" w:cs="Arial"/>
                <w:b/>
                <w:sz w:val="22"/>
                <w:szCs w:val="22"/>
              </w:rPr>
              <w:t>,</w:t>
            </w:r>
            <w:r w:rsidR="009C3997">
              <w:rPr>
                <w:rFonts w:ascii="Arial" w:hAnsi="Arial" w:cs="Arial"/>
                <w:b/>
                <w:sz w:val="22"/>
                <w:szCs w:val="22"/>
              </w:rPr>
              <w:t>5</w:t>
            </w:r>
            <w:r w:rsidR="00A56F45">
              <w:rPr>
                <w:rFonts w:ascii="Arial" w:hAnsi="Arial" w:cs="Arial"/>
                <w:b/>
                <w:sz w:val="22"/>
                <w:szCs w:val="22"/>
              </w:rPr>
              <w:t>07</w:t>
            </w:r>
          </w:p>
        </w:tc>
      </w:tr>
      <w:tr w:rsidR="00D52DE2" w:rsidRPr="000D756E" w14:paraId="1877C2A8" w14:textId="77777777" w:rsidTr="00DE2880">
        <w:tc>
          <w:tcPr>
            <w:tcW w:w="1418" w:type="dxa"/>
            <w:tcBorders>
              <w:top w:val="single" w:sz="4" w:space="0" w:color="auto"/>
              <w:left w:val="single" w:sz="4" w:space="0" w:color="auto"/>
              <w:right w:val="single" w:sz="4" w:space="0" w:color="auto"/>
            </w:tcBorders>
          </w:tcPr>
          <w:p w14:paraId="6008489F" w14:textId="6AAFACD9" w:rsidR="00D52DE2" w:rsidRPr="000D756E" w:rsidRDefault="00D52DE2" w:rsidP="00D52DE2">
            <w:pPr>
              <w:rPr>
                <w:rFonts w:ascii="Arial" w:hAnsi="Arial" w:cs="Arial"/>
                <w:sz w:val="22"/>
                <w:szCs w:val="22"/>
              </w:rPr>
            </w:pPr>
          </w:p>
        </w:tc>
        <w:tc>
          <w:tcPr>
            <w:tcW w:w="5954" w:type="dxa"/>
            <w:tcBorders>
              <w:top w:val="single" w:sz="4" w:space="0" w:color="auto"/>
              <w:left w:val="single" w:sz="4" w:space="0" w:color="auto"/>
              <w:right w:val="single" w:sz="4" w:space="0" w:color="auto"/>
            </w:tcBorders>
          </w:tcPr>
          <w:p w14:paraId="1B26B859" w14:textId="77777777" w:rsidR="00D52DE2" w:rsidRPr="000D756E" w:rsidRDefault="00D52DE2" w:rsidP="00D52DE2">
            <w:pPr>
              <w:rPr>
                <w:rFonts w:ascii="Arial" w:hAnsi="Arial" w:cs="Arial"/>
                <w:sz w:val="22"/>
                <w:szCs w:val="22"/>
              </w:rPr>
            </w:pPr>
          </w:p>
        </w:tc>
        <w:tc>
          <w:tcPr>
            <w:tcW w:w="850" w:type="dxa"/>
            <w:tcBorders>
              <w:top w:val="single" w:sz="4" w:space="0" w:color="auto"/>
              <w:left w:val="single" w:sz="4" w:space="0" w:color="auto"/>
              <w:right w:val="single" w:sz="4" w:space="0" w:color="auto"/>
            </w:tcBorders>
          </w:tcPr>
          <w:p w14:paraId="377AE7CE" w14:textId="77777777" w:rsidR="00D52DE2" w:rsidRPr="000D756E" w:rsidRDefault="00D52DE2" w:rsidP="00D52DE2">
            <w:pPr>
              <w:rPr>
                <w:rFonts w:ascii="Arial" w:hAnsi="Arial" w:cs="Arial"/>
                <w:sz w:val="22"/>
                <w:szCs w:val="22"/>
              </w:rPr>
            </w:pPr>
          </w:p>
        </w:tc>
        <w:tc>
          <w:tcPr>
            <w:tcW w:w="1134" w:type="dxa"/>
            <w:tcBorders>
              <w:top w:val="single" w:sz="4" w:space="0" w:color="auto"/>
              <w:left w:val="single" w:sz="4" w:space="0" w:color="auto"/>
              <w:right w:val="single" w:sz="4" w:space="0" w:color="auto"/>
            </w:tcBorders>
          </w:tcPr>
          <w:p w14:paraId="011B8987" w14:textId="77777777" w:rsidR="00D52DE2" w:rsidRPr="000D756E" w:rsidRDefault="00D52DE2" w:rsidP="001B5FB3">
            <w:pPr>
              <w:jc w:val="right"/>
              <w:rPr>
                <w:rFonts w:ascii="Arial" w:hAnsi="Arial" w:cs="Arial"/>
                <w:sz w:val="22"/>
                <w:szCs w:val="22"/>
              </w:rPr>
            </w:pPr>
          </w:p>
        </w:tc>
      </w:tr>
      <w:tr w:rsidR="00D52DE2" w:rsidRPr="000D756E" w14:paraId="4784AA0C" w14:textId="77777777" w:rsidTr="00DE2880">
        <w:tc>
          <w:tcPr>
            <w:tcW w:w="1418" w:type="dxa"/>
            <w:tcBorders>
              <w:left w:val="single" w:sz="4" w:space="0" w:color="auto"/>
              <w:right w:val="single" w:sz="4" w:space="0" w:color="auto"/>
            </w:tcBorders>
          </w:tcPr>
          <w:p w14:paraId="396581D3" w14:textId="77777777" w:rsidR="00D52DE2" w:rsidRPr="000D756E" w:rsidRDefault="00D52DE2" w:rsidP="00D52DE2">
            <w:pPr>
              <w:jc w:val="right"/>
              <w:rPr>
                <w:rFonts w:ascii="Arial" w:hAnsi="Arial" w:cs="Arial"/>
                <w:sz w:val="22"/>
                <w:szCs w:val="22"/>
              </w:rPr>
            </w:pPr>
            <w:r w:rsidRPr="000D756E">
              <w:rPr>
                <w:rFonts w:ascii="Arial" w:hAnsi="Arial" w:cs="Arial"/>
                <w:sz w:val="22"/>
                <w:szCs w:val="22"/>
              </w:rPr>
              <w:t>-2,652</w:t>
            </w:r>
          </w:p>
          <w:p w14:paraId="309DD8E2" w14:textId="06323EF1" w:rsidR="00D52DE2" w:rsidRPr="000D756E" w:rsidRDefault="00D52DE2" w:rsidP="00D52DE2">
            <w:pPr>
              <w:jc w:val="right"/>
              <w:rPr>
                <w:rFonts w:ascii="Arial" w:hAnsi="Arial" w:cs="Arial"/>
                <w:sz w:val="22"/>
                <w:szCs w:val="22"/>
              </w:rPr>
            </w:pPr>
            <w:r w:rsidRPr="000D756E">
              <w:rPr>
                <w:rFonts w:ascii="Arial" w:hAnsi="Arial" w:cs="Arial"/>
                <w:sz w:val="22"/>
                <w:szCs w:val="22"/>
              </w:rPr>
              <w:t>-932</w:t>
            </w:r>
          </w:p>
        </w:tc>
        <w:tc>
          <w:tcPr>
            <w:tcW w:w="5954" w:type="dxa"/>
            <w:tcBorders>
              <w:left w:val="single" w:sz="4" w:space="0" w:color="auto"/>
              <w:right w:val="single" w:sz="4" w:space="0" w:color="auto"/>
            </w:tcBorders>
          </w:tcPr>
          <w:p w14:paraId="38669536"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Short Term Creditors  </w:t>
            </w:r>
          </w:p>
          <w:p w14:paraId="78244AB6" w14:textId="5F485178" w:rsidR="00D52DE2" w:rsidRPr="000D756E" w:rsidRDefault="00D52DE2" w:rsidP="00D52DE2">
            <w:pPr>
              <w:rPr>
                <w:rFonts w:ascii="Arial" w:hAnsi="Arial" w:cs="Arial"/>
                <w:sz w:val="22"/>
                <w:szCs w:val="22"/>
              </w:rPr>
            </w:pPr>
            <w:r w:rsidRPr="000D756E">
              <w:rPr>
                <w:rFonts w:ascii="Arial" w:hAnsi="Arial" w:cs="Arial"/>
                <w:sz w:val="22"/>
                <w:szCs w:val="22"/>
              </w:rPr>
              <w:t xml:space="preserve">Grants Receipts in Advance - Revenue                                             </w:t>
            </w:r>
          </w:p>
        </w:tc>
        <w:tc>
          <w:tcPr>
            <w:tcW w:w="850" w:type="dxa"/>
            <w:tcBorders>
              <w:left w:val="single" w:sz="4" w:space="0" w:color="auto"/>
              <w:right w:val="single" w:sz="4" w:space="0" w:color="auto"/>
            </w:tcBorders>
          </w:tcPr>
          <w:p w14:paraId="1BB47E7B" w14:textId="60EF00DA" w:rsidR="00D52DE2" w:rsidRPr="000D756E" w:rsidRDefault="00D52DE2" w:rsidP="00D52DE2">
            <w:pPr>
              <w:rPr>
                <w:rFonts w:ascii="Arial" w:hAnsi="Arial" w:cs="Arial"/>
                <w:sz w:val="22"/>
                <w:szCs w:val="22"/>
              </w:rPr>
            </w:pPr>
            <w:r w:rsidRPr="000D756E">
              <w:rPr>
                <w:rFonts w:ascii="Arial" w:hAnsi="Arial" w:cs="Arial"/>
                <w:sz w:val="22"/>
                <w:szCs w:val="22"/>
              </w:rPr>
              <w:t>2</w:t>
            </w:r>
            <w:r w:rsidR="00C82DA9">
              <w:rPr>
                <w:rFonts w:ascii="Arial" w:hAnsi="Arial" w:cs="Arial"/>
                <w:sz w:val="22"/>
                <w:szCs w:val="22"/>
              </w:rPr>
              <w:t>0</w:t>
            </w:r>
          </w:p>
          <w:p w14:paraId="23532A58" w14:textId="4F468A8A" w:rsidR="00D52DE2" w:rsidRPr="000D756E" w:rsidRDefault="00D52DE2" w:rsidP="00D52DE2">
            <w:pPr>
              <w:rPr>
                <w:rFonts w:ascii="Arial" w:hAnsi="Arial" w:cs="Arial"/>
                <w:sz w:val="22"/>
                <w:szCs w:val="22"/>
              </w:rPr>
            </w:pPr>
            <w:r w:rsidRPr="000D756E">
              <w:rPr>
                <w:rFonts w:ascii="Arial" w:hAnsi="Arial" w:cs="Arial"/>
                <w:sz w:val="22"/>
                <w:szCs w:val="22"/>
              </w:rPr>
              <w:t>2</w:t>
            </w:r>
            <w:r w:rsidR="00C82DA9">
              <w:rPr>
                <w:rFonts w:ascii="Arial" w:hAnsi="Arial" w:cs="Arial"/>
                <w:sz w:val="22"/>
                <w:szCs w:val="22"/>
              </w:rPr>
              <w:t>1</w:t>
            </w:r>
          </w:p>
        </w:tc>
        <w:tc>
          <w:tcPr>
            <w:tcW w:w="1134" w:type="dxa"/>
            <w:tcBorders>
              <w:left w:val="single" w:sz="4" w:space="0" w:color="auto"/>
              <w:right w:val="single" w:sz="4" w:space="0" w:color="auto"/>
            </w:tcBorders>
          </w:tcPr>
          <w:p w14:paraId="5DB2B166" w14:textId="27460CF1" w:rsidR="00D52DE2" w:rsidRPr="00870F94" w:rsidRDefault="00205070" w:rsidP="001B5FB3">
            <w:pPr>
              <w:jc w:val="right"/>
              <w:rPr>
                <w:rFonts w:ascii="Arial" w:hAnsi="Arial" w:cs="Arial"/>
                <w:sz w:val="22"/>
                <w:szCs w:val="22"/>
              </w:rPr>
            </w:pPr>
            <w:r w:rsidRPr="00870F94">
              <w:rPr>
                <w:rFonts w:ascii="Arial" w:hAnsi="Arial" w:cs="Arial"/>
                <w:sz w:val="22"/>
                <w:szCs w:val="22"/>
              </w:rPr>
              <w:t>-</w:t>
            </w:r>
            <w:r w:rsidR="445B7301" w:rsidRPr="00870F94">
              <w:rPr>
                <w:rFonts w:ascii="Arial" w:hAnsi="Arial" w:cs="Arial"/>
                <w:sz w:val="22"/>
                <w:szCs w:val="22"/>
              </w:rPr>
              <w:t>6,877</w:t>
            </w:r>
          </w:p>
          <w:p w14:paraId="488C401E" w14:textId="3AC2269F" w:rsidR="00A15284" w:rsidRPr="000D756E" w:rsidRDefault="445B7301" w:rsidP="001B5FB3">
            <w:pPr>
              <w:jc w:val="right"/>
              <w:rPr>
                <w:rFonts w:ascii="Arial" w:hAnsi="Arial" w:cs="Arial"/>
                <w:sz w:val="22"/>
                <w:szCs w:val="22"/>
              </w:rPr>
            </w:pPr>
            <w:r w:rsidRPr="465456A1">
              <w:rPr>
                <w:rFonts w:ascii="Arial" w:hAnsi="Arial" w:cs="Arial"/>
                <w:sz w:val="22"/>
                <w:szCs w:val="22"/>
              </w:rPr>
              <w:t>-1,80</w:t>
            </w:r>
            <w:r w:rsidR="00870F94">
              <w:rPr>
                <w:rFonts w:ascii="Arial" w:hAnsi="Arial" w:cs="Arial"/>
                <w:sz w:val="22"/>
                <w:szCs w:val="22"/>
              </w:rPr>
              <w:t>7</w:t>
            </w:r>
          </w:p>
        </w:tc>
      </w:tr>
      <w:tr w:rsidR="00CC7A62" w:rsidRPr="000D756E" w14:paraId="2F1C9BCC" w14:textId="77777777" w:rsidTr="00DE2880">
        <w:tc>
          <w:tcPr>
            <w:tcW w:w="1418" w:type="dxa"/>
            <w:tcBorders>
              <w:left w:val="single" w:sz="4" w:space="0" w:color="auto"/>
              <w:right w:val="single" w:sz="4" w:space="0" w:color="auto"/>
            </w:tcBorders>
          </w:tcPr>
          <w:p w14:paraId="065B5D5B" w14:textId="72AF31B6" w:rsidR="00D52DE2" w:rsidRPr="000D756E" w:rsidRDefault="00D52DE2" w:rsidP="00D52DE2">
            <w:pPr>
              <w:jc w:val="right"/>
              <w:rPr>
                <w:rFonts w:ascii="Arial" w:hAnsi="Arial" w:cs="Arial"/>
                <w:sz w:val="22"/>
                <w:szCs w:val="22"/>
              </w:rPr>
            </w:pPr>
            <w:r w:rsidRPr="000D756E">
              <w:rPr>
                <w:rFonts w:ascii="Arial" w:hAnsi="Arial" w:cs="Arial"/>
                <w:sz w:val="22"/>
                <w:szCs w:val="22"/>
              </w:rPr>
              <w:t>-210</w:t>
            </w:r>
          </w:p>
        </w:tc>
        <w:tc>
          <w:tcPr>
            <w:tcW w:w="5954" w:type="dxa"/>
            <w:tcBorders>
              <w:left w:val="single" w:sz="4" w:space="0" w:color="auto"/>
              <w:bottom w:val="single" w:sz="4" w:space="0" w:color="auto"/>
              <w:right w:val="single" w:sz="4" w:space="0" w:color="auto"/>
            </w:tcBorders>
          </w:tcPr>
          <w:p w14:paraId="54DB5AE7" w14:textId="27543412" w:rsidR="00D52DE2" w:rsidRPr="000D756E" w:rsidRDefault="00D52DE2" w:rsidP="00D52DE2">
            <w:pPr>
              <w:rPr>
                <w:rFonts w:ascii="Arial" w:hAnsi="Arial" w:cs="Arial"/>
                <w:sz w:val="22"/>
                <w:szCs w:val="22"/>
              </w:rPr>
            </w:pPr>
            <w:r w:rsidRPr="000D756E">
              <w:rPr>
                <w:rFonts w:ascii="Arial" w:hAnsi="Arial" w:cs="Arial"/>
                <w:sz w:val="22"/>
                <w:szCs w:val="22"/>
              </w:rPr>
              <w:t>Short Term Borrowing</w:t>
            </w:r>
          </w:p>
        </w:tc>
        <w:tc>
          <w:tcPr>
            <w:tcW w:w="850" w:type="dxa"/>
            <w:tcBorders>
              <w:left w:val="single" w:sz="4" w:space="0" w:color="auto"/>
              <w:bottom w:val="single" w:sz="4" w:space="0" w:color="auto"/>
              <w:right w:val="single" w:sz="4" w:space="0" w:color="auto"/>
            </w:tcBorders>
          </w:tcPr>
          <w:p w14:paraId="7E3B34FE" w14:textId="38698A3C" w:rsidR="00D52DE2" w:rsidRPr="000D756E" w:rsidRDefault="00D52DE2" w:rsidP="00D52DE2">
            <w:pPr>
              <w:rPr>
                <w:rFonts w:ascii="Arial" w:hAnsi="Arial" w:cs="Arial"/>
                <w:sz w:val="22"/>
                <w:szCs w:val="22"/>
              </w:rPr>
            </w:pPr>
            <w:r w:rsidRPr="000D756E">
              <w:rPr>
                <w:rFonts w:ascii="Arial" w:hAnsi="Arial" w:cs="Arial"/>
                <w:sz w:val="22"/>
                <w:szCs w:val="22"/>
              </w:rPr>
              <w:t>1</w:t>
            </w:r>
            <w:r w:rsidR="00C82DA9">
              <w:rPr>
                <w:rFonts w:ascii="Arial" w:hAnsi="Arial" w:cs="Arial"/>
                <w:sz w:val="22"/>
                <w:szCs w:val="22"/>
              </w:rPr>
              <w:t>6</w:t>
            </w:r>
          </w:p>
        </w:tc>
        <w:tc>
          <w:tcPr>
            <w:tcW w:w="1134" w:type="dxa"/>
            <w:tcBorders>
              <w:left w:val="single" w:sz="4" w:space="0" w:color="auto"/>
              <w:right w:val="single" w:sz="4" w:space="0" w:color="auto"/>
            </w:tcBorders>
          </w:tcPr>
          <w:p w14:paraId="406CF5C0" w14:textId="00AA035D" w:rsidR="00D52DE2" w:rsidRPr="000D756E" w:rsidRDefault="0056502A" w:rsidP="001B5FB3">
            <w:pPr>
              <w:jc w:val="right"/>
              <w:rPr>
                <w:rFonts w:ascii="Arial" w:hAnsi="Arial" w:cs="Arial"/>
                <w:sz w:val="22"/>
                <w:szCs w:val="22"/>
              </w:rPr>
            </w:pPr>
            <w:r>
              <w:rPr>
                <w:rFonts w:ascii="Arial" w:hAnsi="Arial" w:cs="Arial"/>
                <w:sz w:val="22"/>
                <w:szCs w:val="22"/>
              </w:rPr>
              <w:t>0</w:t>
            </w:r>
          </w:p>
        </w:tc>
      </w:tr>
      <w:tr w:rsidR="00D52DE2" w:rsidRPr="000D756E" w14:paraId="1504875E" w14:textId="77777777" w:rsidTr="00DE2880">
        <w:tc>
          <w:tcPr>
            <w:tcW w:w="1418" w:type="dxa"/>
            <w:tcBorders>
              <w:top w:val="single" w:sz="4" w:space="0" w:color="auto"/>
              <w:left w:val="single" w:sz="4" w:space="0" w:color="auto"/>
              <w:bottom w:val="single" w:sz="4" w:space="0" w:color="auto"/>
              <w:right w:val="single" w:sz="4" w:space="0" w:color="auto"/>
            </w:tcBorders>
          </w:tcPr>
          <w:p w14:paraId="42705093" w14:textId="63749292" w:rsidR="00D52DE2" w:rsidRPr="000D756E" w:rsidRDefault="00D52DE2" w:rsidP="00D52DE2">
            <w:pPr>
              <w:jc w:val="right"/>
              <w:rPr>
                <w:rFonts w:ascii="Arial" w:hAnsi="Arial" w:cs="Arial"/>
                <w:b/>
                <w:sz w:val="22"/>
                <w:szCs w:val="22"/>
              </w:rPr>
            </w:pPr>
            <w:r w:rsidRPr="000D756E">
              <w:rPr>
                <w:rFonts w:ascii="Arial" w:hAnsi="Arial" w:cs="Arial"/>
                <w:b/>
                <w:sz w:val="22"/>
                <w:szCs w:val="22"/>
              </w:rPr>
              <w:t>-3,794</w:t>
            </w:r>
          </w:p>
        </w:tc>
        <w:tc>
          <w:tcPr>
            <w:tcW w:w="5954" w:type="dxa"/>
            <w:tcBorders>
              <w:top w:val="single" w:sz="4" w:space="0" w:color="auto"/>
              <w:left w:val="single" w:sz="4" w:space="0" w:color="auto"/>
              <w:bottom w:val="single" w:sz="4" w:space="0" w:color="auto"/>
              <w:right w:val="single" w:sz="4" w:space="0" w:color="auto"/>
            </w:tcBorders>
          </w:tcPr>
          <w:p w14:paraId="09408F04" w14:textId="77777777" w:rsidR="00D52DE2" w:rsidRPr="000D756E" w:rsidRDefault="00D52DE2" w:rsidP="00D52DE2">
            <w:pPr>
              <w:rPr>
                <w:rFonts w:ascii="Arial" w:hAnsi="Arial" w:cs="Arial"/>
                <w:b/>
                <w:sz w:val="22"/>
                <w:szCs w:val="22"/>
              </w:rPr>
            </w:pPr>
            <w:r w:rsidRPr="000D756E">
              <w:rPr>
                <w:rFonts w:ascii="Arial" w:hAnsi="Arial" w:cs="Arial"/>
                <w:b/>
                <w:sz w:val="22"/>
                <w:szCs w:val="22"/>
              </w:rPr>
              <w:t>Current Liabilities</w:t>
            </w:r>
          </w:p>
        </w:tc>
        <w:tc>
          <w:tcPr>
            <w:tcW w:w="850" w:type="dxa"/>
            <w:tcBorders>
              <w:top w:val="single" w:sz="4" w:space="0" w:color="auto"/>
              <w:left w:val="single" w:sz="4" w:space="0" w:color="auto"/>
              <w:bottom w:val="single" w:sz="4" w:space="0" w:color="auto"/>
              <w:right w:val="single" w:sz="4" w:space="0" w:color="auto"/>
            </w:tcBorders>
          </w:tcPr>
          <w:p w14:paraId="0CBB3E22" w14:textId="77777777" w:rsidR="00D52DE2" w:rsidRPr="000D756E" w:rsidRDefault="00D52DE2" w:rsidP="00D52DE2">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4B623E" w14:textId="71DC949D" w:rsidR="00D52DE2" w:rsidRPr="000D756E" w:rsidRDefault="00205070" w:rsidP="001B5FB3">
            <w:pPr>
              <w:jc w:val="right"/>
              <w:rPr>
                <w:rFonts w:ascii="Arial" w:hAnsi="Arial" w:cs="Arial"/>
                <w:b/>
                <w:sz w:val="22"/>
                <w:szCs w:val="22"/>
              </w:rPr>
            </w:pPr>
            <w:r>
              <w:rPr>
                <w:rFonts w:ascii="Arial" w:hAnsi="Arial" w:cs="Arial"/>
                <w:b/>
                <w:sz w:val="22"/>
                <w:szCs w:val="22"/>
              </w:rPr>
              <w:t>-8,68</w:t>
            </w:r>
            <w:r w:rsidR="003A5A39">
              <w:rPr>
                <w:rFonts w:ascii="Arial" w:hAnsi="Arial" w:cs="Arial"/>
                <w:b/>
                <w:sz w:val="22"/>
                <w:szCs w:val="22"/>
              </w:rPr>
              <w:t>4</w:t>
            </w:r>
          </w:p>
        </w:tc>
      </w:tr>
      <w:tr w:rsidR="00D52DE2" w:rsidRPr="000D756E" w14:paraId="398EB33D" w14:textId="77777777" w:rsidTr="00DE2880">
        <w:tc>
          <w:tcPr>
            <w:tcW w:w="1418" w:type="dxa"/>
            <w:tcBorders>
              <w:top w:val="single" w:sz="4" w:space="0" w:color="auto"/>
              <w:left w:val="single" w:sz="4" w:space="0" w:color="auto"/>
              <w:right w:val="single" w:sz="4" w:space="0" w:color="auto"/>
            </w:tcBorders>
          </w:tcPr>
          <w:p w14:paraId="358A3CF3" w14:textId="77777777" w:rsidR="00D52DE2" w:rsidRPr="000D756E" w:rsidRDefault="00D52DE2" w:rsidP="00D52DE2">
            <w:pPr>
              <w:jc w:val="right"/>
              <w:rPr>
                <w:rFonts w:ascii="Arial" w:hAnsi="Arial" w:cs="Arial"/>
                <w:sz w:val="22"/>
                <w:szCs w:val="22"/>
              </w:rPr>
            </w:pPr>
          </w:p>
          <w:p w14:paraId="0F1F00B6" w14:textId="13511118" w:rsidR="00D52DE2" w:rsidRPr="000D756E" w:rsidRDefault="00D52DE2" w:rsidP="00D52DE2">
            <w:pPr>
              <w:jc w:val="right"/>
              <w:rPr>
                <w:rFonts w:ascii="Arial" w:hAnsi="Arial" w:cs="Arial"/>
                <w:sz w:val="22"/>
                <w:szCs w:val="22"/>
              </w:rPr>
            </w:pPr>
            <w:r w:rsidRPr="000D756E">
              <w:rPr>
                <w:rFonts w:ascii="Arial" w:hAnsi="Arial" w:cs="Arial"/>
                <w:sz w:val="22"/>
                <w:szCs w:val="22"/>
              </w:rPr>
              <w:t>-83</w:t>
            </w:r>
          </w:p>
        </w:tc>
        <w:tc>
          <w:tcPr>
            <w:tcW w:w="5954" w:type="dxa"/>
            <w:tcBorders>
              <w:top w:val="single" w:sz="4" w:space="0" w:color="auto"/>
              <w:left w:val="single" w:sz="4" w:space="0" w:color="auto"/>
              <w:right w:val="single" w:sz="4" w:space="0" w:color="auto"/>
            </w:tcBorders>
          </w:tcPr>
          <w:p w14:paraId="432A2EB6" w14:textId="77777777" w:rsidR="00D52DE2" w:rsidRPr="000D756E" w:rsidRDefault="00D52DE2" w:rsidP="00D52DE2">
            <w:pPr>
              <w:rPr>
                <w:rFonts w:ascii="Arial" w:hAnsi="Arial" w:cs="Arial"/>
                <w:sz w:val="22"/>
                <w:szCs w:val="22"/>
              </w:rPr>
            </w:pPr>
          </w:p>
          <w:p w14:paraId="01981127" w14:textId="7B35B875" w:rsidR="00D52DE2" w:rsidRPr="000D756E" w:rsidRDefault="00D52DE2" w:rsidP="00D52DE2">
            <w:pPr>
              <w:rPr>
                <w:rFonts w:ascii="Arial" w:hAnsi="Arial" w:cs="Arial"/>
                <w:sz w:val="22"/>
                <w:szCs w:val="22"/>
              </w:rPr>
            </w:pPr>
            <w:r w:rsidRPr="000D756E">
              <w:rPr>
                <w:rFonts w:ascii="Arial" w:hAnsi="Arial" w:cs="Arial"/>
                <w:sz w:val="22"/>
                <w:szCs w:val="22"/>
              </w:rPr>
              <w:t>Provisions</w:t>
            </w:r>
          </w:p>
        </w:tc>
        <w:tc>
          <w:tcPr>
            <w:tcW w:w="850" w:type="dxa"/>
            <w:tcBorders>
              <w:top w:val="single" w:sz="4" w:space="0" w:color="auto"/>
              <w:left w:val="single" w:sz="4" w:space="0" w:color="auto"/>
              <w:right w:val="single" w:sz="4" w:space="0" w:color="auto"/>
            </w:tcBorders>
          </w:tcPr>
          <w:p w14:paraId="25B6B6D1" w14:textId="77777777" w:rsidR="00D52DE2" w:rsidRPr="000D756E" w:rsidRDefault="00D52DE2" w:rsidP="00D52DE2">
            <w:pPr>
              <w:rPr>
                <w:rFonts w:ascii="Arial" w:hAnsi="Arial" w:cs="Arial"/>
                <w:sz w:val="22"/>
                <w:szCs w:val="22"/>
              </w:rPr>
            </w:pPr>
          </w:p>
          <w:p w14:paraId="41D6A696" w14:textId="593F9099" w:rsidR="00D52DE2" w:rsidRPr="000D756E" w:rsidRDefault="00D52DE2" w:rsidP="00D52DE2">
            <w:pPr>
              <w:rPr>
                <w:rFonts w:ascii="Arial" w:hAnsi="Arial" w:cs="Arial"/>
                <w:sz w:val="22"/>
                <w:szCs w:val="22"/>
              </w:rPr>
            </w:pPr>
            <w:r w:rsidRPr="000D756E">
              <w:rPr>
                <w:rFonts w:ascii="Arial" w:hAnsi="Arial" w:cs="Arial"/>
                <w:sz w:val="22"/>
                <w:szCs w:val="22"/>
              </w:rPr>
              <w:t>2</w:t>
            </w:r>
            <w:r w:rsidR="00C82DA9">
              <w:rPr>
                <w:rFonts w:ascii="Arial" w:hAnsi="Arial" w:cs="Arial"/>
                <w:sz w:val="22"/>
                <w:szCs w:val="22"/>
              </w:rPr>
              <w:t>2</w:t>
            </w:r>
          </w:p>
        </w:tc>
        <w:tc>
          <w:tcPr>
            <w:tcW w:w="1134" w:type="dxa"/>
            <w:tcBorders>
              <w:top w:val="single" w:sz="4" w:space="0" w:color="auto"/>
              <w:left w:val="single" w:sz="4" w:space="0" w:color="auto"/>
              <w:right w:val="single" w:sz="4" w:space="0" w:color="auto"/>
            </w:tcBorders>
          </w:tcPr>
          <w:p w14:paraId="12BD7A77" w14:textId="77777777" w:rsidR="00D52DE2" w:rsidRDefault="00D52DE2" w:rsidP="001B5FB3">
            <w:pPr>
              <w:jc w:val="right"/>
              <w:rPr>
                <w:rFonts w:ascii="Arial" w:hAnsi="Arial" w:cs="Arial"/>
                <w:sz w:val="22"/>
                <w:szCs w:val="22"/>
              </w:rPr>
            </w:pPr>
          </w:p>
          <w:p w14:paraId="62C1A2C8" w14:textId="5CCD0CBF" w:rsidR="00205070" w:rsidRPr="000D756E" w:rsidRDefault="00205070" w:rsidP="001B5FB3">
            <w:pPr>
              <w:jc w:val="right"/>
              <w:rPr>
                <w:rFonts w:ascii="Arial" w:hAnsi="Arial" w:cs="Arial"/>
                <w:sz w:val="22"/>
                <w:szCs w:val="22"/>
              </w:rPr>
            </w:pPr>
            <w:r>
              <w:rPr>
                <w:rFonts w:ascii="Arial" w:hAnsi="Arial" w:cs="Arial"/>
                <w:sz w:val="22"/>
                <w:szCs w:val="22"/>
              </w:rPr>
              <w:t>-124</w:t>
            </w:r>
          </w:p>
        </w:tc>
      </w:tr>
      <w:tr w:rsidR="00D52DE2" w:rsidRPr="000D756E" w14:paraId="2A2ED97A" w14:textId="77777777" w:rsidTr="00DE2880">
        <w:tc>
          <w:tcPr>
            <w:tcW w:w="1418" w:type="dxa"/>
            <w:tcBorders>
              <w:left w:val="single" w:sz="4" w:space="0" w:color="auto"/>
              <w:right w:val="single" w:sz="4" w:space="0" w:color="auto"/>
            </w:tcBorders>
          </w:tcPr>
          <w:p w14:paraId="0F55BB03" w14:textId="77777777" w:rsidR="00D52DE2" w:rsidRPr="000D756E" w:rsidRDefault="00D52DE2" w:rsidP="00D52DE2">
            <w:pPr>
              <w:jc w:val="right"/>
              <w:rPr>
                <w:rFonts w:ascii="Arial" w:hAnsi="Arial" w:cs="Arial"/>
                <w:sz w:val="22"/>
                <w:szCs w:val="22"/>
              </w:rPr>
            </w:pPr>
            <w:r w:rsidRPr="000D756E">
              <w:rPr>
                <w:rFonts w:ascii="Arial" w:hAnsi="Arial" w:cs="Arial"/>
                <w:sz w:val="22"/>
                <w:szCs w:val="22"/>
              </w:rPr>
              <w:t>-5,045</w:t>
            </w:r>
          </w:p>
          <w:p w14:paraId="58609D2C" w14:textId="66F40ED2" w:rsidR="00D52DE2" w:rsidRPr="000D756E" w:rsidRDefault="00D52DE2" w:rsidP="00D52DE2">
            <w:pPr>
              <w:jc w:val="right"/>
              <w:rPr>
                <w:rFonts w:ascii="Arial" w:hAnsi="Arial" w:cs="Arial"/>
                <w:sz w:val="22"/>
                <w:szCs w:val="22"/>
              </w:rPr>
            </w:pPr>
            <w:r w:rsidRPr="000D756E">
              <w:rPr>
                <w:rFonts w:ascii="Arial" w:hAnsi="Arial" w:cs="Arial"/>
                <w:sz w:val="22"/>
                <w:szCs w:val="22"/>
              </w:rPr>
              <w:t>-182,587</w:t>
            </w:r>
          </w:p>
        </w:tc>
        <w:tc>
          <w:tcPr>
            <w:tcW w:w="5954" w:type="dxa"/>
            <w:tcBorders>
              <w:left w:val="single" w:sz="4" w:space="0" w:color="auto"/>
              <w:right w:val="single" w:sz="4" w:space="0" w:color="auto"/>
            </w:tcBorders>
          </w:tcPr>
          <w:p w14:paraId="363B0455"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Long Term Borrowing                                               </w:t>
            </w:r>
          </w:p>
          <w:p w14:paraId="1121F298"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Pension Liability                                                   </w:t>
            </w:r>
          </w:p>
        </w:tc>
        <w:tc>
          <w:tcPr>
            <w:tcW w:w="850" w:type="dxa"/>
            <w:tcBorders>
              <w:left w:val="single" w:sz="4" w:space="0" w:color="auto"/>
              <w:right w:val="single" w:sz="4" w:space="0" w:color="auto"/>
            </w:tcBorders>
          </w:tcPr>
          <w:p w14:paraId="5E647028" w14:textId="35ECE6C5" w:rsidR="00D52DE2" w:rsidRPr="000D756E" w:rsidRDefault="00D52DE2" w:rsidP="00D52DE2">
            <w:pPr>
              <w:rPr>
                <w:rFonts w:ascii="Arial" w:hAnsi="Arial" w:cs="Arial"/>
                <w:sz w:val="22"/>
                <w:szCs w:val="22"/>
              </w:rPr>
            </w:pPr>
            <w:r w:rsidRPr="000D756E">
              <w:rPr>
                <w:rFonts w:ascii="Arial" w:hAnsi="Arial" w:cs="Arial"/>
                <w:sz w:val="22"/>
                <w:szCs w:val="22"/>
              </w:rPr>
              <w:t>1</w:t>
            </w:r>
            <w:r w:rsidR="00C82DA9">
              <w:rPr>
                <w:rFonts w:ascii="Arial" w:hAnsi="Arial" w:cs="Arial"/>
                <w:sz w:val="22"/>
                <w:szCs w:val="22"/>
              </w:rPr>
              <w:t>6</w:t>
            </w:r>
          </w:p>
          <w:p w14:paraId="4E2F9E8C" w14:textId="1A807F6C" w:rsidR="00D52DE2" w:rsidRPr="000D756E" w:rsidRDefault="00D52DE2" w:rsidP="00D52DE2">
            <w:pPr>
              <w:rPr>
                <w:rFonts w:ascii="Arial" w:hAnsi="Arial" w:cs="Arial"/>
                <w:sz w:val="22"/>
                <w:szCs w:val="22"/>
              </w:rPr>
            </w:pPr>
            <w:r w:rsidRPr="000D756E">
              <w:rPr>
                <w:rFonts w:ascii="Arial" w:hAnsi="Arial" w:cs="Arial"/>
                <w:sz w:val="22"/>
                <w:szCs w:val="22"/>
              </w:rPr>
              <w:t>2</w:t>
            </w:r>
            <w:r w:rsidR="00C82DA9">
              <w:rPr>
                <w:rFonts w:ascii="Arial" w:hAnsi="Arial" w:cs="Arial"/>
                <w:sz w:val="22"/>
                <w:szCs w:val="22"/>
              </w:rPr>
              <w:t>3</w:t>
            </w:r>
          </w:p>
        </w:tc>
        <w:tc>
          <w:tcPr>
            <w:tcW w:w="1134" w:type="dxa"/>
            <w:tcBorders>
              <w:left w:val="single" w:sz="4" w:space="0" w:color="auto"/>
              <w:right w:val="single" w:sz="4" w:space="0" w:color="auto"/>
            </w:tcBorders>
          </w:tcPr>
          <w:p w14:paraId="2BC2F7E6" w14:textId="77777777" w:rsidR="00D52DE2" w:rsidRDefault="00205070" w:rsidP="001B5FB3">
            <w:pPr>
              <w:jc w:val="right"/>
              <w:rPr>
                <w:rFonts w:ascii="Arial" w:hAnsi="Arial" w:cs="Arial"/>
                <w:sz w:val="22"/>
                <w:szCs w:val="22"/>
              </w:rPr>
            </w:pPr>
            <w:r>
              <w:rPr>
                <w:rFonts w:ascii="Arial" w:hAnsi="Arial" w:cs="Arial"/>
                <w:sz w:val="22"/>
                <w:szCs w:val="22"/>
              </w:rPr>
              <w:t>-5,045</w:t>
            </w:r>
          </w:p>
          <w:p w14:paraId="6C203219" w14:textId="603CDAC1" w:rsidR="00205070" w:rsidRPr="000D756E" w:rsidRDefault="00205070" w:rsidP="001B5FB3">
            <w:pPr>
              <w:jc w:val="right"/>
              <w:rPr>
                <w:rFonts w:ascii="Arial" w:hAnsi="Arial" w:cs="Arial"/>
                <w:sz w:val="22"/>
                <w:szCs w:val="22"/>
              </w:rPr>
            </w:pPr>
            <w:r>
              <w:rPr>
                <w:rFonts w:ascii="Arial" w:hAnsi="Arial" w:cs="Arial"/>
                <w:sz w:val="22"/>
                <w:szCs w:val="22"/>
              </w:rPr>
              <w:t>-161,105</w:t>
            </w:r>
          </w:p>
        </w:tc>
      </w:tr>
      <w:tr w:rsidR="00D52DE2" w:rsidRPr="000D756E" w14:paraId="4A706454" w14:textId="77777777" w:rsidTr="00DE2880">
        <w:tc>
          <w:tcPr>
            <w:tcW w:w="1418" w:type="dxa"/>
            <w:tcBorders>
              <w:top w:val="single" w:sz="4" w:space="0" w:color="auto"/>
              <w:left w:val="single" w:sz="4" w:space="0" w:color="auto"/>
              <w:right w:val="single" w:sz="4" w:space="0" w:color="auto"/>
            </w:tcBorders>
          </w:tcPr>
          <w:p w14:paraId="67639955" w14:textId="06D34E91" w:rsidR="00D52DE2" w:rsidRPr="000D756E" w:rsidRDefault="00D52DE2" w:rsidP="00D52DE2">
            <w:pPr>
              <w:jc w:val="right"/>
              <w:rPr>
                <w:rFonts w:ascii="Arial" w:hAnsi="Arial" w:cs="Arial"/>
                <w:b/>
                <w:sz w:val="22"/>
                <w:szCs w:val="22"/>
              </w:rPr>
            </w:pPr>
            <w:r w:rsidRPr="000D756E">
              <w:rPr>
                <w:rFonts w:ascii="Arial" w:hAnsi="Arial" w:cs="Arial"/>
                <w:b/>
                <w:sz w:val="22"/>
                <w:szCs w:val="22"/>
              </w:rPr>
              <w:t>-187,715</w:t>
            </w:r>
          </w:p>
        </w:tc>
        <w:tc>
          <w:tcPr>
            <w:tcW w:w="5954" w:type="dxa"/>
            <w:tcBorders>
              <w:top w:val="single" w:sz="4" w:space="0" w:color="auto"/>
              <w:left w:val="single" w:sz="4" w:space="0" w:color="auto"/>
              <w:right w:val="single" w:sz="4" w:space="0" w:color="auto"/>
            </w:tcBorders>
          </w:tcPr>
          <w:p w14:paraId="2D525543" w14:textId="77777777" w:rsidR="00D52DE2" w:rsidRPr="000D756E" w:rsidRDefault="00D52DE2" w:rsidP="00D52DE2">
            <w:pPr>
              <w:rPr>
                <w:rFonts w:ascii="Arial" w:hAnsi="Arial" w:cs="Arial"/>
                <w:b/>
                <w:sz w:val="22"/>
                <w:szCs w:val="22"/>
              </w:rPr>
            </w:pPr>
            <w:r w:rsidRPr="000D756E">
              <w:rPr>
                <w:rFonts w:ascii="Arial" w:hAnsi="Arial" w:cs="Arial"/>
                <w:b/>
                <w:sz w:val="22"/>
                <w:szCs w:val="22"/>
              </w:rPr>
              <w:t>Long Term Liabilities</w:t>
            </w:r>
          </w:p>
        </w:tc>
        <w:tc>
          <w:tcPr>
            <w:tcW w:w="850" w:type="dxa"/>
            <w:tcBorders>
              <w:top w:val="single" w:sz="4" w:space="0" w:color="auto"/>
              <w:left w:val="single" w:sz="4" w:space="0" w:color="auto"/>
              <w:right w:val="single" w:sz="4" w:space="0" w:color="auto"/>
            </w:tcBorders>
          </w:tcPr>
          <w:p w14:paraId="4A9DB73E" w14:textId="77777777" w:rsidR="00D52DE2" w:rsidRPr="000D756E" w:rsidRDefault="00D52DE2" w:rsidP="00D52DE2">
            <w:pPr>
              <w:rPr>
                <w:rFonts w:ascii="Arial" w:hAnsi="Arial" w:cs="Arial"/>
                <w:sz w:val="22"/>
                <w:szCs w:val="22"/>
              </w:rPr>
            </w:pPr>
          </w:p>
        </w:tc>
        <w:tc>
          <w:tcPr>
            <w:tcW w:w="1134" w:type="dxa"/>
            <w:tcBorders>
              <w:top w:val="single" w:sz="4" w:space="0" w:color="auto"/>
              <w:left w:val="single" w:sz="4" w:space="0" w:color="auto"/>
              <w:right w:val="single" w:sz="4" w:space="0" w:color="auto"/>
            </w:tcBorders>
          </w:tcPr>
          <w:p w14:paraId="1F8B9F71" w14:textId="46C6AE1B" w:rsidR="00D52DE2" w:rsidRPr="000D756E" w:rsidRDefault="008B5E0A" w:rsidP="008B5E0A">
            <w:pPr>
              <w:jc w:val="right"/>
              <w:rPr>
                <w:rFonts w:ascii="Arial" w:hAnsi="Arial" w:cs="Arial"/>
                <w:b/>
                <w:sz w:val="22"/>
                <w:szCs w:val="22"/>
              </w:rPr>
            </w:pPr>
            <w:r>
              <w:rPr>
                <w:rFonts w:ascii="Arial" w:hAnsi="Arial" w:cs="Arial"/>
                <w:b/>
                <w:sz w:val="22"/>
                <w:szCs w:val="22"/>
              </w:rPr>
              <w:t>-1</w:t>
            </w:r>
            <w:r w:rsidR="000E1577">
              <w:rPr>
                <w:rFonts w:ascii="Arial" w:hAnsi="Arial" w:cs="Arial"/>
                <w:b/>
                <w:sz w:val="22"/>
                <w:szCs w:val="22"/>
              </w:rPr>
              <w:t>66,274</w:t>
            </w:r>
          </w:p>
        </w:tc>
      </w:tr>
      <w:tr w:rsidR="00D52DE2" w:rsidRPr="000D756E" w14:paraId="1456E87C" w14:textId="77777777" w:rsidTr="00DE2880">
        <w:tc>
          <w:tcPr>
            <w:tcW w:w="1418" w:type="dxa"/>
            <w:tcBorders>
              <w:top w:val="single" w:sz="4" w:space="0" w:color="auto"/>
              <w:left w:val="single" w:sz="4" w:space="0" w:color="auto"/>
              <w:bottom w:val="single" w:sz="4" w:space="0" w:color="auto"/>
              <w:right w:val="single" w:sz="4" w:space="0" w:color="auto"/>
            </w:tcBorders>
          </w:tcPr>
          <w:p w14:paraId="091D40AB" w14:textId="4EB73E05" w:rsidR="00D52DE2" w:rsidRPr="000D756E" w:rsidRDefault="00D52DE2" w:rsidP="00D52DE2">
            <w:pPr>
              <w:jc w:val="right"/>
              <w:rPr>
                <w:rFonts w:ascii="Arial" w:hAnsi="Arial" w:cs="Arial"/>
                <w:b/>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15B509F" w14:textId="77777777" w:rsidR="00D52DE2" w:rsidRPr="000D756E" w:rsidRDefault="00D52DE2" w:rsidP="00D52DE2">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tcPr>
          <w:p w14:paraId="6730ABFE" w14:textId="77777777" w:rsidR="00D52DE2" w:rsidRPr="000D756E" w:rsidRDefault="00D52DE2" w:rsidP="00D52DE2">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430D02" w14:textId="77777777" w:rsidR="00D52DE2" w:rsidRPr="000D756E" w:rsidRDefault="00D52DE2" w:rsidP="001B5FB3">
            <w:pPr>
              <w:jc w:val="right"/>
              <w:rPr>
                <w:rFonts w:ascii="Arial" w:hAnsi="Arial" w:cs="Arial"/>
                <w:b/>
                <w:sz w:val="22"/>
                <w:szCs w:val="22"/>
              </w:rPr>
            </w:pPr>
          </w:p>
        </w:tc>
      </w:tr>
      <w:tr w:rsidR="00D52DE2" w:rsidRPr="000D756E" w14:paraId="6B0E841B" w14:textId="77777777" w:rsidTr="00DE2880">
        <w:tc>
          <w:tcPr>
            <w:tcW w:w="1418" w:type="dxa"/>
            <w:tcBorders>
              <w:top w:val="single" w:sz="4" w:space="0" w:color="auto"/>
              <w:left w:val="single" w:sz="4" w:space="0" w:color="auto"/>
              <w:bottom w:val="single" w:sz="4" w:space="0" w:color="auto"/>
              <w:right w:val="single" w:sz="4" w:space="0" w:color="auto"/>
            </w:tcBorders>
          </w:tcPr>
          <w:p w14:paraId="17F8A597" w14:textId="205B89DF" w:rsidR="00D52DE2" w:rsidRPr="000D756E" w:rsidRDefault="00D52DE2" w:rsidP="00D52DE2">
            <w:pPr>
              <w:jc w:val="right"/>
              <w:rPr>
                <w:rFonts w:ascii="Arial" w:hAnsi="Arial" w:cs="Arial"/>
                <w:b/>
                <w:sz w:val="22"/>
                <w:szCs w:val="22"/>
              </w:rPr>
            </w:pPr>
            <w:r w:rsidRPr="000D756E">
              <w:rPr>
                <w:rFonts w:ascii="Arial" w:hAnsi="Arial" w:cs="Arial"/>
                <w:b/>
                <w:sz w:val="22"/>
                <w:szCs w:val="22"/>
              </w:rPr>
              <w:t>-147,336</w:t>
            </w:r>
          </w:p>
        </w:tc>
        <w:tc>
          <w:tcPr>
            <w:tcW w:w="5954" w:type="dxa"/>
            <w:tcBorders>
              <w:top w:val="single" w:sz="4" w:space="0" w:color="auto"/>
              <w:left w:val="single" w:sz="4" w:space="0" w:color="auto"/>
              <w:bottom w:val="single" w:sz="4" w:space="0" w:color="auto"/>
              <w:right w:val="single" w:sz="4" w:space="0" w:color="auto"/>
            </w:tcBorders>
          </w:tcPr>
          <w:p w14:paraId="56025BB6" w14:textId="77777777" w:rsidR="00D52DE2" w:rsidRPr="000D756E" w:rsidRDefault="00D52DE2" w:rsidP="00D52DE2">
            <w:pPr>
              <w:rPr>
                <w:rFonts w:ascii="Arial" w:hAnsi="Arial" w:cs="Arial"/>
                <w:b/>
                <w:sz w:val="22"/>
                <w:szCs w:val="22"/>
              </w:rPr>
            </w:pPr>
            <w:r w:rsidRPr="000D756E">
              <w:rPr>
                <w:rFonts w:ascii="Arial" w:hAnsi="Arial" w:cs="Arial"/>
                <w:b/>
                <w:sz w:val="22"/>
                <w:szCs w:val="22"/>
              </w:rPr>
              <w:t xml:space="preserve">Net Liabilities                 </w:t>
            </w:r>
          </w:p>
        </w:tc>
        <w:tc>
          <w:tcPr>
            <w:tcW w:w="850" w:type="dxa"/>
            <w:tcBorders>
              <w:top w:val="single" w:sz="4" w:space="0" w:color="auto"/>
              <w:left w:val="single" w:sz="4" w:space="0" w:color="auto"/>
              <w:bottom w:val="single" w:sz="4" w:space="0" w:color="auto"/>
              <w:right w:val="single" w:sz="4" w:space="0" w:color="auto"/>
            </w:tcBorders>
          </w:tcPr>
          <w:p w14:paraId="33852990" w14:textId="77777777" w:rsidR="00D52DE2" w:rsidRPr="000D756E" w:rsidRDefault="00D52DE2" w:rsidP="00D52DE2">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69847FD" w14:textId="0EB99642" w:rsidR="00D52DE2" w:rsidRPr="000D756E" w:rsidRDefault="000E1577" w:rsidP="001B5FB3">
            <w:pPr>
              <w:jc w:val="right"/>
              <w:rPr>
                <w:rFonts w:ascii="Arial" w:hAnsi="Arial" w:cs="Arial"/>
                <w:b/>
                <w:sz w:val="22"/>
                <w:szCs w:val="22"/>
              </w:rPr>
            </w:pPr>
            <w:r>
              <w:rPr>
                <w:rFonts w:ascii="Arial" w:hAnsi="Arial" w:cs="Arial"/>
                <w:b/>
                <w:sz w:val="22"/>
                <w:szCs w:val="22"/>
              </w:rPr>
              <w:t>-122,79</w:t>
            </w:r>
            <w:r w:rsidR="003A5A39">
              <w:rPr>
                <w:rFonts w:ascii="Arial" w:hAnsi="Arial" w:cs="Arial"/>
                <w:b/>
                <w:sz w:val="22"/>
                <w:szCs w:val="22"/>
              </w:rPr>
              <w:t>2</w:t>
            </w:r>
          </w:p>
        </w:tc>
      </w:tr>
      <w:tr w:rsidR="00CC7A62" w:rsidRPr="000D756E" w14:paraId="4872000A" w14:textId="77777777" w:rsidTr="00DE2880">
        <w:tc>
          <w:tcPr>
            <w:tcW w:w="1418" w:type="dxa"/>
            <w:tcBorders>
              <w:top w:val="single" w:sz="4" w:space="0" w:color="auto"/>
              <w:left w:val="single" w:sz="4" w:space="0" w:color="auto"/>
              <w:right w:val="single" w:sz="4" w:space="0" w:color="auto"/>
            </w:tcBorders>
          </w:tcPr>
          <w:p w14:paraId="5EC67FF4" w14:textId="6969ABB5" w:rsidR="00D52DE2" w:rsidRPr="000D756E" w:rsidRDefault="00D52DE2" w:rsidP="00D52DE2">
            <w:pPr>
              <w:jc w:val="right"/>
              <w:rPr>
                <w:rFonts w:ascii="Arial" w:hAnsi="Arial" w:cs="Arial"/>
                <w:sz w:val="22"/>
                <w:szCs w:val="22"/>
              </w:rPr>
            </w:pPr>
          </w:p>
        </w:tc>
        <w:tc>
          <w:tcPr>
            <w:tcW w:w="5954" w:type="dxa"/>
            <w:tcBorders>
              <w:left w:val="single" w:sz="4" w:space="0" w:color="auto"/>
              <w:right w:val="single" w:sz="4" w:space="0" w:color="auto"/>
            </w:tcBorders>
          </w:tcPr>
          <w:p w14:paraId="39D7A526" w14:textId="77777777" w:rsidR="00D52DE2" w:rsidRPr="000D756E" w:rsidRDefault="00D52DE2" w:rsidP="00D52DE2">
            <w:pPr>
              <w:rPr>
                <w:rFonts w:ascii="Arial" w:hAnsi="Arial" w:cs="Arial"/>
                <w:sz w:val="22"/>
                <w:szCs w:val="22"/>
              </w:rPr>
            </w:pPr>
          </w:p>
        </w:tc>
        <w:tc>
          <w:tcPr>
            <w:tcW w:w="850" w:type="dxa"/>
            <w:tcBorders>
              <w:left w:val="single" w:sz="4" w:space="0" w:color="auto"/>
              <w:right w:val="single" w:sz="4" w:space="0" w:color="auto"/>
            </w:tcBorders>
          </w:tcPr>
          <w:p w14:paraId="20E7888F" w14:textId="77777777" w:rsidR="00D52DE2" w:rsidRPr="000D756E" w:rsidRDefault="00D52DE2" w:rsidP="00D52DE2">
            <w:pPr>
              <w:rPr>
                <w:rFonts w:ascii="Arial" w:hAnsi="Arial" w:cs="Arial"/>
                <w:sz w:val="22"/>
                <w:szCs w:val="22"/>
              </w:rPr>
            </w:pPr>
          </w:p>
        </w:tc>
        <w:tc>
          <w:tcPr>
            <w:tcW w:w="1134" w:type="dxa"/>
            <w:tcBorders>
              <w:top w:val="single" w:sz="4" w:space="0" w:color="auto"/>
              <w:left w:val="single" w:sz="4" w:space="0" w:color="auto"/>
              <w:right w:val="single" w:sz="4" w:space="0" w:color="auto"/>
            </w:tcBorders>
          </w:tcPr>
          <w:p w14:paraId="6D6EA30C" w14:textId="77777777" w:rsidR="00D52DE2" w:rsidRPr="000D756E" w:rsidRDefault="00D52DE2" w:rsidP="001B5FB3">
            <w:pPr>
              <w:jc w:val="right"/>
              <w:rPr>
                <w:rFonts w:ascii="Arial" w:hAnsi="Arial" w:cs="Arial"/>
                <w:sz w:val="22"/>
                <w:szCs w:val="22"/>
              </w:rPr>
            </w:pPr>
          </w:p>
        </w:tc>
      </w:tr>
      <w:tr w:rsidR="00D52DE2" w:rsidRPr="000D756E" w14:paraId="5AA0B8B7" w14:textId="77777777" w:rsidTr="00DE2880">
        <w:trPr>
          <w:trHeight w:val="235"/>
        </w:trPr>
        <w:tc>
          <w:tcPr>
            <w:tcW w:w="1418" w:type="dxa"/>
            <w:tcBorders>
              <w:left w:val="single" w:sz="4" w:space="0" w:color="auto"/>
              <w:right w:val="single" w:sz="4" w:space="0" w:color="auto"/>
            </w:tcBorders>
          </w:tcPr>
          <w:p w14:paraId="7DCB01D4" w14:textId="03867ECB" w:rsidR="00D52DE2" w:rsidRPr="000D756E" w:rsidRDefault="00D52DE2" w:rsidP="00D52DE2">
            <w:pPr>
              <w:jc w:val="center"/>
              <w:rPr>
                <w:rFonts w:ascii="Arial" w:hAnsi="Arial" w:cs="Arial"/>
                <w:sz w:val="22"/>
                <w:szCs w:val="22"/>
              </w:rPr>
            </w:pPr>
          </w:p>
        </w:tc>
        <w:tc>
          <w:tcPr>
            <w:tcW w:w="5954" w:type="dxa"/>
            <w:tcBorders>
              <w:left w:val="single" w:sz="4" w:space="0" w:color="auto"/>
              <w:right w:val="single" w:sz="4" w:space="0" w:color="auto"/>
            </w:tcBorders>
          </w:tcPr>
          <w:p w14:paraId="1D7D3814" w14:textId="27813557" w:rsidR="00D52DE2" w:rsidRPr="000D756E" w:rsidRDefault="00D52DE2" w:rsidP="00D52DE2">
            <w:pPr>
              <w:rPr>
                <w:rFonts w:ascii="Arial" w:hAnsi="Arial" w:cs="Arial"/>
                <w:b/>
                <w:sz w:val="22"/>
                <w:szCs w:val="22"/>
              </w:rPr>
            </w:pPr>
            <w:r w:rsidRPr="000D756E">
              <w:rPr>
                <w:rFonts w:ascii="Arial" w:hAnsi="Arial" w:cs="Arial"/>
                <w:b/>
                <w:sz w:val="22"/>
                <w:szCs w:val="22"/>
              </w:rPr>
              <w:t xml:space="preserve">Usable Reserves                                                     </w:t>
            </w:r>
          </w:p>
        </w:tc>
        <w:tc>
          <w:tcPr>
            <w:tcW w:w="850" w:type="dxa"/>
            <w:tcBorders>
              <w:left w:val="single" w:sz="4" w:space="0" w:color="auto"/>
              <w:right w:val="single" w:sz="4" w:space="0" w:color="auto"/>
            </w:tcBorders>
          </w:tcPr>
          <w:p w14:paraId="67DD13E1" w14:textId="77777777" w:rsidR="00D52DE2" w:rsidRPr="000D756E" w:rsidRDefault="00D52DE2" w:rsidP="00D52DE2">
            <w:pPr>
              <w:rPr>
                <w:rFonts w:ascii="Arial" w:hAnsi="Arial" w:cs="Arial"/>
                <w:sz w:val="22"/>
                <w:szCs w:val="22"/>
              </w:rPr>
            </w:pPr>
          </w:p>
        </w:tc>
        <w:tc>
          <w:tcPr>
            <w:tcW w:w="1134" w:type="dxa"/>
            <w:tcBorders>
              <w:left w:val="single" w:sz="4" w:space="0" w:color="auto"/>
              <w:right w:val="single" w:sz="4" w:space="0" w:color="auto"/>
            </w:tcBorders>
          </w:tcPr>
          <w:p w14:paraId="27509CEB" w14:textId="77777777" w:rsidR="00D52DE2" w:rsidRPr="000D756E" w:rsidRDefault="00D52DE2" w:rsidP="001B5FB3">
            <w:pPr>
              <w:jc w:val="right"/>
              <w:rPr>
                <w:rFonts w:ascii="Arial" w:hAnsi="Arial" w:cs="Arial"/>
                <w:sz w:val="22"/>
                <w:szCs w:val="22"/>
              </w:rPr>
            </w:pPr>
          </w:p>
        </w:tc>
      </w:tr>
      <w:tr w:rsidR="00D52DE2" w:rsidRPr="000D756E" w14:paraId="27DB199D" w14:textId="77777777" w:rsidTr="00DE2880">
        <w:tc>
          <w:tcPr>
            <w:tcW w:w="1418" w:type="dxa"/>
            <w:tcBorders>
              <w:left w:val="single" w:sz="4" w:space="0" w:color="auto"/>
              <w:right w:val="single" w:sz="4" w:space="0" w:color="auto"/>
            </w:tcBorders>
          </w:tcPr>
          <w:p w14:paraId="7717F7AB" w14:textId="063B4561" w:rsidR="00D52DE2" w:rsidRPr="000D756E" w:rsidRDefault="00D52DE2" w:rsidP="00D52DE2">
            <w:pPr>
              <w:jc w:val="right"/>
              <w:rPr>
                <w:rFonts w:ascii="Arial" w:hAnsi="Arial" w:cs="Arial"/>
                <w:sz w:val="22"/>
                <w:szCs w:val="22"/>
              </w:rPr>
            </w:pPr>
            <w:r w:rsidRPr="000D756E">
              <w:rPr>
                <w:rFonts w:ascii="Arial" w:hAnsi="Arial" w:cs="Arial"/>
                <w:sz w:val="22"/>
                <w:szCs w:val="22"/>
              </w:rPr>
              <w:t>-2,433</w:t>
            </w:r>
          </w:p>
        </w:tc>
        <w:tc>
          <w:tcPr>
            <w:tcW w:w="5954" w:type="dxa"/>
            <w:tcBorders>
              <w:left w:val="single" w:sz="4" w:space="0" w:color="auto"/>
              <w:right w:val="single" w:sz="4" w:space="0" w:color="auto"/>
            </w:tcBorders>
          </w:tcPr>
          <w:p w14:paraId="0A8328D6" w14:textId="485F8D03" w:rsidR="00D52DE2" w:rsidRPr="000D756E" w:rsidRDefault="00D52DE2" w:rsidP="00D52DE2">
            <w:pPr>
              <w:rPr>
                <w:rFonts w:ascii="Arial" w:hAnsi="Arial" w:cs="Arial"/>
                <w:sz w:val="22"/>
                <w:szCs w:val="22"/>
              </w:rPr>
            </w:pPr>
            <w:r w:rsidRPr="000D756E">
              <w:rPr>
                <w:rFonts w:ascii="Arial" w:hAnsi="Arial" w:cs="Arial"/>
                <w:sz w:val="22"/>
                <w:szCs w:val="22"/>
              </w:rPr>
              <w:t xml:space="preserve">General Fund                                                           </w:t>
            </w:r>
          </w:p>
        </w:tc>
        <w:tc>
          <w:tcPr>
            <w:tcW w:w="850" w:type="dxa"/>
            <w:tcBorders>
              <w:left w:val="single" w:sz="4" w:space="0" w:color="auto"/>
              <w:right w:val="single" w:sz="4" w:space="0" w:color="auto"/>
            </w:tcBorders>
          </w:tcPr>
          <w:p w14:paraId="64C2517D" w14:textId="1E1ADA10" w:rsidR="00D52DE2" w:rsidRPr="000D756E" w:rsidRDefault="00D52DE2" w:rsidP="00D52DE2">
            <w:pPr>
              <w:rPr>
                <w:rFonts w:ascii="Arial" w:hAnsi="Arial" w:cs="Arial"/>
                <w:sz w:val="22"/>
                <w:szCs w:val="22"/>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0DBD07A6" w14:textId="441893F6" w:rsidR="00D52DE2" w:rsidRPr="000D756E" w:rsidRDefault="000E1577" w:rsidP="001B5FB3">
            <w:pPr>
              <w:jc w:val="right"/>
              <w:rPr>
                <w:rFonts w:ascii="Arial" w:hAnsi="Arial" w:cs="Arial"/>
                <w:sz w:val="22"/>
                <w:szCs w:val="22"/>
              </w:rPr>
            </w:pPr>
            <w:r>
              <w:rPr>
                <w:rFonts w:ascii="Arial" w:hAnsi="Arial" w:cs="Arial"/>
                <w:sz w:val="22"/>
                <w:szCs w:val="22"/>
              </w:rPr>
              <w:t>-700</w:t>
            </w:r>
          </w:p>
        </w:tc>
      </w:tr>
      <w:tr w:rsidR="00D52DE2" w:rsidRPr="000D756E" w14:paraId="5E324B9D" w14:textId="77777777" w:rsidTr="00DE2880">
        <w:tc>
          <w:tcPr>
            <w:tcW w:w="1418" w:type="dxa"/>
            <w:tcBorders>
              <w:left w:val="single" w:sz="4" w:space="0" w:color="auto"/>
              <w:right w:val="single" w:sz="4" w:space="0" w:color="auto"/>
            </w:tcBorders>
          </w:tcPr>
          <w:p w14:paraId="0FFAAADA" w14:textId="20CB3304" w:rsidR="00D52DE2" w:rsidRPr="000D756E" w:rsidRDefault="00D52DE2" w:rsidP="00D52DE2">
            <w:pPr>
              <w:jc w:val="right"/>
              <w:rPr>
                <w:rFonts w:ascii="Arial" w:hAnsi="Arial" w:cs="Arial"/>
                <w:sz w:val="22"/>
                <w:szCs w:val="22"/>
              </w:rPr>
            </w:pPr>
            <w:r w:rsidRPr="000D756E">
              <w:rPr>
                <w:rFonts w:ascii="Arial" w:hAnsi="Arial" w:cs="Arial"/>
                <w:sz w:val="22"/>
                <w:szCs w:val="22"/>
              </w:rPr>
              <w:t>-456</w:t>
            </w:r>
          </w:p>
        </w:tc>
        <w:tc>
          <w:tcPr>
            <w:tcW w:w="5954" w:type="dxa"/>
            <w:tcBorders>
              <w:left w:val="single" w:sz="4" w:space="0" w:color="auto"/>
              <w:right w:val="single" w:sz="4" w:space="0" w:color="auto"/>
            </w:tcBorders>
          </w:tcPr>
          <w:p w14:paraId="0CD6D574" w14:textId="77777777" w:rsidR="00D52DE2" w:rsidRPr="000D756E" w:rsidRDefault="00D52DE2" w:rsidP="00D52DE2">
            <w:pPr>
              <w:rPr>
                <w:rFonts w:ascii="Arial" w:hAnsi="Arial" w:cs="Arial"/>
                <w:sz w:val="22"/>
                <w:szCs w:val="22"/>
              </w:rPr>
            </w:pPr>
            <w:r w:rsidRPr="000D756E">
              <w:rPr>
                <w:rFonts w:ascii="Arial" w:hAnsi="Arial" w:cs="Arial"/>
                <w:sz w:val="22"/>
                <w:szCs w:val="22"/>
              </w:rPr>
              <w:t>General Reserve</w:t>
            </w:r>
          </w:p>
        </w:tc>
        <w:tc>
          <w:tcPr>
            <w:tcW w:w="850" w:type="dxa"/>
            <w:tcBorders>
              <w:left w:val="single" w:sz="4" w:space="0" w:color="auto"/>
              <w:right w:val="single" w:sz="4" w:space="0" w:color="auto"/>
            </w:tcBorders>
          </w:tcPr>
          <w:p w14:paraId="28C77784" w14:textId="4B569047"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0740DB86" w14:textId="1376A248" w:rsidR="00D52DE2" w:rsidRPr="000D756E" w:rsidRDefault="00AB0B7A" w:rsidP="001B5FB3">
            <w:pPr>
              <w:jc w:val="right"/>
              <w:rPr>
                <w:rFonts w:ascii="Arial" w:hAnsi="Arial" w:cs="Arial"/>
                <w:sz w:val="22"/>
                <w:szCs w:val="22"/>
              </w:rPr>
            </w:pPr>
            <w:r>
              <w:rPr>
                <w:rFonts w:ascii="Arial" w:hAnsi="Arial" w:cs="Arial"/>
                <w:sz w:val="22"/>
                <w:szCs w:val="22"/>
              </w:rPr>
              <w:t>-577</w:t>
            </w:r>
          </w:p>
        </w:tc>
      </w:tr>
      <w:tr w:rsidR="00D52DE2" w:rsidRPr="000D756E" w14:paraId="61A9852F" w14:textId="77777777" w:rsidTr="00DE2880">
        <w:tc>
          <w:tcPr>
            <w:tcW w:w="1418" w:type="dxa"/>
            <w:tcBorders>
              <w:left w:val="single" w:sz="4" w:space="0" w:color="auto"/>
              <w:right w:val="single" w:sz="4" w:space="0" w:color="auto"/>
            </w:tcBorders>
          </w:tcPr>
          <w:p w14:paraId="3E82816E" w14:textId="3CA9BEAA" w:rsidR="00D52DE2" w:rsidRPr="000D756E" w:rsidRDefault="00D52DE2" w:rsidP="00D52DE2">
            <w:pPr>
              <w:jc w:val="right"/>
              <w:rPr>
                <w:rFonts w:ascii="Arial" w:hAnsi="Arial" w:cs="Arial"/>
                <w:sz w:val="22"/>
                <w:szCs w:val="22"/>
              </w:rPr>
            </w:pPr>
            <w:r w:rsidRPr="000D756E">
              <w:rPr>
                <w:rFonts w:ascii="Arial" w:hAnsi="Arial" w:cs="Arial"/>
                <w:sz w:val="22"/>
                <w:szCs w:val="22"/>
              </w:rPr>
              <w:t>-6,813</w:t>
            </w:r>
          </w:p>
        </w:tc>
        <w:tc>
          <w:tcPr>
            <w:tcW w:w="5954" w:type="dxa"/>
            <w:tcBorders>
              <w:left w:val="single" w:sz="4" w:space="0" w:color="auto"/>
              <w:right w:val="single" w:sz="4" w:space="0" w:color="auto"/>
            </w:tcBorders>
          </w:tcPr>
          <w:p w14:paraId="6E2FD01E"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Major Projects Capital Reserve  </w:t>
            </w:r>
          </w:p>
        </w:tc>
        <w:tc>
          <w:tcPr>
            <w:tcW w:w="850" w:type="dxa"/>
            <w:tcBorders>
              <w:left w:val="single" w:sz="4" w:space="0" w:color="auto"/>
              <w:right w:val="single" w:sz="4" w:space="0" w:color="auto"/>
            </w:tcBorders>
          </w:tcPr>
          <w:p w14:paraId="3B4FF028" w14:textId="6C82E88A"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04BCFFAF" w14:textId="25092C22" w:rsidR="00D52DE2" w:rsidRPr="000D756E" w:rsidRDefault="00AB0B7A" w:rsidP="001B5FB3">
            <w:pPr>
              <w:jc w:val="right"/>
              <w:rPr>
                <w:rFonts w:ascii="Arial" w:hAnsi="Arial" w:cs="Arial"/>
                <w:sz w:val="22"/>
                <w:szCs w:val="22"/>
              </w:rPr>
            </w:pPr>
            <w:r>
              <w:rPr>
                <w:rFonts w:ascii="Arial" w:hAnsi="Arial" w:cs="Arial"/>
                <w:sz w:val="22"/>
                <w:szCs w:val="22"/>
              </w:rPr>
              <w:t>-4,89</w:t>
            </w:r>
            <w:r w:rsidR="004716F2">
              <w:rPr>
                <w:rFonts w:ascii="Arial" w:hAnsi="Arial" w:cs="Arial"/>
                <w:sz w:val="22"/>
                <w:szCs w:val="22"/>
              </w:rPr>
              <w:t>1</w:t>
            </w:r>
          </w:p>
        </w:tc>
      </w:tr>
      <w:tr w:rsidR="00D52DE2" w:rsidRPr="000D756E" w14:paraId="60B856B4" w14:textId="77777777" w:rsidTr="00DE2880">
        <w:tc>
          <w:tcPr>
            <w:tcW w:w="1418" w:type="dxa"/>
            <w:tcBorders>
              <w:left w:val="single" w:sz="4" w:space="0" w:color="auto"/>
              <w:right w:val="single" w:sz="4" w:space="0" w:color="auto"/>
            </w:tcBorders>
          </w:tcPr>
          <w:p w14:paraId="2046BB73" w14:textId="5B2DA86D" w:rsidR="00D52DE2" w:rsidRPr="000D756E" w:rsidRDefault="00D52DE2" w:rsidP="00D52DE2">
            <w:pPr>
              <w:jc w:val="right"/>
              <w:rPr>
                <w:rFonts w:ascii="Arial" w:hAnsi="Arial" w:cs="Arial"/>
                <w:sz w:val="22"/>
                <w:szCs w:val="22"/>
              </w:rPr>
            </w:pPr>
            <w:r w:rsidRPr="000D756E">
              <w:rPr>
                <w:rFonts w:ascii="Arial" w:hAnsi="Arial" w:cs="Arial"/>
                <w:sz w:val="22"/>
                <w:szCs w:val="22"/>
              </w:rPr>
              <w:t>-219</w:t>
            </w:r>
          </w:p>
        </w:tc>
        <w:tc>
          <w:tcPr>
            <w:tcW w:w="5954" w:type="dxa"/>
            <w:tcBorders>
              <w:left w:val="single" w:sz="4" w:space="0" w:color="auto"/>
              <w:right w:val="single" w:sz="4" w:space="0" w:color="auto"/>
            </w:tcBorders>
          </w:tcPr>
          <w:p w14:paraId="4B385FD3" w14:textId="77777777" w:rsidR="00D52DE2" w:rsidRPr="000D756E" w:rsidRDefault="00D52DE2" w:rsidP="00D52DE2">
            <w:pPr>
              <w:rPr>
                <w:rFonts w:ascii="Arial" w:hAnsi="Arial" w:cs="Arial"/>
                <w:sz w:val="22"/>
                <w:szCs w:val="22"/>
              </w:rPr>
            </w:pPr>
            <w:r w:rsidRPr="000D756E">
              <w:rPr>
                <w:rFonts w:ascii="Arial" w:hAnsi="Arial" w:cs="Arial"/>
                <w:sz w:val="22"/>
                <w:szCs w:val="22"/>
              </w:rPr>
              <w:t>Extreme Weather Reserve</w:t>
            </w:r>
          </w:p>
        </w:tc>
        <w:tc>
          <w:tcPr>
            <w:tcW w:w="850" w:type="dxa"/>
            <w:tcBorders>
              <w:left w:val="single" w:sz="4" w:space="0" w:color="auto"/>
              <w:right w:val="single" w:sz="4" w:space="0" w:color="auto"/>
            </w:tcBorders>
          </w:tcPr>
          <w:p w14:paraId="4CC10EBF" w14:textId="66DB0BBF"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255FA136" w14:textId="3BF76857" w:rsidR="00D52DE2" w:rsidRPr="000D756E" w:rsidRDefault="00AB0B7A" w:rsidP="001B5FB3">
            <w:pPr>
              <w:jc w:val="right"/>
              <w:rPr>
                <w:rFonts w:ascii="Arial" w:hAnsi="Arial" w:cs="Arial"/>
                <w:sz w:val="22"/>
                <w:szCs w:val="22"/>
              </w:rPr>
            </w:pPr>
            <w:r>
              <w:rPr>
                <w:rFonts w:ascii="Arial" w:hAnsi="Arial" w:cs="Arial"/>
                <w:sz w:val="22"/>
                <w:szCs w:val="22"/>
              </w:rPr>
              <w:t>-219</w:t>
            </w:r>
          </w:p>
        </w:tc>
      </w:tr>
      <w:tr w:rsidR="00D52DE2" w:rsidRPr="000D756E" w14:paraId="7B1D49FA" w14:textId="77777777" w:rsidTr="00DE2880">
        <w:tc>
          <w:tcPr>
            <w:tcW w:w="1418" w:type="dxa"/>
            <w:tcBorders>
              <w:left w:val="single" w:sz="4" w:space="0" w:color="auto"/>
              <w:right w:val="single" w:sz="4" w:space="0" w:color="auto"/>
            </w:tcBorders>
          </w:tcPr>
          <w:p w14:paraId="18669945" w14:textId="71DCA3F4" w:rsidR="00D52DE2" w:rsidRPr="000D756E" w:rsidRDefault="00D52DE2" w:rsidP="00D52DE2">
            <w:pPr>
              <w:jc w:val="right"/>
              <w:rPr>
                <w:rFonts w:ascii="Arial" w:hAnsi="Arial" w:cs="Arial"/>
                <w:sz w:val="22"/>
                <w:szCs w:val="22"/>
              </w:rPr>
            </w:pPr>
            <w:r w:rsidRPr="000D756E">
              <w:rPr>
                <w:rFonts w:ascii="Arial" w:hAnsi="Arial" w:cs="Arial"/>
                <w:sz w:val="22"/>
                <w:szCs w:val="22"/>
              </w:rPr>
              <w:t>-677</w:t>
            </w:r>
          </w:p>
        </w:tc>
        <w:tc>
          <w:tcPr>
            <w:tcW w:w="5954" w:type="dxa"/>
            <w:tcBorders>
              <w:left w:val="single" w:sz="4" w:space="0" w:color="auto"/>
              <w:right w:val="single" w:sz="4" w:space="0" w:color="auto"/>
            </w:tcBorders>
          </w:tcPr>
          <w:p w14:paraId="15498866" w14:textId="77777777" w:rsidR="00D52DE2" w:rsidRPr="000D756E" w:rsidRDefault="00D52DE2" w:rsidP="00D52DE2">
            <w:pPr>
              <w:rPr>
                <w:rFonts w:ascii="Arial" w:hAnsi="Arial" w:cs="Arial"/>
                <w:sz w:val="22"/>
                <w:szCs w:val="22"/>
              </w:rPr>
            </w:pPr>
            <w:r w:rsidRPr="000D756E">
              <w:rPr>
                <w:rFonts w:ascii="Arial" w:hAnsi="Arial" w:cs="Arial"/>
                <w:sz w:val="22"/>
                <w:szCs w:val="22"/>
              </w:rPr>
              <w:t>Pensions and Other Staff Issues Reserve</w:t>
            </w:r>
          </w:p>
        </w:tc>
        <w:tc>
          <w:tcPr>
            <w:tcW w:w="850" w:type="dxa"/>
            <w:tcBorders>
              <w:left w:val="single" w:sz="4" w:space="0" w:color="auto"/>
              <w:right w:val="single" w:sz="4" w:space="0" w:color="auto"/>
            </w:tcBorders>
          </w:tcPr>
          <w:p w14:paraId="41027B9C" w14:textId="501D1065"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174CDF40" w14:textId="4E7B8B45" w:rsidR="00D52DE2" w:rsidRPr="000D756E" w:rsidRDefault="00AB0B7A" w:rsidP="001B5FB3">
            <w:pPr>
              <w:jc w:val="right"/>
              <w:rPr>
                <w:rFonts w:ascii="Arial" w:hAnsi="Arial" w:cs="Arial"/>
                <w:sz w:val="22"/>
                <w:szCs w:val="22"/>
              </w:rPr>
            </w:pPr>
            <w:r>
              <w:rPr>
                <w:rFonts w:ascii="Arial" w:hAnsi="Arial" w:cs="Arial"/>
                <w:sz w:val="22"/>
                <w:szCs w:val="22"/>
              </w:rPr>
              <w:t>-1,921</w:t>
            </w:r>
          </w:p>
        </w:tc>
      </w:tr>
      <w:tr w:rsidR="00D52DE2" w:rsidRPr="000D756E" w14:paraId="470470E1" w14:textId="77777777" w:rsidTr="00DE2880">
        <w:tc>
          <w:tcPr>
            <w:tcW w:w="1418" w:type="dxa"/>
            <w:tcBorders>
              <w:left w:val="single" w:sz="4" w:space="0" w:color="auto"/>
              <w:right w:val="single" w:sz="4" w:space="0" w:color="auto"/>
            </w:tcBorders>
          </w:tcPr>
          <w:p w14:paraId="28566D48" w14:textId="3EDC89DC" w:rsidR="00D52DE2" w:rsidRPr="000D756E" w:rsidRDefault="00D52DE2" w:rsidP="00D52DE2">
            <w:pPr>
              <w:jc w:val="right"/>
              <w:rPr>
                <w:rFonts w:ascii="Arial" w:hAnsi="Arial" w:cs="Arial"/>
                <w:sz w:val="22"/>
                <w:szCs w:val="22"/>
              </w:rPr>
            </w:pPr>
            <w:r w:rsidRPr="000D756E">
              <w:rPr>
                <w:rFonts w:ascii="Arial" w:hAnsi="Arial" w:cs="Arial"/>
                <w:sz w:val="22"/>
                <w:szCs w:val="22"/>
              </w:rPr>
              <w:t>-547</w:t>
            </w:r>
          </w:p>
        </w:tc>
        <w:tc>
          <w:tcPr>
            <w:tcW w:w="5954" w:type="dxa"/>
            <w:tcBorders>
              <w:left w:val="single" w:sz="4" w:space="0" w:color="auto"/>
              <w:right w:val="single" w:sz="4" w:space="0" w:color="auto"/>
            </w:tcBorders>
          </w:tcPr>
          <w:p w14:paraId="383E3761" w14:textId="2B5E83E6" w:rsidR="00D52DE2" w:rsidRPr="000D756E" w:rsidRDefault="00D52DE2" w:rsidP="00171A87">
            <w:pPr>
              <w:tabs>
                <w:tab w:val="left" w:pos="3951"/>
              </w:tabs>
              <w:rPr>
                <w:rFonts w:ascii="Arial" w:hAnsi="Arial" w:cs="Arial"/>
                <w:sz w:val="22"/>
                <w:szCs w:val="22"/>
              </w:rPr>
            </w:pPr>
            <w:r w:rsidRPr="000D756E">
              <w:rPr>
                <w:rFonts w:ascii="Arial" w:hAnsi="Arial" w:cs="Arial"/>
                <w:sz w:val="22"/>
                <w:szCs w:val="22"/>
              </w:rPr>
              <w:t>ICT Reserve</w:t>
            </w:r>
            <w:r w:rsidR="00171A87">
              <w:rPr>
                <w:rFonts w:ascii="Arial" w:hAnsi="Arial" w:cs="Arial"/>
                <w:sz w:val="22"/>
                <w:szCs w:val="22"/>
              </w:rPr>
              <w:tab/>
            </w:r>
          </w:p>
        </w:tc>
        <w:tc>
          <w:tcPr>
            <w:tcW w:w="850" w:type="dxa"/>
            <w:tcBorders>
              <w:left w:val="single" w:sz="4" w:space="0" w:color="auto"/>
              <w:right w:val="single" w:sz="4" w:space="0" w:color="auto"/>
            </w:tcBorders>
          </w:tcPr>
          <w:p w14:paraId="45DF6618" w14:textId="699FB4B2"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265C891A" w14:textId="178A2608" w:rsidR="00D52DE2" w:rsidRPr="000D756E" w:rsidRDefault="00AB0B7A" w:rsidP="001B5FB3">
            <w:pPr>
              <w:jc w:val="right"/>
              <w:rPr>
                <w:rFonts w:ascii="Arial" w:hAnsi="Arial" w:cs="Arial"/>
                <w:sz w:val="22"/>
                <w:szCs w:val="22"/>
              </w:rPr>
            </w:pPr>
            <w:r>
              <w:rPr>
                <w:rFonts w:ascii="Arial" w:hAnsi="Arial" w:cs="Arial"/>
                <w:sz w:val="22"/>
                <w:szCs w:val="22"/>
              </w:rPr>
              <w:t>-</w:t>
            </w:r>
            <w:r w:rsidR="00FD05CB">
              <w:rPr>
                <w:rFonts w:ascii="Arial" w:hAnsi="Arial" w:cs="Arial"/>
                <w:sz w:val="22"/>
                <w:szCs w:val="22"/>
              </w:rPr>
              <w:t>506</w:t>
            </w:r>
          </w:p>
        </w:tc>
      </w:tr>
      <w:tr w:rsidR="00D52DE2" w:rsidRPr="000D756E" w14:paraId="20DB37B1" w14:textId="77777777" w:rsidTr="00DE2880">
        <w:tc>
          <w:tcPr>
            <w:tcW w:w="1418" w:type="dxa"/>
            <w:tcBorders>
              <w:left w:val="single" w:sz="4" w:space="0" w:color="auto"/>
              <w:right w:val="single" w:sz="4" w:space="0" w:color="auto"/>
            </w:tcBorders>
          </w:tcPr>
          <w:p w14:paraId="1ED00346" w14:textId="29867B02" w:rsidR="00D52DE2" w:rsidRPr="000D756E" w:rsidRDefault="00D52DE2" w:rsidP="00D52DE2">
            <w:pPr>
              <w:jc w:val="right"/>
              <w:rPr>
                <w:rFonts w:ascii="Arial" w:hAnsi="Arial" w:cs="Arial"/>
                <w:sz w:val="22"/>
                <w:szCs w:val="22"/>
              </w:rPr>
            </w:pPr>
            <w:r w:rsidRPr="000D756E">
              <w:rPr>
                <w:rFonts w:ascii="Arial" w:hAnsi="Arial" w:cs="Arial"/>
                <w:sz w:val="22"/>
                <w:szCs w:val="22"/>
              </w:rPr>
              <w:t>-809</w:t>
            </w:r>
          </w:p>
        </w:tc>
        <w:tc>
          <w:tcPr>
            <w:tcW w:w="5954" w:type="dxa"/>
            <w:tcBorders>
              <w:left w:val="single" w:sz="4" w:space="0" w:color="auto"/>
              <w:right w:val="single" w:sz="4" w:space="0" w:color="auto"/>
            </w:tcBorders>
          </w:tcPr>
          <w:p w14:paraId="7C442D81" w14:textId="04C597D5" w:rsidR="00D52DE2" w:rsidRPr="000D756E" w:rsidRDefault="00D52DE2" w:rsidP="00D52DE2">
            <w:pPr>
              <w:rPr>
                <w:rFonts w:ascii="Arial" w:hAnsi="Arial" w:cs="Arial"/>
                <w:sz w:val="22"/>
                <w:szCs w:val="22"/>
              </w:rPr>
            </w:pPr>
            <w:r w:rsidRPr="000D756E">
              <w:rPr>
                <w:rFonts w:ascii="Arial" w:hAnsi="Arial" w:cs="Arial"/>
                <w:sz w:val="22"/>
                <w:szCs w:val="22"/>
              </w:rPr>
              <w:t>STP Staff Reserve</w:t>
            </w:r>
          </w:p>
        </w:tc>
        <w:tc>
          <w:tcPr>
            <w:tcW w:w="850" w:type="dxa"/>
            <w:tcBorders>
              <w:left w:val="single" w:sz="4" w:space="0" w:color="auto"/>
              <w:right w:val="single" w:sz="4" w:space="0" w:color="auto"/>
            </w:tcBorders>
          </w:tcPr>
          <w:p w14:paraId="5E92B482" w14:textId="7915639E"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3D23C8CD" w14:textId="787D1608" w:rsidR="00D52DE2" w:rsidRPr="000D756E" w:rsidRDefault="00720E12" w:rsidP="001B5FB3">
            <w:pPr>
              <w:jc w:val="right"/>
              <w:rPr>
                <w:rFonts w:ascii="Arial" w:hAnsi="Arial" w:cs="Arial"/>
                <w:sz w:val="22"/>
                <w:szCs w:val="22"/>
              </w:rPr>
            </w:pPr>
            <w:r>
              <w:rPr>
                <w:rFonts w:ascii="Arial" w:hAnsi="Arial" w:cs="Arial"/>
                <w:sz w:val="22"/>
                <w:szCs w:val="22"/>
              </w:rPr>
              <w:t>-</w:t>
            </w:r>
            <w:r w:rsidR="00EC4757">
              <w:rPr>
                <w:rFonts w:ascii="Arial" w:hAnsi="Arial" w:cs="Arial"/>
                <w:sz w:val="22"/>
                <w:szCs w:val="22"/>
              </w:rPr>
              <w:t>313</w:t>
            </w:r>
          </w:p>
        </w:tc>
      </w:tr>
      <w:tr w:rsidR="00D52DE2" w:rsidRPr="000D756E" w14:paraId="538B6B36" w14:textId="77777777" w:rsidTr="00DE2880">
        <w:tc>
          <w:tcPr>
            <w:tcW w:w="1418" w:type="dxa"/>
            <w:tcBorders>
              <w:left w:val="single" w:sz="4" w:space="0" w:color="auto"/>
              <w:right w:val="single" w:sz="4" w:space="0" w:color="auto"/>
            </w:tcBorders>
          </w:tcPr>
          <w:p w14:paraId="50C10129" w14:textId="0735B86B" w:rsidR="00D52DE2" w:rsidRPr="000D756E" w:rsidRDefault="00D52DE2" w:rsidP="00D52DE2">
            <w:pPr>
              <w:jc w:val="right"/>
              <w:rPr>
                <w:rFonts w:ascii="Arial" w:hAnsi="Arial" w:cs="Arial"/>
                <w:sz w:val="22"/>
                <w:szCs w:val="22"/>
              </w:rPr>
            </w:pPr>
            <w:r w:rsidRPr="000D756E">
              <w:rPr>
                <w:rFonts w:ascii="Arial" w:hAnsi="Arial" w:cs="Arial"/>
                <w:sz w:val="22"/>
                <w:szCs w:val="22"/>
              </w:rPr>
              <w:t>-687</w:t>
            </w:r>
          </w:p>
        </w:tc>
        <w:tc>
          <w:tcPr>
            <w:tcW w:w="5954" w:type="dxa"/>
            <w:tcBorders>
              <w:left w:val="single" w:sz="4" w:space="0" w:color="auto"/>
              <w:right w:val="single" w:sz="4" w:space="0" w:color="auto"/>
            </w:tcBorders>
          </w:tcPr>
          <w:p w14:paraId="7A11EB83" w14:textId="0CFDEEFA" w:rsidR="00D52DE2" w:rsidRPr="000D756E" w:rsidRDefault="00D52DE2" w:rsidP="00D52DE2">
            <w:pPr>
              <w:rPr>
                <w:rFonts w:ascii="Arial" w:hAnsi="Arial" w:cs="Arial"/>
                <w:sz w:val="22"/>
                <w:szCs w:val="22"/>
              </w:rPr>
            </w:pPr>
            <w:r w:rsidRPr="000D756E">
              <w:rPr>
                <w:rFonts w:ascii="Arial" w:hAnsi="Arial" w:cs="Arial"/>
                <w:sz w:val="22"/>
                <w:szCs w:val="22"/>
              </w:rPr>
              <w:t>Income Volatility Reserve</w:t>
            </w:r>
          </w:p>
        </w:tc>
        <w:tc>
          <w:tcPr>
            <w:tcW w:w="850" w:type="dxa"/>
            <w:tcBorders>
              <w:left w:val="single" w:sz="4" w:space="0" w:color="auto"/>
              <w:right w:val="single" w:sz="4" w:space="0" w:color="auto"/>
            </w:tcBorders>
          </w:tcPr>
          <w:p w14:paraId="1C84E811" w14:textId="217C7FE7"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31C7A82C" w14:textId="110A66D9" w:rsidR="00D52DE2" w:rsidRPr="000D756E" w:rsidRDefault="009C1D2B" w:rsidP="009C1D2B">
            <w:pPr>
              <w:jc w:val="right"/>
              <w:rPr>
                <w:rFonts w:ascii="Arial" w:hAnsi="Arial" w:cs="Arial"/>
                <w:sz w:val="22"/>
                <w:szCs w:val="22"/>
              </w:rPr>
            </w:pPr>
            <w:r>
              <w:rPr>
                <w:rFonts w:ascii="Arial" w:hAnsi="Arial" w:cs="Arial"/>
                <w:sz w:val="22"/>
                <w:szCs w:val="22"/>
              </w:rPr>
              <w:t>-687</w:t>
            </w:r>
          </w:p>
        </w:tc>
      </w:tr>
      <w:tr w:rsidR="00D52DE2" w:rsidRPr="000D756E" w14:paraId="5D7A9A75" w14:textId="77777777" w:rsidTr="00DE2880">
        <w:tc>
          <w:tcPr>
            <w:tcW w:w="1418" w:type="dxa"/>
            <w:tcBorders>
              <w:left w:val="single" w:sz="4" w:space="0" w:color="auto"/>
              <w:right w:val="single" w:sz="4" w:space="0" w:color="auto"/>
            </w:tcBorders>
          </w:tcPr>
          <w:p w14:paraId="542F00FB" w14:textId="51165BE9" w:rsidR="00D52DE2" w:rsidRPr="000D756E" w:rsidRDefault="00D52DE2" w:rsidP="00D52DE2">
            <w:pPr>
              <w:jc w:val="right"/>
              <w:rPr>
                <w:rFonts w:ascii="Arial" w:hAnsi="Arial" w:cs="Arial"/>
                <w:sz w:val="22"/>
                <w:szCs w:val="22"/>
              </w:rPr>
            </w:pPr>
            <w:r w:rsidRPr="000D756E">
              <w:rPr>
                <w:rFonts w:ascii="Arial" w:hAnsi="Arial" w:cs="Arial"/>
                <w:sz w:val="22"/>
                <w:szCs w:val="22"/>
              </w:rPr>
              <w:t>-9</w:t>
            </w:r>
          </w:p>
        </w:tc>
        <w:tc>
          <w:tcPr>
            <w:tcW w:w="5954" w:type="dxa"/>
            <w:tcBorders>
              <w:left w:val="single" w:sz="4" w:space="0" w:color="auto"/>
              <w:right w:val="single" w:sz="4" w:space="0" w:color="auto"/>
            </w:tcBorders>
          </w:tcPr>
          <w:p w14:paraId="6B1251DC" w14:textId="3731CFCE" w:rsidR="00D52DE2" w:rsidRPr="000D756E" w:rsidRDefault="00D52DE2" w:rsidP="00D52DE2">
            <w:pPr>
              <w:rPr>
                <w:rFonts w:ascii="Arial" w:hAnsi="Arial" w:cs="Arial"/>
                <w:sz w:val="22"/>
                <w:szCs w:val="22"/>
              </w:rPr>
            </w:pPr>
            <w:r w:rsidRPr="000D756E">
              <w:rPr>
                <w:rFonts w:ascii="Arial" w:hAnsi="Arial" w:cs="Arial"/>
                <w:sz w:val="22"/>
                <w:szCs w:val="22"/>
              </w:rPr>
              <w:t>Service Delivery Reserve</w:t>
            </w:r>
          </w:p>
        </w:tc>
        <w:tc>
          <w:tcPr>
            <w:tcW w:w="850" w:type="dxa"/>
            <w:tcBorders>
              <w:left w:val="single" w:sz="4" w:space="0" w:color="auto"/>
              <w:right w:val="single" w:sz="4" w:space="0" w:color="auto"/>
            </w:tcBorders>
          </w:tcPr>
          <w:p w14:paraId="38DB5D2F" w14:textId="78B522C3"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52929C14" w14:textId="6482AB6A" w:rsidR="00D52DE2" w:rsidRPr="000D756E" w:rsidRDefault="00D934A0" w:rsidP="001B5FB3">
            <w:pPr>
              <w:jc w:val="right"/>
              <w:rPr>
                <w:rFonts w:ascii="Arial" w:hAnsi="Arial" w:cs="Arial"/>
                <w:sz w:val="22"/>
                <w:szCs w:val="22"/>
              </w:rPr>
            </w:pPr>
            <w:r>
              <w:rPr>
                <w:rFonts w:ascii="Arial" w:hAnsi="Arial" w:cs="Arial"/>
                <w:sz w:val="22"/>
                <w:szCs w:val="22"/>
              </w:rPr>
              <w:t>-3</w:t>
            </w:r>
          </w:p>
        </w:tc>
      </w:tr>
      <w:tr w:rsidR="00D52DE2" w:rsidRPr="000D756E" w14:paraId="4EBB7F56" w14:textId="77777777" w:rsidTr="00DE2880">
        <w:tc>
          <w:tcPr>
            <w:tcW w:w="1418" w:type="dxa"/>
            <w:tcBorders>
              <w:left w:val="single" w:sz="4" w:space="0" w:color="auto"/>
              <w:right w:val="single" w:sz="4" w:space="0" w:color="auto"/>
            </w:tcBorders>
          </w:tcPr>
          <w:p w14:paraId="1AE6CAE8" w14:textId="24762066" w:rsidR="00D52DE2" w:rsidRPr="000D756E" w:rsidRDefault="00D52DE2" w:rsidP="00D52DE2">
            <w:pPr>
              <w:jc w:val="right"/>
              <w:rPr>
                <w:rFonts w:ascii="Arial" w:hAnsi="Arial" w:cs="Arial"/>
                <w:sz w:val="22"/>
                <w:szCs w:val="22"/>
              </w:rPr>
            </w:pPr>
            <w:r w:rsidRPr="000D756E">
              <w:rPr>
                <w:rFonts w:ascii="Arial" w:hAnsi="Arial" w:cs="Arial"/>
                <w:sz w:val="22"/>
                <w:szCs w:val="22"/>
              </w:rPr>
              <w:t>-127</w:t>
            </w:r>
          </w:p>
        </w:tc>
        <w:tc>
          <w:tcPr>
            <w:tcW w:w="5954" w:type="dxa"/>
            <w:tcBorders>
              <w:left w:val="single" w:sz="4" w:space="0" w:color="auto"/>
              <w:right w:val="single" w:sz="4" w:space="0" w:color="auto"/>
            </w:tcBorders>
          </w:tcPr>
          <w:p w14:paraId="49D4E0E9" w14:textId="7391B0A0" w:rsidR="00D52DE2" w:rsidRPr="000D756E" w:rsidRDefault="00D52DE2" w:rsidP="00D52DE2">
            <w:pPr>
              <w:rPr>
                <w:rFonts w:ascii="Arial" w:hAnsi="Arial" w:cs="Arial"/>
                <w:sz w:val="22"/>
                <w:szCs w:val="22"/>
              </w:rPr>
            </w:pPr>
            <w:r w:rsidRPr="000D756E">
              <w:rPr>
                <w:rFonts w:ascii="Arial" w:hAnsi="Arial" w:cs="Arial"/>
                <w:sz w:val="22"/>
                <w:szCs w:val="22"/>
              </w:rPr>
              <w:t>Training Reserve</w:t>
            </w:r>
          </w:p>
        </w:tc>
        <w:tc>
          <w:tcPr>
            <w:tcW w:w="850" w:type="dxa"/>
            <w:tcBorders>
              <w:left w:val="single" w:sz="4" w:space="0" w:color="auto"/>
              <w:right w:val="single" w:sz="4" w:space="0" w:color="auto"/>
            </w:tcBorders>
          </w:tcPr>
          <w:p w14:paraId="06C536EB" w14:textId="1C74BB70"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56D89AE7" w14:textId="3C2D9C43" w:rsidR="00D52DE2" w:rsidRPr="000D756E" w:rsidRDefault="00936A36" w:rsidP="001B5FB3">
            <w:pPr>
              <w:jc w:val="right"/>
              <w:rPr>
                <w:rFonts w:ascii="Arial" w:hAnsi="Arial" w:cs="Arial"/>
                <w:sz w:val="22"/>
                <w:szCs w:val="22"/>
              </w:rPr>
            </w:pPr>
            <w:r>
              <w:rPr>
                <w:rFonts w:ascii="Arial" w:hAnsi="Arial" w:cs="Arial"/>
                <w:sz w:val="22"/>
                <w:szCs w:val="22"/>
              </w:rPr>
              <w:t>-231</w:t>
            </w:r>
          </w:p>
        </w:tc>
      </w:tr>
      <w:tr w:rsidR="00D52DE2" w:rsidRPr="000D756E" w14:paraId="796E9AA8" w14:textId="77777777" w:rsidTr="00DE2880">
        <w:tc>
          <w:tcPr>
            <w:tcW w:w="1418" w:type="dxa"/>
            <w:tcBorders>
              <w:left w:val="single" w:sz="4" w:space="0" w:color="auto"/>
              <w:right w:val="single" w:sz="4" w:space="0" w:color="auto"/>
            </w:tcBorders>
          </w:tcPr>
          <w:p w14:paraId="7BE0AF35" w14:textId="576281E8" w:rsidR="00D52DE2" w:rsidRPr="000D756E" w:rsidRDefault="00D52DE2" w:rsidP="00D52DE2">
            <w:pPr>
              <w:jc w:val="right"/>
              <w:rPr>
                <w:rFonts w:ascii="Arial" w:hAnsi="Arial" w:cs="Arial"/>
                <w:sz w:val="22"/>
                <w:szCs w:val="22"/>
              </w:rPr>
            </w:pPr>
            <w:r w:rsidRPr="000D756E">
              <w:rPr>
                <w:rFonts w:ascii="Arial" w:hAnsi="Arial" w:cs="Arial"/>
                <w:sz w:val="22"/>
                <w:szCs w:val="22"/>
              </w:rPr>
              <w:t>-450</w:t>
            </w:r>
          </w:p>
        </w:tc>
        <w:tc>
          <w:tcPr>
            <w:tcW w:w="5954" w:type="dxa"/>
            <w:tcBorders>
              <w:left w:val="single" w:sz="4" w:space="0" w:color="auto"/>
              <w:right w:val="single" w:sz="4" w:space="0" w:color="auto"/>
            </w:tcBorders>
          </w:tcPr>
          <w:p w14:paraId="4503F0B5" w14:textId="02F45C9D" w:rsidR="00D52DE2" w:rsidRPr="000D756E" w:rsidRDefault="00D52DE2" w:rsidP="00D52DE2">
            <w:pPr>
              <w:rPr>
                <w:rFonts w:ascii="Arial" w:hAnsi="Arial" w:cs="Arial"/>
                <w:sz w:val="22"/>
                <w:szCs w:val="22"/>
              </w:rPr>
            </w:pPr>
            <w:r w:rsidRPr="000D756E">
              <w:rPr>
                <w:rFonts w:ascii="Arial" w:hAnsi="Arial" w:cs="Arial"/>
                <w:sz w:val="22"/>
                <w:szCs w:val="22"/>
              </w:rPr>
              <w:t>Building Maintenance Reserve</w:t>
            </w:r>
          </w:p>
        </w:tc>
        <w:tc>
          <w:tcPr>
            <w:tcW w:w="850" w:type="dxa"/>
            <w:tcBorders>
              <w:left w:val="single" w:sz="4" w:space="0" w:color="auto"/>
              <w:right w:val="single" w:sz="4" w:space="0" w:color="auto"/>
            </w:tcBorders>
          </w:tcPr>
          <w:p w14:paraId="433616C9" w14:textId="61A487E2"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0D14FE5B" w14:textId="3E285188" w:rsidR="00D52DE2" w:rsidRPr="000D756E" w:rsidRDefault="00936A36" w:rsidP="001B5FB3">
            <w:pPr>
              <w:jc w:val="right"/>
              <w:rPr>
                <w:rFonts w:ascii="Arial" w:hAnsi="Arial" w:cs="Arial"/>
                <w:sz w:val="22"/>
                <w:szCs w:val="22"/>
              </w:rPr>
            </w:pPr>
            <w:r>
              <w:rPr>
                <w:rFonts w:ascii="Arial" w:hAnsi="Arial" w:cs="Arial"/>
                <w:sz w:val="22"/>
                <w:szCs w:val="22"/>
              </w:rPr>
              <w:t>-448</w:t>
            </w:r>
          </w:p>
        </w:tc>
      </w:tr>
      <w:tr w:rsidR="00D52DE2" w:rsidRPr="000D756E" w14:paraId="23254361" w14:textId="77777777" w:rsidTr="00DE2880">
        <w:tc>
          <w:tcPr>
            <w:tcW w:w="1418" w:type="dxa"/>
            <w:tcBorders>
              <w:left w:val="single" w:sz="4" w:space="0" w:color="auto"/>
              <w:right w:val="single" w:sz="4" w:space="0" w:color="auto"/>
            </w:tcBorders>
          </w:tcPr>
          <w:p w14:paraId="5AF3B3F8" w14:textId="226BBA2B" w:rsidR="00D52DE2" w:rsidRPr="000D756E" w:rsidRDefault="00D52DE2" w:rsidP="00D52DE2">
            <w:pPr>
              <w:jc w:val="right"/>
              <w:rPr>
                <w:rFonts w:ascii="Arial" w:hAnsi="Arial" w:cs="Arial"/>
                <w:sz w:val="22"/>
                <w:szCs w:val="22"/>
              </w:rPr>
            </w:pPr>
            <w:r w:rsidRPr="000D756E">
              <w:rPr>
                <w:rFonts w:ascii="Arial" w:hAnsi="Arial" w:cs="Arial"/>
                <w:sz w:val="22"/>
                <w:szCs w:val="22"/>
              </w:rPr>
              <w:t>-275</w:t>
            </w:r>
          </w:p>
        </w:tc>
        <w:tc>
          <w:tcPr>
            <w:tcW w:w="5954" w:type="dxa"/>
            <w:tcBorders>
              <w:left w:val="single" w:sz="4" w:space="0" w:color="auto"/>
              <w:right w:val="single" w:sz="4" w:space="0" w:color="auto"/>
            </w:tcBorders>
          </w:tcPr>
          <w:p w14:paraId="09954241" w14:textId="1E92DB50" w:rsidR="00D52DE2" w:rsidRPr="000D756E" w:rsidRDefault="00D52DE2" w:rsidP="00D52DE2">
            <w:pPr>
              <w:rPr>
                <w:rFonts w:ascii="Arial" w:hAnsi="Arial" w:cs="Arial"/>
                <w:sz w:val="22"/>
                <w:szCs w:val="22"/>
              </w:rPr>
            </w:pPr>
            <w:r w:rsidRPr="000D756E">
              <w:rPr>
                <w:rFonts w:ascii="Arial" w:hAnsi="Arial" w:cs="Arial"/>
                <w:sz w:val="22"/>
                <w:szCs w:val="22"/>
              </w:rPr>
              <w:t>Operational Equipment Reserve</w:t>
            </w:r>
          </w:p>
        </w:tc>
        <w:tc>
          <w:tcPr>
            <w:tcW w:w="850" w:type="dxa"/>
            <w:tcBorders>
              <w:left w:val="single" w:sz="4" w:space="0" w:color="auto"/>
              <w:right w:val="single" w:sz="4" w:space="0" w:color="auto"/>
            </w:tcBorders>
          </w:tcPr>
          <w:p w14:paraId="3E1B5D14" w14:textId="471DB2D9" w:rsidR="00D52DE2" w:rsidRPr="000D756E" w:rsidRDefault="00D52DE2" w:rsidP="00D52DE2">
            <w:pPr>
              <w:rPr>
                <w:rFonts w:ascii="Arial" w:hAnsi="Arial" w:cs="Arial"/>
                <w:sz w:val="22"/>
                <w:szCs w:val="22"/>
                <w:highlight w:val="yellow"/>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3ACE9B36" w14:textId="055727CA" w:rsidR="00D52DE2" w:rsidRPr="000D756E" w:rsidRDefault="002767C0" w:rsidP="001B5FB3">
            <w:pPr>
              <w:jc w:val="right"/>
              <w:rPr>
                <w:rFonts w:ascii="Arial" w:hAnsi="Arial" w:cs="Arial"/>
                <w:sz w:val="22"/>
                <w:szCs w:val="22"/>
              </w:rPr>
            </w:pPr>
            <w:r>
              <w:rPr>
                <w:rFonts w:ascii="Arial" w:hAnsi="Arial" w:cs="Arial"/>
                <w:sz w:val="22"/>
                <w:szCs w:val="22"/>
              </w:rPr>
              <w:t>-271</w:t>
            </w:r>
          </w:p>
        </w:tc>
      </w:tr>
      <w:tr w:rsidR="00D52DE2" w:rsidRPr="000D756E" w14:paraId="3E625546" w14:textId="77777777" w:rsidTr="00DE2880">
        <w:tc>
          <w:tcPr>
            <w:tcW w:w="1418" w:type="dxa"/>
            <w:tcBorders>
              <w:left w:val="single" w:sz="4" w:space="0" w:color="auto"/>
              <w:right w:val="single" w:sz="4" w:space="0" w:color="auto"/>
            </w:tcBorders>
          </w:tcPr>
          <w:p w14:paraId="318F982A" w14:textId="1EA63D88" w:rsidR="00D52DE2" w:rsidRPr="000D756E" w:rsidRDefault="00D52DE2" w:rsidP="00D52DE2">
            <w:pPr>
              <w:jc w:val="right"/>
              <w:rPr>
                <w:rFonts w:ascii="Arial" w:hAnsi="Arial" w:cs="Arial"/>
                <w:sz w:val="22"/>
                <w:szCs w:val="22"/>
              </w:rPr>
            </w:pPr>
            <w:r w:rsidRPr="000D756E">
              <w:rPr>
                <w:rFonts w:ascii="Arial" w:hAnsi="Arial" w:cs="Arial"/>
                <w:sz w:val="22"/>
                <w:szCs w:val="22"/>
              </w:rPr>
              <w:t>-58</w:t>
            </w:r>
          </w:p>
        </w:tc>
        <w:tc>
          <w:tcPr>
            <w:tcW w:w="5954" w:type="dxa"/>
            <w:tcBorders>
              <w:left w:val="single" w:sz="4" w:space="0" w:color="auto"/>
              <w:right w:val="single" w:sz="4" w:space="0" w:color="auto"/>
            </w:tcBorders>
          </w:tcPr>
          <w:p w14:paraId="6CCD3FA6" w14:textId="3B1BDDA0" w:rsidR="00D52DE2" w:rsidRPr="000D756E" w:rsidRDefault="00D52DE2" w:rsidP="00D52DE2">
            <w:pPr>
              <w:rPr>
                <w:rFonts w:ascii="Arial" w:hAnsi="Arial" w:cs="Arial"/>
                <w:sz w:val="22"/>
                <w:szCs w:val="22"/>
              </w:rPr>
            </w:pPr>
            <w:r w:rsidRPr="000D756E">
              <w:rPr>
                <w:rFonts w:ascii="Arial" w:hAnsi="Arial" w:cs="Arial"/>
                <w:sz w:val="22"/>
                <w:szCs w:val="22"/>
              </w:rPr>
              <w:t>Usable Capital Receipts Reserve</w:t>
            </w:r>
          </w:p>
        </w:tc>
        <w:tc>
          <w:tcPr>
            <w:tcW w:w="850" w:type="dxa"/>
            <w:tcBorders>
              <w:left w:val="single" w:sz="4" w:space="0" w:color="auto"/>
              <w:right w:val="single" w:sz="4" w:space="0" w:color="auto"/>
            </w:tcBorders>
          </w:tcPr>
          <w:p w14:paraId="190FAC95" w14:textId="49A66542" w:rsidR="00D52DE2" w:rsidRPr="000D756E" w:rsidRDefault="00D52DE2" w:rsidP="00D52DE2">
            <w:pPr>
              <w:rPr>
                <w:rFonts w:ascii="Arial" w:hAnsi="Arial" w:cs="Arial"/>
                <w:sz w:val="22"/>
                <w:szCs w:val="22"/>
              </w:rPr>
            </w:pPr>
            <w:r w:rsidRPr="000D756E">
              <w:rPr>
                <w:rFonts w:ascii="Arial" w:hAnsi="Arial" w:cs="Arial"/>
                <w:sz w:val="22"/>
                <w:szCs w:val="22"/>
              </w:rPr>
              <w:t>2</w:t>
            </w:r>
            <w:r w:rsidR="00731794">
              <w:rPr>
                <w:rFonts w:ascii="Arial" w:hAnsi="Arial" w:cs="Arial"/>
                <w:sz w:val="22"/>
                <w:szCs w:val="22"/>
              </w:rPr>
              <w:t>4</w:t>
            </w:r>
          </w:p>
        </w:tc>
        <w:tc>
          <w:tcPr>
            <w:tcW w:w="1134" w:type="dxa"/>
            <w:tcBorders>
              <w:left w:val="single" w:sz="4" w:space="0" w:color="auto"/>
              <w:right w:val="single" w:sz="4" w:space="0" w:color="auto"/>
            </w:tcBorders>
          </w:tcPr>
          <w:p w14:paraId="095C8B8D" w14:textId="693B1479" w:rsidR="00D52DE2" w:rsidRPr="000D756E" w:rsidRDefault="00606FB0" w:rsidP="001B5FB3">
            <w:pPr>
              <w:jc w:val="right"/>
              <w:rPr>
                <w:rFonts w:ascii="Arial" w:hAnsi="Arial" w:cs="Arial"/>
                <w:sz w:val="22"/>
                <w:szCs w:val="22"/>
              </w:rPr>
            </w:pPr>
            <w:r>
              <w:rPr>
                <w:rFonts w:ascii="Arial" w:hAnsi="Arial" w:cs="Arial"/>
                <w:sz w:val="22"/>
                <w:szCs w:val="22"/>
              </w:rPr>
              <w:t>-2</w:t>
            </w:r>
            <w:r w:rsidR="009B2165">
              <w:rPr>
                <w:rFonts w:ascii="Arial" w:hAnsi="Arial" w:cs="Arial"/>
                <w:sz w:val="22"/>
                <w:szCs w:val="22"/>
              </w:rPr>
              <w:t>10</w:t>
            </w:r>
          </w:p>
        </w:tc>
      </w:tr>
      <w:tr w:rsidR="00D52DE2" w:rsidRPr="000D756E" w14:paraId="4E48BEAC" w14:textId="77777777" w:rsidTr="00DE2880">
        <w:tc>
          <w:tcPr>
            <w:tcW w:w="1418" w:type="dxa"/>
            <w:tcBorders>
              <w:left w:val="single" w:sz="4" w:space="0" w:color="auto"/>
              <w:right w:val="single" w:sz="4" w:space="0" w:color="auto"/>
            </w:tcBorders>
          </w:tcPr>
          <w:p w14:paraId="76A36FFB" w14:textId="3E9AE8C1" w:rsidR="00D52DE2" w:rsidRPr="000D756E" w:rsidRDefault="00D52DE2" w:rsidP="00D52DE2">
            <w:pPr>
              <w:jc w:val="right"/>
              <w:rPr>
                <w:rFonts w:ascii="Arial" w:hAnsi="Arial" w:cs="Arial"/>
                <w:sz w:val="22"/>
                <w:szCs w:val="22"/>
              </w:rPr>
            </w:pPr>
          </w:p>
        </w:tc>
        <w:tc>
          <w:tcPr>
            <w:tcW w:w="5954" w:type="dxa"/>
            <w:tcBorders>
              <w:left w:val="single" w:sz="4" w:space="0" w:color="auto"/>
              <w:right w:val="single" w:sz="4" w:space="0" w:color="auto"/>
            </w:tcBorders>
          </w:tcPr>
          <w:p w14:paraId="1BAFAB7A" w14:textId="5833250B" w:rsidR="00D52DE2" w:rsidRPr="000D756E" w:rsidRDefault="00D52DE2" w:rsidP="00D52DE2">
            <w:pPr>
              <w:rPr>
                <w:rFonts w:ascii="Arial" w:hAnsi="Arial" w:cs="Arial"/>
                <w:sz w:val="22"/>
                <w:szCs w:val="22"/>
              </w:rPr>
            </w:pPr>
          </w:p>
        </w:tc>
        <w:tc>
          <w:tcPr>
            <w:tcW w:w="850" w:type="dxa"/>
            <w:tcBorders>
              <w:left w:val="single" w:sz="4" w:space="0" w:color="auto"/>
              <w:right w:val="single" w:sz="4" w:space="0" w:color="auto"/>
            </w:tcBorders>
          </w:tcPr>
          <w:p w14:paraId="3D521DCB" w14:textId="20090800" w:rsidR="00D52DE2" w:rsidRPr="000D756E" w:rsidRDefault="00D52DE2" w:rsidP="00D52DE2">
            <w:pPr>
              <w:rPr>
                <w:rFonts w:ascii="Arial" w:hAnsi="Arial" w:cs="Arial"/>
                <w:sz w:val="22"/>
                <w:szCs w:val="22"/>
              </w:rPr>
            </w:pPr>
          </w:p>
        </w:tc>
        <w:tc>
          <w:tcPr>
            <w:tcW w:w="1134" w:type="dxa"/>
            <w:tcBorders>
              <w:left w:val="single" w:sz="4" w:space="0" w:color="auto"/>
              <w:right w:val="single" w:sz="4" w:space="0" w:color="auto"/>
            </w:tcBorders>
          </w:tcPr>
          <w:p w14:paraId="124DD09C" w14:textId="7E0608CE" w:rsidR="00D52DE2" w:rsidRPr="000D756E" w:rsidRDefault="00D52DE2" w:rsidP="001B5FB3">
            <w:pPr>
              <w:jc w:val="right"/>
              <w:rPr>
                <w:rFonts w:ascii="Arial" w:hAnsi="Arial" w:cs="Arial"/>
                <w:sz w:val="22"/>
                <w:szCs w:val="22"/>
              </w:rPr>
            </w:pPr>
          </w:p>
        </w:tc>
      </w:tr>
      <w:tr w:rsidR="00D52DE2" w:rsidRPr="000D756E" w14:paraId="04645911" w14:textId="77777777" w:rsidTr="00DE2880">
        <w:tc>
          <w:tcPr>
            <w:tcW w:w="1418" w:type="dxa"/>
            <w:tcBorders>
              <w:left w:val="single" w:sz="4" w:space="0" w:color="auto"/>
              <w:right w:val="single" w:sz="4" w:space="0" w:color="auto"/>
            </w:tcBorders>
          </w:tcPr>
          <w:p w14:paraId="47B9C178" w14:textId="42821C89" w:rsidR="00D52DE2" w:rsidRPr="000D756E" w:rsidRDefault="00D52DE2" w:rsidP="00D52DE2">
            <w:pPr>
              <w:jc w:val="right"/>
              <w:rPr>
                <w:rFonts w:ascii="Arial" w:hAnsi="Arial" w:cs="Arial"/>
                <w:sz w:val="22"/>
                <w:szCs w:val="22"/>
              </w:rPr>
            </w:pPr>
          </w:p>
        </w:tc>
        <w:tc>
          <w:tcPr>
            <w:tcW w:w="5954" w:type="dxa"/>
            <w:tcBorders>
              <w:left w:val="single" w:sz="4" w:space="0" w:color="auto"/>
              <w:right w:val="single" w:sz="4" w:space="0" w:color="auto"/>
            </w:tcBorders>
          </w:tcPr>
          <w:p w14:paraId="21C5EA02" w14:textId="77777777" w:rsidR="00D52DE2" w:rsidRPr="000D756E" w:rsidRDefault="00D52DE2" w:rsidP="00D52DE2">
            <w:pPr>
              <w:rPr>
                <w:rFonts w:ascii="Arial" w:hAnsi="Arial" w:cs="Arial"/>
                <w:b/>
                <w:sz w:val="22"/>
                <w:szCs w:val="22"/>
              </w:rPr>
            </w:pPr>
            <w:r w:rsidRPr="000D756E">
              <w:rPr>
                <w:rFonts w:ascii="Arial" w:hAnsi="Arial" w:cs="Arial"/>
                <w:b/>
                <w:sz w:val="22"/>
                <w:szCs w:val="22"/>
              </w:rPr>
              <w:t>Unusable Reserves</w:t>
            </w:r>
          </w:p>
        </w:tc>
        <w:tc>
          <w:tcPr>
            <w:tcW w:w="850" w:type="dxa"/>
            <w:tcBorders>
              <w:left w:val="single" w:sz="4" w:space="0" w:color="auto"/>
              <w:right w:val="single" w:sz="4" w:space="0" w:color="auto"/>
            </w:tcBorders>
          </w:tcPr>
          <w:p w14:paraId="40AF081F" w14:textId="77777777" w:rsidR="00D52DE2" w:rsidRPr="000D756E" w:rsidRDefault="00D52DE2" w:rsidP="00D52DE2">
            <w:pPr>
              <w:rPr>
                <w:rFonts w:ascii="Arial" w:hAnsi="Arial" w:cs="Arial"/>
                <w:sz w:val="22"/>
                <w:szCs w:val="22"/>
              </w:rPr>
            </w:pPr>
          </w:p>
        </w:tc>
        <w:tc>
          <w:tcPr>
            <w:tcW w:w="1134" w:type="dxa"/>
            <w:tcBorders>
              <w:left w:val="single" w:sz="4" w:space="0" w:color="auto"/>
              <w:right w:val="single" w:sz="4" w:space="0" w:color="auto"/>
            </w:tcBorders>
          </w:tcPr>
          <w:p w14:paraId="15D76C59" w14:textId="77777777" w:rsidR="00D52DE2" w:rsidRPr="000D756E" w:rsidRDefault="00D52DE2" w:rsidP="001B5FB3">
            <w:pPr>
              <w:jc w:val="right"/>
              <w:rPr>
                <w:rFonts w:ascii="Arial" w:hAnsi="Arial" w:cs="Arial"/>
                <w:sz w:val="22"/>
                <w:szCs w:val="22"/>
              </w:rPr>
            </w:pPr>
          </w:p>
        </w:tc>
      </w:tr>
      <w:tr w:rsidR="00D52DE2" w:rsidRPr="000D756E" w14:paraId="41CFC499" w14:textId="77777777" w:rsidTr="00DE2880">
        <w:tc>
          <w:tcPr>
            <w:tcW w:w="1418" w:type="dxa"/>
            <w:tcBorders>
              <w:left w:val="single" w:sz="4" w:space="0" w:color="auto"/>
              <w:right w:val="single" w:sz="4" w:space="0" w:color="auto"/>
            </w:tcBorders>
          </w:tcPr>
          <w:p w14:paraId="593DCD0A" w14:textId="2EB6CD65" w:rsidR="00D52DE2" w:rsidRPr="000D756E" w:rsidRDefault="00D52DE2" w:rsidP="00D52DE2">
            <w:pPr>
              <w:jc w:val="right"/>
              <w:rPr>
                <w:rFonts w:ascii="Arial" w:hAnsi="Arial" w:cs="Arial"/>
                <w:sz w:val="22"/>
                <w:szCs w:val="22"/>
              </w:rPr>
            </w:pPr>
            <w:r w:rsidRPr="000D756E">
              <w:rPr>
                <w:rFonts w:ascii="Arial" w:hAnsi="Arial" w:cs="Arial"/>
                <w:sz w:val="22"/>
                <w:szCs w:val="22"/>
              </w:rPr>
              <w:t>-14,750</w:t>
            </w:r>
          </w:p>
        </w:tc>
        <w:tc>
          <w:tcPr>
            <w:tcW w:w="5954" w:type="dxa"/>
            <w:tcBorders>
              <w:left w:val="single" w:sz="4" w:space="0" w:color="auto"/>
              <w:right w:val="single" w:sz="4" w:space="0" w:color="auto"/>
            </w:tcBorders>
          </w:tcPr>
          <w:p w14:paraId="253A7D4E"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Revaluation Reserve                                                </w:t>
            </w:r>
          </w:p>
        </w:tc>
        <w:tc>
          <w:tcPr>
            <w:tcW w:w="850" w:type="dxa"/>
            <w:tcBorders>
              <w:left w:val="single" w:sz="4" w:space="0" w:color="auto"/>
              <w:right w:val="single" w:sz="4" w:space="0" w:color="auto"/>
            </w:tcBorders>
          </w:tcPr>
          <w:p w14:paraId="4FE5D4C1" w14:textId="57A7F122" w:rsidR="00D52DE2" w:rsidRPr="000D756E" w:rsidRDefault="00D52DE2" w:rsidP="00D52DE2">
            <w:pPr>
              <w:rPr>
                <w:rFonts w:ascii="Arial" w:hAnsi="Arial" w:cs="Arial"/>
                <w:sz w:val="22"/>
                <w:szCs w:val="22"/>
              </w:rPr>
            </w:pPr>
            <w:r w:rsidRPr="000D756E">
              <w:rPr>
                <w:rFonts w:ascii="Arial" w:hAnsi="Arial" w:cs="Arial"/>
                <w:sz w:val="22"/>
                <w:szCs w:val="22"/>
              </w:rPr>
              <w:t>2</w:t>
            </w:r>
            <w:r w:rsidR="00731794">
              <w:rPr>
                <w:rFonts w:ascii="Arial" w:hAnsi="Arial" w:cs="Arial"/>
                <w:sz w:val="22"/>
                <w:szCs w:val="22"/>
              </w:rPr>
              <w:t>3</w:t>
            </w:r>
          </w:p>
        </w:tc>
        <w:tc>
          <w:tcPr>
            <w:tcW w:w="1134" w:type="dxa"/>
            <w:tcBorders>
              <w:left w:val="single" w:sz="4" w:space="0" w:color="auto"/>
              <w:right w:val="single" w:sz="4" w:space="0" w:color="auto"/>
            </w:tcBorders>
          </w:tcPr>
          <w:p w14:paraId="3F1FCB87" w14:textId="489FA72A" w:rsidR="00D52DE2" w:rsidRPr="000D756E" w:rsidRDefault="00A41CD0" w:rsidP="001B5FB3">
            <w:pPr>
              <w:jc w:val="right"/>
              <w:rPr>
                <w:rFonts w:ascii="Arial" w:hAnsi="Arial" w:cs="Arial"/>
                <w:sz w:val="22"/>
                <w:szCs w:val="22"/>
              </w:rPr>
            </w:pPr>
            <w:r>
              <w:rPr>
                <w:rFonts w:ascii="Arial" w:hAnsi="Arial" w:cs="Arial"/>
                <w:sz w:val="22"/>
                <w:szCs w:val="22"/>
              </w:rPr>
              <w:t>-17,994</w:t>
            </w:r>
          </w:p>
        </w:tc>
      </w:tr>
      <w:tr w:rsidR="00D52DE2" w:rsidRPr="000D756E" w14:paraId="1E7BC452" w14:textId="77777777" w:rsidTr="00DE2880">
        <w:tc>
          <w:tcPr>
            <w:tcW w:w="1418" w:type="dxa"/>
            <w:tcBorders>
              <w:left w:val="single" w:sz="4" w:space="0" w:color="auto"/>
              <w:right w:val="single" w:sz="4" w:space="0" w:color="auto"/>
            </w:tcBorders>
          </w:tcPr>
          <w:p w14:paraId="483DBE03" w14:textId="2EE792DC" w:rsidR="00D52DE2" w:rsidRPr="000D756E" w:rsidRDefault="00D52DE2" w:rsidP="00D52DE2">
            <w:pPr>
              <w:jc w:val="right"/>
              <w:rPr>
                <w:rFonts w:ascii="Arial" w:hAnsi="Arial" w:cs="Arial"/>
                <w:sz w:val="22"/>
                <w:szCs w:val="22"/>
              </w:rPr>
            </w:pPr>
            <w:r w:rsidRPr="000D756E">
              <w:rPr>
                <w:rFonts w:ascii="Arial" w:hAnsi="Arial" w:cs="Arial"/>
                <w:sz w:val="22"/>
                <w:szCs w:val="22"/>
              </w:rPr>
              <w:t>-7,072</w:t>
            </w:r>
          </w:p>
        </w:tc>
        <w:tc>
          <w:tcPr>
            <w:tcW w:w="5954" w:type="dxa"/>
            <w:tcBorders>
              <w:left w:val="single" w:sz="4" w:space="0" w:color="auto"/>
              <w:right w:val="single" w:sz="4" w:space="0" w:color="auto"/>
            </w:tcBorders>
          </w:tcPr>
          <w:p w14:paraId="10F161A1"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Capital Adjustment Account                                      </w:t>
            </w:r>
          </w:p>
        </w:tc>
        <w:tc>
          <w:tcPr>
            <w:tcW w:w="850" w:type="dxa"/>
            <w:tcBorders>
              <w:left w:val="single" w:sz="4" w:space="0" w:color="auto"/>
              <w:right w:val="single" w:sz="4" w:space="0" w:color="auto"/>
            </w:tcBorders>
          </w:tcPr>
          <w:p w14:paraId="173B05A7" w14:textId="3C67A8C7" w:rsidR="00D52DE2" w:rsidRPr="000D756E" w:rsidRDefault="00D52DE2" w:rsidP="00D52DE2">
            <w:pPr>
              <w:rPr>
                <w:rFonts w:ascii="Arial" w:hAnsi="Arial" w:cs="Arial"/>
                <w:sz w:val="22"/>
                <w:szCs w:val="22"/>
              </w:rPr>
            </w:pPr>
            <w:r w:rsidRPr="000D756E">
              <w:rPr>
                <w:rFonts w:ascii="Arial" w:hAnsi="Arial" w:cs="Arial"/>
                <w:sz w:val="22"/>
                <w:szCs w:val="22"/>
              </w:rPr>
              <w:t>2</w:t>
            </w:r>
            <w:r w:rsidR="00731794">
              <w:rPr>
                <w:rFonts w:ascii="Arial" w:hAnsi="Arial" w:cs="Arial"/>
                <w:sz w:val="22"/>
                <w:szCs w:val="22"/>
              </w:rPr>
              <w:t>3</w:t>
            </w:r>
          </w:p>
        </w:tc>
        <w:tc>
          <w:tcPr>
            <w:tcW w:w="1134" w:type="dxa"/>
            <w:tcBorders>
              <w:left w:val="single" w:sz="4" w:space="0" w:color="auto"/>
              <w:right w:val="single" w:sz="4" w:space="0" w:color="auto"/>
            </w:tcBorders>
          </w:tcPr>
          <w:p w14:paraId="4E5498EE" w14:textId="5BBC5A53" w:rsidR="00D52DE2" w:rsidRPr="000D756E" w:rsidRDefault="00086C2A" w:rsidP="001B5FB3">
            <w:pPr>
              <w:jc w:val="right"/>
              <w:rPr>
                <w:rFonts w:ascii="Arial" w:hAnsi="Arial" w:cs="Arial"/>
                <w:sz w:val="22"/>
                <w:szCs w:val="22"/>
              </w:rPr>
            </w:pPr>
            <w:r>
              <w:rPr>
                <w:rFonts w:ascii="Arial" w:hAnsi="Arial" w:cs="Arial"/>
                <w:sz w:val="22"/>
                <w:szCs w:val="22"/>
              </w:rPr>
              <w:t>-9,218</w:t>
            </w:r>
          </w:p>
        </w:tc>
      </w:tr>
      <w:tr w:rsidR="00D52DE2" w:rsidRPr="00660C76" w14:paraId="4045CB47" w14:textId="77777777" w:rsidTr="00DE2880">
        <w:tc>
          <w:tcPr>
            <w:tcW w:w="1418" w:type="dxa"/>
            <w:tcBorders>
              <w:left w:val="single" w:sz="4" w:space="0" w:color="auto"/>
              <w:right w:val="single" w:sz="4" w:space="0" w:color="auto"/>
            </w:tcBorders>
          </w:tcPr>
          <w:p w14:paraId="5FCC7AE0" w14:textId="7DE136FF" w:rsidR="00D52DE2" w:rsidRPr="000D756E" w:rsidRDefault="00D52DE2" w:rsidP="00D52DE2">
            <w:pPr>
              <w:jc w:val="right"/>
              <w:rPr>
                <w:rFonts w:ascii="Arial" w:hAnsi="Arial" w:cs="Arial"/>
                <w:sz w:val="22"/>
                <w:szCs w:val="22"/>
              </w:rPr>
            </w:pPr>
            <w:r w:rsidRPr="000D756E">
              <w:rPr>
                <w:rFonts w:ascii="Arial" w:hAnsi="Arial" w:cs="Arial"/>
                <w:sz w:val="22"/>
                <w:szCs w:val="22"/>
              </w:rPr>
              <w:t>182,587</w:t>
            </w:r>
          </w:p>
        </w:tc>
        <w:tc>
          <w:tcPr>
            <w:tcW w:w="5954" w:type="dxa"/>
            <w:tcBorders>
              <w:left w:val="single" w:sz="4" w:space="0" w:color="auto"/>
              <w:right w:val="single" w:sz="4" w:space="0" w:color="auto"/>
            </w:tcBorders>
          </w:tcPr>
          <w:p w14:paraId="34E180A2"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Fire Pensions Reserve                                              </w:t>
            </w:r>
          </w:p>
        </w:tc>
        <w:tc>
          <w:tcPr>
            <w:tcW w:w="850" w:type="dxa"/>
            <w:tcBorders>
              <w:left w:val="single" w:sz="4" w:space="0" w:color="auto"/>
              <w:right w:val="single" w:sz="4" w:space="0" w:color="auto"/>
            </w:tcBorders>
          </w:tcPr>
          <w:p w14:paraId="4A1096CD" w14:textId="0492CC07" w:rsidR="00D52DE2" w:rsidRPr="000D756E" w:rsidRDefault="00D52DE2" w:rsidP="00D52DE2">
            <w:pPr>
              <w:rPr>
                <w:rFonts w:ascii="Arial" w:hAnsi="Arial" w:cs="Arial"/>
                <w:sz w:val="22"/>
                <w:szCs w:val="22"/>
              </w:rPr>
            </w:pPr>
            <w:r w:rsidRPr="000D756E">
              <w:rPr>
                <w:rFonts w:ascii="Arial" w:hAnsi="Arial" w:cs="Arial"/>
                <w:sz w:val="22"/>
                <w:szCs w:val="22"/>
              </w:rPr>
              <w:t>1</w:t>
            </w:r>
            <w:r w:rsidR="00DE2880">
              <w:rPr>
                <w:rFonts w:ascii="Arial" w:hAnsi="Arial" w:cs="Arial"/>
                <w:sz w:val="22"/>
                <w:szCs w:val="22"/>
              </w:rPr>
              <w:t>2</w:t>
            </w:r>
            <w:r w:rsidRPr="000D756E">
              <w:rPr>
                <w:rFonts w:ascii="Arial" w:hAnsi="Arial" w:cs="Arial"/>
                <w:sz w:val="22"/>
                <w:szCs w:val="22"/>
              </w:rPr>
              <w:t>/2</w:t>
            </w:r>
            <w:r w:rsidR="00DE2880">
              <w:rPr>
                <w:rFonts w:ascii="Arial" w:hAnsi="Arial" w:cs="Arial"/>
                <w:sz w:val="22"/>
                <w:szCs w:val="22"/>
              </w:rPr>
              <w:t>3</w:t>
            </w:r>
          </w:p>
        </w:tc>
        <w:tc>
          <w:tcPr>
            <w:tcW w:w="1134" w:type="dxa"/>
            <w:tcBorders>
              <w:left w:val="single" w:sz="4" w:space="0" w:color="auto"/>
              <w:right w:val="single" w:sz="4" w:space="0" w:color="auto"/>
            </w:tcBorders>
          </w:tcPr>
          <w:p w14:paraId="7976090A" w14:textId="27CBDC4B" w:rsidR="00D52DE2" w:rsidRPr="00660C76" w:rsidRDefault="00086C2A" w:rsidP="001B5FB3">
            <w:pPr>
              <w:jc w:val="right"/>
              <w:rPr>
                <w:rFonts w:ascii="Arial" w:hAnsi="Arial" w:cs="Arial"/>
                <w:sz w:val="22"/>
                <w:szCs w:val="22"/>
              </w:rPr>
            </w:pPr>
            <w:r w:rsidRPr="00660C76">
              <w:rPr>
                <w:rFonts w:ascii="Arial" w:hAnsi="Arial" w:cs="Arial"/>
                <w:sz w:val="22"/>
                <w:szCs w:val="22"/>
              </w:rPr>
              <w:t>161,105</w:t>
            </w:r>
          </w:p>
        </w:tc>
      </w:tr>
      <w:tr w:rsidR="00D52DE2" w:rsidRPr="000D756E" w14:paraId="12EFA873" w14:textId="77777777" w:rsidTr="00DE2880">
        <w:tc>
          <w:tcPr>
            <w:tcW w:w="1418" w:type="dxa"/>
            <w:tcBorders>
              <w:left w:val="single" w:sz="4" w:space="0" w:color="auto"/>
              <w:right w:val="single" w:sz="4" w:space="0" w:color="auto"/>
            </w:tcBorders>
          </w:tcPr>
          <w:p w14:paraId="4136344B" w14:textId="78807040" w:rsidR="00D52DE2" w:rsidRPr="000D756E" w:rsidRDefault="00D52DE2" w:rsidP="00D52DE2">
            <w:pPr>
              <w:jc w:val="right"/>
              <w:rPr>
                <w:rFonts w:ascii="Arial" w:hAnsi="Arial" w:cs="Arial"/>
                <w:sz w:val="22"/>
                <w:szCs w:val="22"/>
              </w:rPr>
            </w:pPr>
            <w:r w:rsidRPr="000D756E">
              <w:rPr>
                <w:rFonts w:ascii="Arial" w:hAnsi="Arial" w:cs="Arial"/>
                <w:sz w:val="22"/>
                <w:szCs w:val="22"/>
              </w:rPr>
              <w:t>0</w:t>
            </w:r>
          </w:p>
        </w:tc>
        <w:tc>
          <w:tcPr>
            <w:tcW w:w="5954" w:type="dxa"/>
            <w:tcBorders>
              <w:left w:val="single" w:sz="4" w:space="0" w:color="auto"/>
              <w:right w:val="single" w:sz="4" w:space="0" w:color="auto"/>
            </w:tcBorders>
          </w:tcPr>
          <w:p w14:paraId="6442895D"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LGPS Pensions Reserve                                          </w:t>
            </w:r>
          </w:p>
        </w:tc>
        <w:tc>
          <w:tcPr>
            <w:tcW w:w="850" w:type="dxa"/>
            <w:tcBorders>
              <w:left w:val="single" w:sz="4" w:space="0" w:color="auto"/>
              <w:right w:val="single" w:sz="4" w:space="0" w:color="auto"/>
            </w:tcBorders>
          </w:tcPr>
          <w:p w14:paraId="679C9F1B" w14:textId="3740D5DC" w:rsidR="00D52DE2" w:rsidRPr="000D756E" w:rsidRDefault="00D52DE2" w:rsidP="00D52DE2">
            <w:pPr>
              <w:rPr>
                <w:rFonts w:ascii="Arial" w:hAnsi="Arial" w:cs="Arial"/>
                <w:sz w:val="22"/>
                <w:szCs w:val="22"/>
              </w:rPr>
            </w:pPr>
            <w:r w:rsidRPr="000D756E">
              <w:rPr>
                <w:rFonts w:ascii="Arial" w:hAnsi="Arial" w:cs="Arial"/>
                <w:sz w:val="22"/>
                <w:szCs w:val="22"/>
              </w:rPr>
              <w:t>1</w:t>
            </w:r>
            <w:r w:rsidR="00DE2880">
              <w:rPr>
                <w:rFonts w:ascii="Arial" w:hAnsi="Arial" w:cs="Arial"/>
                <w:sz w:val="22"/>
                <w:szCs w:val="22"/>
              </w:rPr>
              <w:t>2</w:t>
            </w:r>
            <w:r w:rsidRPr="000D756E">
              <w:rPr>
                <w:rFonts w:ascii="Arial" w:hAnsi="Arial" w:cs="Arial"/>
                <w:sz w:val="22"/>
                <w:szCs w:val="22"/>
              </w:rPr>
              <w:t>/2</w:t>
            </w:r>
            <w:r w:rsidR="00DE2880">
              <w:rPr>
                <w:rFonts w:ascii="Arial" w:hAnsi="Arial" w:cs="Arial"/>
                <w:sz w:val="22"/>
                <w:szCs w:val="22"/>
              </w:rPr>
              <w:t>3</w:t>
            </w:r>
          </w:p>
        </w:tc>
        <w:tc>
          <w:tcPr>
            <w:tcW w:w="1134" w:type="dxa"/>
            <w:tcBorders>
              <w:left w:val="single" w:sz="4" w:space="0" w:color="auto"/>
              <w:right w:val="single" w:sz="4" w:space="0" w:color="auto"/>
            </w:tcBorders>
          </w:tcPr>
          <w:p w14:paraId="7E90C557" w14:textId="4D79DFEE" w:rsidR="00D52DE2" w:rsidRPr="000D756E" w:rsidRDefault="00660C76" w:rsidP="001B5FB3">
            <w:pPr>
              <w:jc w:val="right"/>
              <w:rPr>
                <w:rFonts w:ascii="Arial" w:hAnsi="Arial" w:cs="Arial"/>
                <w:sz w:val="22"/>
                <w:szCs w:val="22"/>
              </w:rPr>
            </w:pPr>
            <w:r>
              <w:rPr>
                <w:rFonts w:ascii="Arial" w:hAnsi="Arial" w:cs="Arial"/>
                <w:sz w:val="22"/>
                <w:szCs w:val="22"/>
              </w:rPr>
              <w:t>0</w:t>
            </w:r>
          </w:p>
        </w:tc>
      </w:tr>
      <w:tr w:rsidR="00D52DE2" w:rsidRPr="000D756E" w14:paraId="21E4B322" w14:textId="77777777" w:rsidTr="00DE2880">
        <w:tc>
          <w:tcPr>
            <w:tcW w:w="1418" w:type="dxa"/>
            <w:tcBorders>
              <w:left w:val="single" w:sz="4" w:space="0" w:color="auto"/>
              <w:right w:val="single" w:sz="4" w:space="0" w:color="auto"/>
            </w:tcBorders>
          </w:tcPr>
          <w:p w14:paraId="491CAB4E" w14:textId="4ACC6FC1" w:rsidR="00D52DE2" w:rsidRPr="000D756E" w:rsidRDefault="00D52DE2" w:rsidP="00D52DE2">
            <w:pPr>
              <w:jc w:val="right"/>
              <w:rPr>
                <w:rFonts w:ascii="Arial" w:hAnsi="Arial" w:cs="Arial"/>
                <w:sz w:val="22"/>
                <w:szCs w:val="22"/>
              </w:rPr>
            </w:pPr>
            <w:r w:rsidRPr="000D756E">
              <w:rPr>
                <w:rFonts w:ascii="Arial" w:hAnsi="Arial" w:cs="Arial"/>
                <w:sz w:val="22"/>
                <w:szCs w:val="22"/>
              </w:rPr>
              <w:t>-61</w:t>
            </w:r>
          </w:p>
        </w:tc>
        <w:tc>
          <w:tcPr>
            <w:tcW w:w="5954" w:type="dxa"/>
            <w:tcBorders>
              <w:left w:val="single" w:sz="4" w:space="0" w:color="auto"/>
              <w:right w:val="single" w:sz="4" w:space="0" w:color="auto"/>
            </w:tcBorders>
          </w:tcPr>
          <w:p w14:paraId="0AC31460" w14:textId="77777777" w:rsidR="00D52DE2" w:rsidRPr="000D756E" w:rsidRDefault="00D52DE2" w:rsidP="00D52DE2">
            <w:pPr>
              <w:rPr>
                <w:rFonts w:ascii="Arial" w:hAnsi="Arial" w:cs="Arial"/>
                <w:sz w:val="22"/>
                <w:szCs w:val="22"/>
              </w:rPr>
            </w:pPr>
            <w:r w:rsidRPr="000D756E">
              <w:rPr>
                <w:rFonts w:ascii="Arial" w:hAnsi="Arial" w:cs="Arial"/>
                <w:sz w:val="22"/>
                <w:szCs w:val="22"/>
              </w:rPr>
              <w:t xml:space="preserve">Collection Fund Adjustment Account                        </w:t>
            </w:r>
          </w:p>
        </w:tc>
        <w:tc>
          <w:tcPr>
            <w:tcW w:w="850" w:type="dxa"/>
            <w:tcBorders>
              <w:left w:val="single" w:sz="4" w:space="0" w:color="auto"/>
              <w:right w:val="single" w:sz="4" w:space="0" w:color="auto"/>
            </w:tcBorders>
          </w:tcPr>
          <w:p w14:paraId="78F1686F" w14:textId="6FB5AEC3" w:rsidR="00D52DE2" w:rsidRPr="000D756E" w:rsidRDefault="00D52DE2" w:rsidP="00D52DE2">
            <w:pPr>
              <w:rPr>
                <w:rFonts w:ascii="Arial" w:hAnsi="Arial" w:cs="Arial"/>
                <w:sz w:val="22"/>
                <w:szCs w:val="22"/>
              </w:rPr>
            </w:pPr>
            <w:r w:rsidRPr="000D756E">
              <w:rPr>
                <w:rFonts w:ascii="Arial" w:hAnsi="Arial" w:cs="Arial"/>
                <w:sz w:val="22"/>
                <w:szCs w:val="22"/>
              </w:rPr>
              <w:t>2</w:t>
            </w:r>
            <w:r w:rsidR="00DE2880">
              <w:rPr>
                <w:rFonts w:ascii="Arial" w:hAnsi="Arial" w:cs="Arial"/>
                <w:sz w:val="22"/>
                <w:szCs w:val="22"/>
              </w:rPr>
              <w:t>3</w:t>
            </w:r>
          </w:p>
        </w:tc>
        <w:tc>
          <w:tcPr>
            <w:tcW w:w="1134" w:type="dxa"/>
            <w:tcBorders>
              <w:left w:val="single" w:sz="4" w:space="0" w:color="auto"/>
              <w:right w:val="single" w:sz="4" w:space="0" w:color="auto"/>
            </w:tcBorders>
          </w:tcPr>
          <w:p w14:paraId="6040680D" w14:textId="0360D07B" w:rsidR="00D52DE2" w:rsidRPr="000D756E" w:rsidRDefault="00660C76" w:rsidP="001B5FB3">
            <w:pPr>
              <w:jc w:val="right"/>
              <w:rPr>
                <w:rFonts w:ascii="Arial" w:hAnsi="Arial" w:cs="Arial"/>
                <w:sz w:val="22"/>
                <w:szCs w:val="22"/>
              </w:rPr>
            </w:pPr>
            <w:r>
              <w:rPr>
                <w:rFonts w:ascii="Arial" w:hAnsi="Arial" w:cs="Arial"/>
                <w:sz w:val="22"/>
                <w:szCs w:val="22"/>
              </w:rPr>
              <w:t>-32</w:t>
            </w:r>
            <w:r w:rsidR="00FA3197">
              <w:rPr>
                <w:rFonts w:ascii="Arial" w:hAnsi="Arial" w:cs="Arial"/>
                <w:sz w:val="22"/>
                <w:szCs w:val="22"/>
              </w:rPr>
              <w:t>8</w:t>
            </w:r>
          </w:p>
        </w:tc>
      </w:tr>
      <w:tr w:rsidR="00D52DE2" w:rsidRPr="000D756E" w14:paraId="4BBCC953" w14:textId="77777777" w:rsidTr="00DE2880">
        <w:tc>
          <w:tcPr>
            <w:tcW w:w="1418" w:type="dxa"/>
            <w:tcBorders>
              <w:left w:val="single" w:sz="4" w:space="0" w:color="auto"/>
              <w:right w:val="single" w:sz="4" w:space="0" w:color="auto"/>
            </w:tcBorders>
          </w:tcPr>
          <w:p w14:paraId="17D96815" w14:textId="266E162D" w:rsidR="00D52DE2" w:rsidRPr="000D756E" w:rsidRDefault="00D52DE2" w:rsidP="00D52DE2">
            <w:pPr>
              <w:jc w:val="right"/>
              <w:rPr>
                <w:rFonts w:ascii="Arial" w:hAnsi="Arial" w:cs="Arial"/>
                <w:sz w:val="22"/>
                <w:szCs w:val="22"/>
              </w:rPr>
            </w:pPr>
            <w:r w:rsidRPr="000D756E">
              <w:rPr>
                <w:rFonts w:ascii="Arial" w:hAnsi="Arial" w:cs="Arial"/>
                <w:sz w:val="22"/>
                <w:szCs w:val="22"/>
              </w:rPr>
              <w:t>192</w:t>
            </w:r>
          </w:p>
        </w:tc>
        <w:tc>
          <w:tcPr>
            <w:tcW w:w="5954" w:type="dxa"/>
            <w:tcBorders>
              <w:left w:val="single" w:sz="4" w:space="0" w:color="auto"/>
              <w:right w:val="single" w:sz="4" w:space="0" w:color="auto"/>
            </w:tcBorders>
          </w:tcPr>
          <w:p w14:paraId="08047525" w14:textId="139D4EF5" w:rsidR="00D52DE2" w:rsidRPr="000D756E" w:rsidRDefault="00D52DE2" w:rsidP="00D52DE2">
            <w:pPr>
              <w:rPr>
                <w:rFonts w:ascii="Arial" w:hAnsi="Arial" w:cs="Arial"/>
                <w:sz w:val="22"/>
                <w:szCs w:val="22"/>
              </w:rPr>
            </w:pPr>
            <w:r w:rsidRPr="000D756E">
              <w:rPr>
                <w:rFonts w:ascii="Arial" w:hAnsi="Arial" w:cs="Arial"/>
                <w:sz w:val="22"/>
                <w:szCs w:val="22"/>
              </w:rPr>
              <w:t xml:space="preserve">Accumulated Absences Account                               </w:t>
            </w:r>
          </w:p>
        </w:tc>
        <w:tc>
          <w:tcPr>
            <w:tcW w:w="850" w:type="dxa"/>
            <w:tcBorders>
              <w:left w:val="single" w:sz="4" w:space="0" w:color="auto"/>
              <w:right w:val="single" w:sz="4" w:space="0" w:color="auto"/>
            </w:tcBorders>
          </w:tcPr>
          <w:p w14:paraId="2E0EC6D0" w14:textId="65C8F865" w:rsidR="00D52DE2" w:rsidRPr="000D756E" w:rsidRDefault="00D52DE2" w:rsidP="00D52DE2">
            <w:pPr>
              <w:rPr>
                <w:rFonts w:ascii="Arial" w:hAnsi="Arial" w:cs="Arial"/>
                <w:sz w:val="22"/>
                <w:szCs w:val="22"/>
              </w:rPr>
            </w:pPr>
            <w:r w:rsidRPr="000D756E">
              <w:rPr>
                <w:rFonts w:ascii="Arial" w:hAnsi="Arial" w:cs="Arial"/>
                <w:sz w:val="22"/>
                <w:szCs w:val="22"/>
              </w:rPr>
              <w:t>2</w:t>
            </w:r>
            <w:r w:rsidR="00DE2880">
              <w:rPr>
                <w:rFonts w:ascii="Arial" w:hAnsi="Arial" w:cs="Arial"/>
                <w:sz w:val="22"/>
                <w:szCs w:val="22"/>
              </w:rPr>
              <w:t>3</w:t>
            </w:r>
          </w:p>
        </w:tc>
        <w:tc>
          <w:tcPr>
            <w:tcW w:w="1134" w:type="dxa"/>
            <w:tcBorders>
              <w:left w:val="single" w:sz="4" w:space="0" w:color="auto"/>
              <w:right w:val="single" w:sz="4" w:space="0" w:color="auto"/>
            </w:tcBorders>
          </w:tcPr>
          <w:p w14:paraId="07EDE026" w14:textId="3AC0D8E6" w:rsidR="00D52DE2" w:rsidRPr="000D756E" w:rsidRDefault="00660C76" w:rsidP="001B5FB3">
            <w:pPr>
              <w:jc w:val="right"/>
              <w:rPr>
                <w:rFonts w:ascii="Arial" w:hAnsi="Arial" w:cs="Arial"/>
                <w:sz w:val="22"/>
                <w:szCs w:val="22"/>
              </w:rPr>
            </w:pPr>
            <w:r>
              <w:rPr>
                <w:rFonts w:ascii="Arial" w:hAnsi="Arial" w:cs="Arial"/>
                <w:sz w:val="22"/>
                <w:szCs w:val="22"/>
              </w:rPr>
              <w:t>204</w:t>
            </w:r>
          </w:p>
        </w:tc>
      </w:tr>
      <w:tr w:rsidR="00D52DE2" w:rsidRPr="000D756E" w14:paraId="408195AF" w14:textId="77777777" w:rsidTr="00DE2880">
        <w:tc>
          <w:tcPr>
            <w:tcW w:w="1418" w:type="dxa"/>
            <w:tcBorders>
              <w:top w:val="single" w:sz="4" w:space="0" w:color="auto"/>
              <w:left w:val="single" w:sz="4" w:space="0" w:color="auto"/>
              <w:bottom w:val="single" w:sz="4" w:space="0" w:color="auto"/>
              <w:right w:val="single" w:sz="4" w:space="0" w:color="auto"/>
            </w:tcBorders>
          </w:tcPr>
          <w:p w14:paraId="587F3851" w14:textId="33DA5EDB" w:rsidR="00D52DE2" w:rsidRPr="000D756E" w:rsidRDefault="00D52DE2" w:rsidP="00D52DE2">
            <w:pPr>
              <w:jc w:val="right"/>
              <w:rPr>
                <w:rFonts w:ascii="Arial" w:hAnsi="Arial" w:cs="Arial"/>
                <w:b/>
                <w:sz w:val="22"/>
                <w:szCs w:val="22"/>
              </w:rPr>
            </w:pPr>
            <w:r w:rsidRPr="000D756E">
              <w:rPr>
                <w:rFonts w:ascii="Arial" w:hAnsi="Arial" w:cs="Arial"/>
                <w:b/>
                <w:sz w:val="22"/>
                <w:szCs w:val="22"/>
              </w:rPr>
              <w:t>147,336</w:t>
            </w:r>
          </w:p>
        </w:tc>
        <w:tc>
          <w:tcPr>
            <w:tcW w:w="5954" w:type="dxa"/>
            <w:tcBorders>
              <w:top w:val="single" w:sz="4" w:space="0" w:color="auto"/>
              <w:left w:val="single" w:sz="4" w:space="0" w:color="auto"/>
              <w:bottom w:val="single" w:sz="4" w:space="0" w:color="auto"/>
              <w:right w:val="single" w:sz="4" w:space="0" w:color="auto"/>
            </w:tcBorders>
          </w:tcPr>
          <w:p w14:paraId="0643F081" w14:textId="77777777" w:rsidR="00D52DE2" w:rsidRPr="000D756E" w:rsidRDefault="00D52DE2" w:rsidP="00D52DE2">
            <w:pPr>
              <w:rPr>
                <w:rFonts w:ascii="Arial" w:hAnsi="Arial" w:cs="Arial"/>
                <w:b/>
                <w:sz w:val="22"/>
                <w:szCs w:val="22"/>
              </w:rPr>
            </w:pPr>
            <w:r w:rsidRPr="000D756E">
              <w:rPr>
                <w:rFonts w:ascii="Arial" w:hAnsi="Arial" w:cs="Arial"/>
                <w:b/>
                <w:sz w:val="22"/>
                <w:szCs w:val="22"/>
              </w:rPr>
              <w:t>Total Reserves</w:t>
            </w:r>
          </w:p>
        </w:tc>
        <w:tc>
          <w:tcPr>
            <w:tcW w:w="850" w:type="dxa"/>
            <w:tcBorders>
              <w:top w:val="single" w:sz="4" w:space="0" w:color="auto"/>
              <w:left w:val="single" w:sz="4" w:space="0" w:color="auto"/>
              <w:bottom w:val="single" w:sz="4" w:space="0" w:color="auto"/>
              <w:right w:val="single" w:sz="4" w:space="0" w:color="auto"/>
            </w:tcBorders>
          </w:tcPr>
          <w:p w14:paraId="776E40F4" w14:textId="77777777" w:rsidR="00D52DE2" w:rsidRPr="000D756E" w:rsidRDefault="00D52DE2" w:rsidP="00D52DE2">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BEC467" w14:textId="621EE1CD" w:rsidR="00D52DE2" w:rsidRPr="000D756E" w:rsidRDefault="00BA1FCD" w:rsidP="00D52DE2">
            <w:pPr>
              <w:jc w:val="right"/>
              <w:rPr>
                <w:rFonts w:ascii="Arial" w:hAnsi="Arial" w:cs="Arial"/>
                <w:b/>
                <w:sz w:val="22"/>
                <w:szCs w:val="22"/>
              </w:rPr>
            </w:pPr>
            <w:r>
              <w:rPr>
                <w:rFonts w:ascii="Arial" w:hAnsi="Arial" w:cs="Arial"/>
                <w:b/>
                <w:sz w:val="22"/>
                <w:szCs w:val="22"/>
              </w:rPr>
              <w:t>122,79</w:t>
            </w:r>
            <w:r w:rsidR="00FA3197">
              <w:rPr>
                <w:rFonts w:ascii="Arial" w:hAnsi="Arial" w:cs="Arial"/>
                <w:b/>
                <w:sz w:val="22"/>
                <w:szCs w:val="22"/>
              </w:rPr>
              <w:t>2</w:t>
            </w:r>
          </w:p>
        </w:tc>
      </w:tr>
    </w:tbl>
    <w:p w14:paraId="40E2780D" w14:textId="29BC6560" w:rsidR="00A90AF2" w:rsidRPr="000D756E" w:rsidRDefault="00B83737" w:rsidP="002A7C01">
      <w:pPr>
        <w:rPr>
          <w:rFonts w:ascii="Arial" w:hAnsi="Arial" w:cs="Arial"/>
          <w:sz w:val="22"/>
          <w:szCs w:val="22"/>
        </w:rPr>
      </w:pPr>
      <w:r w:rsidRPr="000D756E">
        <w:rPr>
          <w:rFonts w:ascii="Arial" w:hAnsi="Arial" w:cs="Arial"/>
          <w:sz w:val="22"/>
          <w:szCs w:val="22"/>
        </w:rPr>
        <w:t>Signed by the Treasurer</w:t>
      </w:r>
    </w:p>
    <w:p w14:paraId="4B245FFE" w14:textId="14EAD264" w:rsidR="00B83737" w:rsidRPr="000D756E" w:rsidRDefault="00B83737" w:rsidP="002A7C01">
      <w:pPr>
        <w:rPr>
          <w:rFonts w:ascii="Arial" w:hAnsi="Arial" w:cs="Arial"/>
          <w:sz w:val="22"/>
          <w:szCs w:val="22"/>
        </w:rPr>
        <w:sectPr w:rsidR="00B83737" w:rsidRPr="000D756E" w:rsidSect="00540FFA">
          <w:headerReference w:type="default" r:id="rId33"/>
          <w:pgSz w:w="11909" w:h="16834" w:code="9"/>
          <w:pgMar w:top="1440" w:right="1440" w:bottom="1440" w:left="1440" w:header="720" w:footer="720" w:gutter="0"/>
          <w:paperSrc w:first="260"/>
          <w:cols w:space="720"/>
        </w:sectPr>
      </w:pPr>
    </w:p>
    <w:p w14:paraId="4D8361DF" w14:textId="77777777" w:rsidR="00BB3A96" w:rsidRPr="000D756E" w:rsidRDefault="00BB3A96" w:rsidP="002A7C01">
      <w:pPr>
        <w:rPr>
          <w:rFonts w:ascii="Arial" w:hAnsi="Arial" w:cs="Arial"/>
          <w:sz w:val="22"/>
          <w:szCs w:val="22"/>
        </w:rPr>
      </w:pPr>
    </w:p>
    <w:tbl>
      <w:tblPr>
        <w:tblW w:w="9322" w:type="dxa"/>
        <w:tblLook w:val="01E0" w:firstRow="1" w:lastRow="1" w:firstColumn="1" w:lastColumn="1" w:noHBand="0" w:noVBand="0"/>
      </w:tblPr>
      <w:tblGrid>
        <w:gridCol w:w="1555"/>
        <w:gridCol w:w="6350"/>
        <w:gridCol w:w="1417"/>
      </w:tblGrid>
      <w:tr w:rsidR="000D756E" w:rsidRPr="000D756E" w14:paraId="74424BAD" w14:textId="77777777" w:rsidTr="008209C5">
        <w:tc>
          <w:tcPr>
            <w:tcW w:w="1555" w:type="dxa"/>
            <w:tcBorders>
              <w:top w:val="single" w:sz="4" w:space="0" w:color="auto"/>
              <w:left w:val="single" w:sz="4" w:space="0" w:color="auto"/>
              <w:bottom w:val="single" w:sz="4" w:space="0" w:color="auto"/>
              <w:right w:val="single" w:sz="4" w:space="0" w:color="auto"/>
            </w:tcBorders>
          </w:tcPr>
          <w:p w14:paraId="13CA21C7" w14:textId="77777777" w:rsidR="00082617" w:rsidRPr="000D756E" w:rsidRDefault="00082617" w:rsidP="00082617">
            <w:pPr>
              <w:jc w:val="right"/>
              <w:rPr>
                <w:rFonts w:ascii="Arial" w:hAnsi="Arial" w:cs="Arial"/>
                <w:b/>
                <w:sz w:val="24"/>
                <w:szCs w:val="24"/>
              </w:rPr>
            </w:pPr>
          </w:p>
          <w:p w14:paraId="4C7E9D71" w14:textId="29FCC1E9" w:rsidR="00082617" w:rsidRPr="000D756E" w:rsidRDefault="00082617" w:rsidP="00082617">
            <w:pPr>
              <w:jc w:val="right"/>
              <w:rPr>
                <w:rFonts w:ascii="Arial" w:hAnsi="Arial" w:cs="Arial"/>
                <w:b/>
                <w:sz w:val="24"/>
                <w:szCs w:val="24"/>
              </w:rPr>
            </w:pPr>
            <w:r w:rsidRPr="000D756E">
              <w:rPr>
                <w:rFonts w:ascii="Arial" w:hAnsi="Arial" w:cs="Arial"/>
                <w:b/>
                <w:sz w:val="24"/>
                <w:szCs w:val="24"/>
              </w:rPr>
              <w:t>202</w:t>
            </w:r>
            <w:r w:rsidR="00DA415E">
              <w:rPr>
                <w:rFonts w:ascii="Arial" w:hAnsi="Arial" w:cs="Arial"/>
                <w:b/>
                <w:sz w:val="24"/>
                <w:szCs w:val="24"/>
              </w:rPr>
              <w:t>3/24</w:t>
            </w:r>
          </w:p>
          <w:p w14:paraId="687BB0F3" w14:textId="306AE333" w:rsidR="00082617" w:rsidRPr="000D756E" w:rsidRDefault="00082617" w:rsidP="00082617">
            <w:pPr>
              <w:jc w:val="right"/>
              <w:rPr>
                <w:rFonts w:ascii="Arial" w:hAnsi="Arial" w:cs="Arial"/>
                <w:b/>
                <w:sz w:val="24"/>
                <w:szCs w:val="24"/>
              </w:rPr>
            </w:pPr>
            <w:r w:rsidRPr="000D756E">
              <w:rPr>
                <w:rFonts w:ascii="Arial" w:hAnsi="Arial" w:cs="Arial"/>
                <w:b/>
                <w:sz w:val="24"/>
                <w:szCs w:val="24"/>
              </w:rPr>
              <w:t>£’000</w:t>
            </w:r>
          </w:p>
        </w:tc>
        <w:tc>
          <w:tcPr>
            <w:tcW w:w="6350" w:type="dxa"/>
            <w:tcBorders>
              <w:top w:val="single" w:sz="4" w:space="0" w:color="auto"/>
              <w:left w:val="single" w:sz="4" w:space="0" w:color="auto"/>
              <w:bottom w:val="single" w:sz="4" w:space="0" w:color="auto"/>
              <w:right w:val="single" w:sz="4" w:space="0" w:color="auto"/>
            </w:tcBorders>
          </w:tcPr>
          <w:p w14:paraId="5168DD06" w14:textId="77777777" w:rsidR="00082617" w:rsidRPr="000D756E" w:rsidRDefault="00082617" w:rsidP="00082617">
            <w:pPr>
              <w:rPr>
                <w:rFonts w:ascii="Arial" w:hAnsi="Arial" w:cs="Arial"/>
                <w:sz w:val="24"/>
                <w:szCs w:val="24"/>
              </w:rPr>
            </w:pPr>
          </w:p>
          <w:p w14:paraId="3EF410E3" w14:textId="77777777" w:rsidR="00082617" w:rsidRPr="000D756E" w:rsidRDefault="00082617" w:rsidP="00082617">
            <w:pPr>
              <w:rPr>
                <w:rFonts w:ascii="Arial" w:hAnsi="Arial" w:cs="Arial"/>
                <w:sz w:val="24"/>
                <w:szCs w:val="24"/>
              </w:rPr>
            </w:pPr>
          </w:p>
          <w:p w14:paraId="3438A8E9" w14:textId="77777777" w:rsidR="00082617" w:rsidRPr="000D756E" w:rsidRDefault="00082617" w:rsidP="00082617">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B4C151" w14:textId="77777777" w:rsidR="00082617" w:rsidRPr="000D756E" w:rsidRDefault="00082617" w:rsidP="00082617">
            <w:pPr>
              <w:jc w:val="right"/>
              <w:rPr>
                <w:rFonts w:ascii="Arial" w:hAnsi="Arial" w:cs="Arial"/>
                <w:b/>
                <w:sz w:val="24"/>
                <w:szCs w:val="24"/>
              </w:rPr>
            </w:pPr>
          </w:p>
          <w:p w14:paraId="3D6935FD" w14:textId="22E015FD" w:rsidR="00082617" w:rsidRPr="000D756E" w:rsidRDefault="00082617" w:rsidP="00082617">
            <w:pPr>
              <w:jc w:val="right"/>
              <w:rPr>
                <w:rFonts w:ascii="Arial" w:hAnsi="Arial" w:cs="Arial"/>
                <w:b/>
                <w:sz w:val="24"/>
                <w:szCs w:val="24"/>
              </w:rPr>
            </w:pPr>
            <w:r w:rsidRPr="000D756E">
              <w:rPr>
                <w:rFonts w:ascii="Arial" w:hAnsi="Arial" w:cs="Arial"/>
                <w:b/>
                <w:sz w:val="24"/>
                <w:szCs w:val="24"/>
              </w:rPr>
              <w:t>202</w:t>
            </w:r>
            <w:r w:rsidR="00DA415E">
              <w:rPr>
                <w:rFonts w:ascii="Arial" w:hAnsi="Arial" w:cs="Arial"/>
                <w:b/>
                <w:sz w:val="24"/>
                <w:szCs w:val="24"/>
              </w:rPr>
              <w:t>4/25</w:t>
            </w:r>
          </w:p>
          <w:p w14:paraId="0849049A" w14:textId="77777777" w:rsidR="00082617" w:rsidRPr="000D756E" w:rsidRDefault="00082617" w:rsidP="00082617">
            <w:pPr>
              <w:jc w:val="right"/>
              <w:rPr>
                <w:rFonts w:ascii="Arial" w:hAnsi="Arial" w:cs="Arial"/>
                <w:b/>
                <w:sz w:val="24"/>
                <w:szCs w:val="24"/>
              </w:rPr>
            </w:pPr>
            <w:r w:rsidRPr="000D756E">
              <w:rPr>
                <w:rFonts w:ascii="Arial" w:hAnsi="Arial" w:cs="Arial"/>
                <w:b/>
                <w:sz w:val="24"/>
                <w:szCs w:val="24"/>
              </w:rPr>
              <w:t>£’000</w:t>
            </w:r>
          </w:p>
        </w:tc>
      </w:tr>
      <w:tr w:rsidR="00DA415E" w:rsidRPr="000D756E" w14:paraId="5B2E48A7" w14:textId="77777777" w:rsidTr="00193ED3">
        <w:tc>
          <w:tcPr>
            <w:tcW w:w="1555" w:type="dxa"/>
            <w:tcBorders>
              <w:left w:val="single" w:sz="4" w:space="0" w:color="auto"/>
              <w:right w:val="single" w:sz="4" w:space="0" w:color="auto"/>
            </w:tcBorders>
          </w:tcPr>
          <w:p w14:paraId="29A8E181" w14:textId="77777777" w:rsidR="00DA415E" w:rsidRPr="000D756E" w:rsidRDefault="00DA415E" w:rsidP="00DA415E">
            <w:pPr>
              <w:jc w:val="right"/>
              <w:rPr>
                <w:rFonts w:ascii="Arial" w:hAnsi="Arial" w:cs="Arial"/>
                <w:sz w:val="24"/>
                <w:szCs w:val="24"/>
              </w:rPr>
            </w:pPr>
          </w:p>
          <w:p w14:paraId="177B6073" w14:textId="4EDFE28F" w:rsidR="00DA415E" w:rsidRPr="000D756E" w:rsidRDefault="00DA415E" w:rsidP="00DA415E">
            <w:pPr>
              <w:jc w:val="right"/>
              <w:rPr>
                <w:rFonts w:ascii="Arial" w:hAnsi="Arial" w:cs="Arial"/>
                <w:sz w:val="24"/>
                <w:szCs w:val="24"/>
              </w:rPr>
            </w:pPr>
            <w:r w:rsidRPr="000D756E">
              <w:rPr>
                <w:rFonts w:ascii="Arial" w:hAnsi="Arial" w:cs="Arial"/>
                <w:sz w:val="24"/>
                <w:szCs w:val="24"/>
              </w:rPr>
              <w:t>-10,681</w:t>
            </w:r>
          </w:p>
        </w:tc>
        <w:tc>
          <w:tcPr>
            <w:tcW w:w="6350" w:type="dxa"/>
            <w:tcBorders>
              <w:top w:val="single" w:sz="4" w:space="0" w:color="auto"/>
              <w:left w:val="single" w:sz="4" w:space="0" w:color="auto"/>
              <w:right w:val="single" w:sz="4" w:space="0" w:color="auto"/>
            </w:tcBorders>
          </w:tcPr>
          <w:p w14:paraId="2F9BA095" w14:textId="77777777" w:rsidR="00DA415E" w:rsidRPr="000D756E" w:rsidRDefault="00DA415E" w:rsidP="00DA415E">
            <w:pPr>
              <w:rPr>
                <w:rFonts w:ascii="Arial" w:hAnsi="Arial" w:cs="Arial"/>
                <w:sz w:val="24"/>
                <w:szCs w:val="24"/>
              </w:rPr>
            </w:pPr>
          </w:p>
          <w:p w14:paraId="006C3EFD" w14:textId="6B570F46" w:rsidR="00DA415E" w:rsidRPr="000D756E" w:rsidRDefault="00DA415E" w:rsidP="00DA415E">
            <w:pPr>
              <w:rPr>
                <w:rFonts w:ascii="Arial" w:hAnsi="Arial" w:cs="Arial"/>
                <w:sz w:val="24"/>
                <w:szCs w:val="24"/>
              </w:rPr>
            </w:pPr>
            <w:r w:rsidRPr="000D756E">
              <w:rPr>
                <w:rFonts w:ascii="Arial" w:hAnsi="Arial" w:cs="Arial"/>
                <w:sz w:val="24"/>
                <w:szCs w:val="24"/>
              </w:rPr>
              <w:t>Net surplus on the provision of services</w:t>
            </w:r>
          </w:p>
          <w:p w14:paraId="53B90EA1" w14:textId="77777777" w:rsidR="00DA415E" w:rsidRPr="000D756E" w:rsidRDefault="00DA415E" w:rsidP="00DA415E">
            <w:pPr>
              <w:rPr>
                <w:rFonts w:ascii="Arial" w:hAnsi="Arial" w:cs="Arial"/>
                <w:sz w:val="24"/>
                <w:szCs w:val="24"/>
              </w:rPr>
            </w:pPr>
          </w:p>
        </w:tc>
        <w:tc>
          <w:tcPr>
            <w:tcW w:w="1417" w:type="dxa"/>
            <w:tcBorders>
              <w:left w:val="single" w:sz="4" w:space="0" w:color="auto"/>
              <w:right w:val="single" w:sz="4" w:space="0" w:color="auto"/>
            </w:tcBorders>
          </w:tcPr>
          <w:p w14:paraId="7DDB78ED" w14:textId="77777777" w:rsidR="00DA415E" w:rsidRDefault="00DA415E" w:rsidP="00DA415E">
            <w:pPr>
              <w:jc w:val="right"/>
              <w:rPr>
                <w:rFonts w:ascii="Arial" w:hAnsi="Arial" w:cs="Arial"/>
                <w:sz w:val="24"/>
                <w:szCs w:val="24"/>
              </w:rPr>
            </w:pPr>
          </w:p>
          <w:p w14:paraId="44FDE45B" w14:textId="24ADA0B5" w:rsidR="00DA415E" w:rsidRPr="000D756E" w:rsidRDefault="00900FC3" w:rsidP="00DA415E">
            <w:pPr>
              <w:jc w:val="right"/>
              <w:rPr>
                <w:rFonts w:ascii="Arial" w:hAnsi="Arial" w:cs="Arial"/>
                <w:sz w:val="24"/>
                <w:szCs w:val="24"/>
              </w:rPr>
            </w:pPr>
            <w:r>
              <w:rPr>
                <w:rFonts w:ascii="Arial" w:hAnsi="Arial" w:cs="Arial"/>
                <w:sz w:val="24"/>
                <w:szCs w:val="24"/>
              </w:rPr>
              <w:t>-9,740</w:t>
            </w:r>
          </w:p>
        </w:tc>
      </w:tr>
      <w:tr w:rsidR="00DA415E" w:rsidRPr="000D756E" w14:paraId="1109023B" w14:textId="77777777" w:rsidTr="00193ED3">
        <w:tc>
          <w:tcPr>
            <w:tcW w:w="1555" w:type="dxa"/>
            <w:tcBorders>
              <w:left w:val="single" w:sz="4" w:space="0" w:color="auto"/>
              <w:right w:val="single" w:sz="4" w:space="0" w:color="auto"/>
            </w:tcBorders>
          </w:tcPr>
          <w:p w14:paraId="7D698A7C" w14:textId="66660A8A" w:rsidR="00DA415E" w:rsidRPr="000D756E" w:rsidRDefault="00DA415E" w:rsidP="00DA415E">
            <w:pPr>
              <w:jc w:val="right"/>
              <w:rPr>
                <w:rFonts w:ascii="Arial" w:hAnsi="Arial" w:cs="Arial"/>
                <w:sz w:val="24"/>
                <w:szCs w:val="24"/>
              </w:rPr>
            </w:pPr>
            <w:r w:rsidRPr="000D756E">
              <w:rPr>
                <w:rFonts w:ascii="Arial" w:hAnsi="Arial" w:cs="Arial"/>
                <w:sz w:val="24"/>
                <w:szCs w:val="24"/>
              </w:rPr>
              <w:t>13,440</w:t>
            </w:r>
          </w:p>
        </w:tc>
        <w:tc>
          <w:tcPr>
            <w:tcW w:w="6350" w:type="dxa"/>
            <w:tcBorders>
              <w:left w:val="single" w:sz="4" w:space="0" w:color="auto"/>
              <w:right w:val="single" w:sz="4" w:space="0" w:color="auto"/>
            </w:tcBorders>
          </w:tcPr>
          <w:p w14:paraId="16445F7D" w14:textId="1AC186F5" w:rsidR="00DA415E" w:rsidRPr="000D756E" w:rsidRDefault="00DA415E" w:rsidP="00DA415E">
            <w:pPr>
              <w:rPr>
                <w:rFonts w:ascii="Arial" w:hAnsi="Arial" w:cs="Arial"/>
                <w:sz w:val="24"/>
                <w:szCs w:val="24"/>
              </w:rPr>
            </w:pPr>
            <w:r w:rsidRPr="000D756E">
              <w:rPr>
                <w:rFonts w:ascii="Arial" w:hAnsi="Arial" w:cs="Arial"/>
                <w:sz w:val="24"/>
                <w:szCs w:val="24"/>
              </w:rPr>
              <w:t>Adjustments to net surplus or deficit on the provision of services for non cash movements (see Note 2</w:t>
            </w:r>
            <w:r w:rsidR="004060CB">
              <w:rPr>
                <w:rFonts w:ascii="Arial" w:hAnsi="Arial" w:cs="Arial"/>
                <w:sz w:val="24"/>
                <w:szCs w:val="24"/>
              </w:rPr>
              <w:t>6</w:t>
            </w:r>
            <w:r w:rsidRPr="000D756E">
              <w:rPr>
                <w:rFonts w:ascii="Arial" w:hAnsi="Arial" w:cs="Arial"/>
                <w:sz w:val="24"/>
                <w:szCs w:val="24"/>
              </w:rPr>
              <w:t>)</w:t>
            </w:r>
          </w:p>
          <w:p w14:paraId="581009C9" w14:textId="77777777" w:rsidR="00DA415E" w:rsidRPr="000D756E" w:rsidRDefault="00DA415E" w:rsidP="00DA415E">
            <w:pPr>
              <w:rPr>
                <w:rFonts w:ascii="Arial" w:hAnsi="Arial" w:cs="Arial"/>
                <w:sz w:val="24"/>
                <w:szCs w:val="24"/>
              </w:rPr>
            </w:pPr>
          </w:p>
        </w:tc>
        <w:tc>
          <w:tcPr>
            <w:tcW w:w="1417" w:type="dxa"/>
            <w:tcBorders>
              <w:left w:val="single" w:sz="4" w:space="0" w:color="auto"/>
              <w:right w:val="single" w:sz="4" w:space="0" w:color="auto"/>
            </w:tcBorders>
          </w:tcPr>
          <w:p w14:paraId="7A5459E1" w14:textId="32B5A43B" w:rsidR="00DA415E" w:rsidRPr="000D756E" w:rsidRDefault="00A65476" w:rsidP="00DA415E">
            <w:pPr>
              <w:jc w:val="right"/>
              <w:rPr>
                <w:rFonts w:ascii="Arial" w:hAnsi="Arial" w:cs="Arial"/>
                <w:sz w:val="24"/>
                <w:szCs w:val="24"/>
              </w:rPr>
            </w:pPr>
            <w:r>
              <w:rPr>
                <w:rFonts w:ascii="Arial" w:hAnsi="Arial" w:cs="Arial"/>
                <w:sz w:val="24"/>
                <w:szCs w:val="24"/>
              </w:rPr>
              <w:t>17,487</w:t>
            </w:r>
          </w:p>
        </w:tc>
      </w:tr>
      <w:tr w:rsidR="00DA415E" w:rsidRPr="000D756E" w14:paraId="53EC8C7F" w14:textId="77777777" w:rsidTr="00193ED3">
        <w:tc>
          <w:tcPr>
            <w:tcW w:w="1555" w:type="dxa"/>
            <w:tcBorders>
              <w:left w:val="single" w:sz="4" w:space="0" w:color="auto"/>
              <w:bottom w:val="single" w:sz="4" w:space="0" w:color="auto"/>
              <w:right w:val="single" w:sz="4" w:space="0" w:color="auto"/>
            </w:tcBorders>
          </w:tcPr>
          <w:p w14:paraId="583CB675" w14:textId="24D56582" w:rsidR="00DA415E" w:rsidRPr="000D756E" w:rsidRDefault="00DA415E" w:rsidP="00DA415E">
            <w:pPr>
              <w:jc w:val="right"/>
              <w:rPr>
                <w:rFonts w:ascii="Arial" w:hAnsi="Arial" w:cs="Arial"/>
                <w:bCs/>
                <w:sz w:val="24"/>
                <w:szCs w:val="24"/>
              </w:rPr>
            </w:pPr>
            <w:r w:rsidRPr="000D756E">
              <w:rPr>
                <w:rFonts w:ascii="Arial" w:hAnsi="Arial" w:cs="Arial"/>
                <w:sz w:val="24"/>
                <w:szCs w:val="24"/>
              </w:rPr>
              <w:t>-309</w:t>
            </w:r>
          </w:p>
        </w:tc>
        <w:tc>
          <w:tcPr>
            <w:tcW w:w="6350" w:type="dxa"/>
            <w:tcBorders>
              <w:left w:val="single" w:sz="4" w:space="0" w:color="auto"/>
              <w:bottom w:val="single" w:sz="4" w:space="0" w:color="auto"/>
              <w:right w:val="single" w:sz="4" w:space="0" w:color="auto"/>
            </w:tcBorders>
          </w:tcPr>
          <w:p w14:paraId="27F77CBC" w14:textId="2FC2C06E" w:rsidR="00DA415E" w:rsidRPr="000D756E" w:rsidRDefault="00DA415E" w:rsidP="00DA415E">
            <w:pPr>
              <w:rPr>
                <w:rFonts w:ascii="Arial" w:hAnsi="Arial" w:cs="Arial"/>
                <w:sz w:val="24"/>
                <w:szCs w:val="24"/>
              </w:rPr>
            </w:pPr>
            <w:r w:rsidRPr="000D756E">
              <w:rPr>
                <w:rFonts w:ascii="Arial" w:hAnsi="Arial" w:cs="Arial"/>
                <w:sz w:val="24"/>
                <w:szCs w:val="24"/>
              </w:rPr>
              <w:t>Adjustments for items included in the net surplus or deficit on the provision of services that are investing and financing activities (see Note 2</w:t>
            </w:r>
            <w:r w:rsidR="004060CB">
              <w:rPr>
                <w:rFonts w:ascii="Arial" w:hAnsi="Arial" w:cs="Arial"/>
                <w:sz w:val="24"/>
                <w:szCs w:val="24"/>
              </w:rPr>
              <w:t>7</w:t>
            </w:r>
            <w:r w:rsidRPr="000D756E">
              <w:rPr>
                <w:rFonts w:ascii="Arial" w:hAnsi="Arial" w:cs="Arial"/>
                <w:sz w:val="24"/>
                <w:szCs w:val="24"/>
              </w:rPr>
              <w:t>)</w:t>
            </w:r>
          </w:p>
          <w:p w14:paraId="5C78F74F" w14:textId="77777777" w:rsidR="00DA415E" w:rsidRPr="000D756E" w:rsidRDefault="00DA415E" w:rsidP="00DA415E">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14:paraId="27B488B0" w14:textId="446A14AF" w:rsidR="00DA415E" w:rsidRPr="000D756E" w:rsidRDefault="00FA1AD5" w:rsidP="00DA415E">
            <w:pPr>
              <w:jc w:val="right"/>
              <w:rPr>
                <w:rFonts w:ascii="Arial" w:hAnsi="Arial" w:cs="Arial"/>
                <w:sz w:val="24"/>
                <w:szCs w:val="24"/>
              </w:rPr>
            </w:pPr>
            <w:r>
              <w:rPr>
                <w:rFonts w:ascii="Arial" w:hAnsi="Arial" w:cs="Arial"/>
                <w:sz w:val="24"/>
                <w:szCs w:val="24"/>
              </w:rPr>
              <w:t>-</w:t>
            </w:r>
            <w:r w:rsidR="004060CB">
              <w:rPr>
                <w:rFonts w:ascii="Arial" w:hAnsi="Arial" w:cs="Arial"/>
                <w:sz w:val="24"/>
                <w:szCs w:val="24"/>
              </w:rPr>
              <w:t>2</w:t>
            </w:r>
            <w:r>
              <w:rPr>
                <w:rFonts w:ascii="Arial" w:hAnsi="Arial" w:cs="Arial"/>
                <w:sz w:val="24"/>
                <w:szCs w:val="24"/>
              </w:rPr>
              <w:t>42</w:t>
            </w:r>
          </w:p>
        </w:tc>
      </w:tr>
      <w:tr w:rsidR="00DA415E" w:rsidRPr="000D756E" w14:paraId="010BA4CF" w14:textId="77777777" w:rsidTr="008209C5">
        <w:tc>
          <w:tcPr>
            <w:tcW w:w="1555" w:type="dxa"/>
            <w:tcBorders>
              <w:top w:val="single" w:sz="4" w:space="0" w:color="auto"/>
              <w:left w:val="single" w:sz="4" w:space="0" w:color="auto"/>
              <w:right w:val="single" w:sz="4" w:space="0" w:color="auto"/>
            </w:tcBorders>
          </w:tcPr>
          <w:p w14:paraId="0ED32D32" w14:textId="0F25C9ED" w:rsidR="00DA415E" w:rsidRPr="000D756E" w:rsidRDefault="00DA415E" w:rsidP="00DA415E">
            <w:pPr>
              <w:jc w:val="right"/>
              <w:rPr>
                <w:rFonts w:ascii="Arial" w:hAnsi="Arial" w:cs="Arial"/>
                <w:sz w:val="24"/>
                <w:szCs w:val="24"/>
              </w:rPr>
            </w:pPr>
            <w:r w:rsidRPr="000D756E">
              <w:rPr>
                <w:rFonts w:ascii="Arial" w:hAnsi="Arial" w:cs="Arial"/>
                <w:sz w:val="24"/>
                <w:szCs w:val="24"/>
              </w:rPr>
              <w:t>2,450</w:t>
            </w:r>
          </w:p>
        </w:tc>
        <w:tc>
          <w:tcPr>
            <w:tcW w:w="6350" w:type="dxa"/>
            <w:tcBorders>
              <w:top w:val="single" w:sz="4" w:space="0" w:color="auto"/>
              <w:left w:val="single" w:sz="4" w:space="0" w:color="auto"/>
              <w:right w:val="single" w:sz="4" w:space="0" w:color="auto"/>
            </w:tcBorders>
          </w:tcPr>
          <w:p w14:paraId="2E6B042C" w14:textId="77777777" w:rsidR="00DA415E" w:rsidRPr="000D756E" w:rsidRDefault="00DA415E" w:rsidP="00DA415E">
            <w:pPr>
              <w:rPr>
                <w:rFonts w:ascii="Arial" w:hAnsi="Arial" w:cs="Arial"/>
                <w:sz w:val="24"/>
                <w:szCs w:val="24"/>
              </w:rPr>
            </w:pPr>
            <w:r w:rsidRPr="000D756E">
              <w:rPr>
                <w:rFonts w:ascii="Arial" w:hAnsi="Arial" w:cs="Arial"/>
                <w:sz w:val="24"/>
                <w:szCs w:val="24"/>
              </w:rPr>
              <w:t>Net cash flows from operating activities</w:t>
            </w:r>
          </w:p>
          <w:p w14:paraId="5A8BE2E6" w14:textId="44AF9F66" w:rsidR="00DA415E" w:rsidRPr="000D756E" w:rsidRDefault="00DA415E" w:rsidP="00DA415E">
            <w:pPr>
              <w:rPr>
                <w:rFonts w:ascii="Arial" w:hAnsi="Arial" w:cs="Arial"/>
                <w:sz w:val="24"/>
                <w:szCs w:val="24"/>
              </w:rPr>
            </w:pPr>
          </w:p>
        </w:tc>
        <w:tc>
          <w:tcPr>
            <w:tcW w:w="1417" w:type="dxa"/>
            <w:tcBorders>
              <w:top w:val="single" w:sz="4" w:space="0" w:color="auto"/>
              <w:left w:val="single" w:sz="4" w:space="0" w:color="auto"/>
              <w:right w:val="single" w:sz="4" w:space="0" w:color="auto"/>
            </w:tcBorders>
          </w:tcPr>
          <w:p w14:paraId="438C865E" w14:textId="3BBDB1B2" w:rsidR="00DA415E" w:rsidRPr="000D756E" w:rsidRDefault="004004C4" w:rsidP="00DA415E">
            <w:pPr>
              <w:jc w:val="right"/>
              <w:rPr>
                <w:rFonts w:ascii="Arial" w:hAnsi="Arial" w:cs="Arial"/>
                <w:sz w:val="24"/>
                <w:szCs w:val="24"/>
              </w:rPr>
            </w:pPr>
            <w:r>
              <w:rPr>
                <w:rFonts w:ascii="Arial" w:hAnsi="Arial" w:cs="Arial"/>
                <w:sz w:val="24"/>
                <w:szCs w:val="24"/>
              </w:rPr>
              <w:t>7,</w:t>
            </w:r>
            <w:r w:rsidR="004060CB">
              <w:rPr>
                <w:rFonts w:ascii="Arial" w:hAnsi="Arial" w:cs="Arial"/>
                <w:sz w:val="24"/>
                <w:szCs w:val="24"/>
              </w:rPr>
              <w:t>5</w:t>
            </w:r>
            <w:r>
              <w:rPr>
                <w:rFonts w:ascii="Arial" w:hAnsi="Arial" w:cs="Arial"/>
                <w:sz w:val="24"/>
                <w:szCs w:val="24"/>
              </w:rPr>
              <w:t>05</w:t>
            </w:r>
          </w:p>
        </w:tc>
      </w:tr>
      <w:tr w:rsidR="00DA415E" w:rsidRPr="000D756E" w14:paraId="208815FD" w14:textId="77777777" w:rsidTr="00892BC5">
        <w:tc>
          <w:tcPr>
            <w:tcW w:w="1555" w:type="dxa"/>
            <w:tcBorders>
              <w:left w:val="single" w:sz="4" w:space="0" w:color="auto"/>
              <w:right w:val="single" w:sz="4" w:space="0" w:color="auto"/>
            </w:tcBorders>
          </w:tcPr>
          <w:p w14:paraId="3109918E" w14:textId="680B409A" w:rsidR="00DA415E" w:rsidRPr="000D756E" w:rsidRDefault="00DA415E" w:rsidP="00DA415E">
            <w:pPr>
              <w:jc w:val="right"/>
              <w:rPr>
                <w:rFonts w:ascii="Arial" w:hAnsi="Arial" w:cs="Arial"/>
                <w:sz w:val="24"/>
                <w:szCs w:val="24"/>
              </w:rPr>
            </w:pPr>
            <w:r w:rsidRPr="000D756E">
              <w:rPr>
                <w:rFonts w:ascii="Arial" w:hAnsi="Arial" w:cs="Arial"/>
                <w:sz w:val="24"/>
                <w:szCs w:val="24"/>
              </w:rPr>
              <w:t>-1,509</w:t>
            </w:r>
          </w:p>
        </w:tc>
        <w:tc>
          <w:tcPr>
            <w:tcW w:w="6350" w:type="dxa"/>
            <w:tcBorders>
              <w:left w:val="single" w:sz="4" w:space="0" w:color="auto"/>
              <w:right w:val="single" w:sz="4" w:space="0" w:color="auto"/>
            </w:tcBorders>
          </w:tcPr>
          <w:p w14:paraId="3F620592" w14:textId="57C3C383" w:rsidR="00DA415E" w:rsidRPr="000D756E" w:rsidRDefault="00DA415E" w:rsidP="00DA415E">
            <w:pPr>
              <w:rPr>
                <w:rFonts w:ascii="Arial" w:hAnsi="Arial" w:cs="Arial"/>
                <w:sz w:val="24"/>
                <w:szCs w:val="24"/>
              </w:rPr>
            </w:pPr>
            <w:r w:rsidRPr="000D756E">
              <w:rPr>
                <w:rFonts w:ascii="Arial" w:hAnsi="Arial" w:cs="Arial"/>
                <w:sz w:val="24"/>
                <w:szCs w:val="24"/>
              </w:rPr>
              <w:t>Investing Activities (see Note 2</w:t>
            </w:r>
            <w:r w:rsidR="004060CB">
              <w:rPr>
                <w:rFonts w:ascii="Arial" w:hAnsi="Arial" w:cs="Arial"/>
                <w:sz w:val="24"/>
                <w:szCs w:val="24"/>
              </w:rPr>
              <w:t>8</w:t>
            </w:r>
            <w:r w:rsidRPr="000D756E">
              <w:rPr>
                <w:rFonts w:ascii="Arial" w:hAnsi="Arial" w:cs="Arial"/>
                <w:sz w:val="24"/>
                <w:szCs w:val="24"/>
              </w:rPr>
              <w:t>)</w:t>
            </w:r>
          </w:p>
          <w:p w14:paraId="2E7C8775" w14:textId="77777777" w:rsidR="00DA415E" w:rsidRPr="000D756E" w:rsidRDefault="00DA415E" w:rsidP="00DA415E">
            <w:pPr>
              <w:rPr>
                <w:rFonts w:ascii="Arial" w:hAnsi="Arial" w:cs="Arial"/>
                <w:sz w:val="24"/>
                <w:szCs w:val="24"/>
              </w:rPr>
            </w:pPr>
          </w:p>
        </w:tc>
        <w:tc>
          <w:tcPr>
            <w:tcW w:w="1417" w:type="dxa"/>
            <w:tcBorders>
              <w:left w:val="single" w:sz="4" w:space="0" w:color="auto"/>
              <w:right w:val="single" w:sz="4" w:space="0" w:color="auto"/>
            </w:tcBorders>
          </w:tcPr>
          <w:p w14:paraId="7A657009" w14:textId="42E7D735" w:rsidR="00DA415E" w:rsidRPr="000D756E" w:rsidRDefault="0053377A" w:rsidP="00DA415E">
            <w:pPr>
              <w:jc w:val="right"/>
              <w:rPr>
                <w:rFonts w:ascii="Arial" w:hAnsi="Arial" w:cs="Arial"/>
                <w:sz w:val="24"/>
                <w:szCs w:val="24"/>
              </w:rPr>
            </w:pPr>
            <w:r>
              <w:rPr>
                <w:rFonts w:ascii="Arial" w:hAnsi="Arial" w:cs="Arial"/>
                <w:sz w:val="24"/>
                <w:szCs w:val="24"/>
              </w:rPr>
              <w:t>-</w:t>
            </w:r>
            <w:r w:rsidR="00613A19">
              <w:rPr>
                <w:rFonts w:ascii="Arial" w:hAnsi="Arial" w:cs="Arial"/>
                <w:sz w:val="24"/>
                <w:szCs w:val="24"/>
              </w:rPr>
              <w:t>5,162</w:t>
            </w:r>
          </w:p>
        </w:tc>
      </w:tr>
      <w:tr w:rsidR="00DA415E" w:rsidRPr="000D756E" w14:paraId="5376EA23" w14:textId="77777777" w:rsidTr="00892BC5">
        <w:tc>
          <w:tcPr>
            <w:tcW w:w="1555" w:type="dxa"/>
            <w:tcBorders>
              <w:left w:val="single" w:sz="4" w:space="0" w:color="auto"/>
              <w:bottom w:val="single" w:sz="4" w:space="0" w:color="auto"/>
              <w:right w:val="single" w:sz="4" w:space="0" w:color="auto"/>
            </w:tcBorders>
          </w:tcPr>
          <w:p w14:paraId="76F4902B" w14:textId="0F7A9BA8" w:rsidR="00DA415E" w:rsidRPr="000D756E" w:rsidRDefault="00DA415E" w:rsidP="00DA415E">
            <w:pPr>
              <w:jc w:val="right"/>
              <w:rPr>
                <w:rFonts w:ascii="Arial" w:hAnsi="Arial" w:cs="Arial"/>
                <w:sz w:val="24"/>
                <w:szCs w:val="24"/>
              </w:rPr>
            </w:pPr>
            <w:r w:rsidRPr="000D756E">
              <w:rPr>
                <w:rFonts w:ascii="Arial" w:hAnsi="Arial" w:cs="Arial"/>
                <w:sz w:val="24"/>
                <w:szCs w:val="24"/>
              </w:rPr>
              <w:t>309</w:t>
            </w:r>
          </w:p>
        </w:tc>
        <w:tc>
          <w:tcPr>
            <w:tcW w:w="6350" w:type="dxa"/>
            <w:tcBorders>
              <w:left w:val="single" w:sz="4" w:space="0" w:color="auto"/>
              <w:bottom w:val="single" w:sz="4" w:space="0" w:color="auto"/>
              <w:right w:val="single" w:sz="4" w:space="0" w:color="auto"/>
            </w:tcBorders>
          </w:tcPr>
          <w:p w14:paraId="2DDE255C" w14:textId="36731B45" w:rsidR="00DA415E" w:rsidRPr="000D756E" w:rsidRDefault="00DA415E" w:rsidP="00DA415E">
            <w:pPr>
              <w:rPr>
                <w:rFonts w:ascii="Arial" w:hAnsi="Arial" w:cs="Arial"/>
                <w:sz w:val="24"/>
                <w:szCs w:val="24"/>
              </w:rPr>
            </w:pPr>
            <w:r w:rsidRPr="000D756E">
              <w:rPr>
                <w:rFonts w:ascii="Arial" w:hAnsi="Arial" w:cs="Arial"/>
                <w:sz w:val="24"/>
                <w:szCs w:val="24"/>
              </w:rPr>
              <w:t xml:space="preserve">Financing Activities (see Note </w:t>
            </w:r>
            <w:r w:rsidR="004060CB">
              <w:rPr>
                <w:rFonts w:ascii="Arial" w:hAnsi="Arial" w:cs="Arial"/>
                <w:sz w:val="24"/>
                <w:szCs w:val="24"/>
              </w:rPr>
              <w:t>29</w:t>
            </w:r>
            <w:r w:rsidRPr="000D756E">
              <w:rPr>
                <w:rFonts w:ascii="Arial" w:hAnsi="Arial" w:cs="Arial"/>
                <w:sz w:val="24"/>
                <w:szCs w:val="24"/>
              </w:rPr>
              <w:t>)</w:t>
            </w:r>
          </w:p>
          <w:p w14:paraId="3E4C189B" w14:textId="77777777" w:rsidR="00DA415E" w:rsidRPr="000D756E" w:rsidRDefault="00DA415E" w:rsidP="00DA415E">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14:paraId="0858D884" w14:textId="7756C02B" w:rsidR="00DA415E" w:rsidRPr="000D756E" w:rsidRDefault="00613A19" w:rsidP="00DA415E">
            <w:pPr>
              <w:jc w:val="right"/>
              <w:rPr>
                <w:rFonts w:ascii="Arial" w:hAnsi="Arial" w:cs="Arial"/>
                <w:sz w:val="24"/>
                <w:szCs w:val="24"/>
              </w:rPr>
            </w:pPr>
            <w:r>
              <w:rPr>
                <w:rFonts w:ascii="Arial" w:hAnsi="Arial" w:cs="Arial"/>
                <w:sz w:val="24"/>
                <w:szCs w:val="24"/>
              </w:rPr>
              <w:t>12</w:t>
            </w:r>
          </w:p>
        </w:tc>
      </w:tr>
      <w:tr w:rsidR="00DA415E" w:rsidRPr="000D756E" w14:paraId="4E7BB171" w14:textId="77777777" w:rsidTr="00892BC5">
        <w:tc>
          <w:tcPr>
            <w:tcW w:w="1555" w:type="dxa"/>
            <w:tcBorders>
              <w:top w:val="single" w:sz="4" w:space="0" w:color="auto"/>
              <w:left w:val="single" w:sz="4" w:space="0" w:color="auto"/>
              <w:bottom w:val="single" w:sz="4" w:space="0" w:color="auto"/>
              <w:right w:val="single" w:sz="4" w:space="0" w:color="auto"/>
            </w:tcBorders>
          </w:tcPr>
          <w:p w14:paraId="3FF91283" w14:textId="665FB0B5" w:rsidR="00DA415E" w:rsidRPr="000D756E" w:rsidRDefault="00DA415E" w:rsidP="00DA415E">
            <w:pPr>
              <w:jc w:val="right"/>
              <w:rPr>
                <w:rFonts w:ascii="Arial" w:hAnsi="Arial" w:cs="Arial"/>
                <w:sz w:val="24"/>
                <w:szCs w:val="24"/>
              </w:rPr>
            </w:pPr>
            <w:r w:rsidRPr="000D756E">
              <w:rPr>
                <w:rFonts w:ascii="Arial" w:hAnsi="Arial" w:cs="Arial"/>
                <w:sz w:val="24"/>
                <w:szCs w:val="24"/>
              </w:rPr>
              <w:t>1,250</w:t>
            </w:r>
          </w:p>
        </w:tc>
        <w:tc>
          <w:tcPr>
            <w:tcW w:w="6350" w:type="dxa"/>
            <w:tcBorders>
              <w:top w:val="single" w:sz="4" w:space="0" w:color="auto"/>
              <w:left w:val="single" w:sz="4" w:space="0" w:color="auto"/>
              <w:right w:val="single" w:sz="4" w:space="0" w:color="auto"/>
            </w:tcBorders>
          </w:tcPr>
          <w:p w14:paraId="0AE899CD" w14:textId="77777777" w:rsidR="00DA415E" w:rsidRPr="000D756E" w:rsidRDefault="00DA415E" w:rsidP="00DA415E">
            <w:pPr>
              <w:rPr>
                <w:rFonts w:ascii="Arial" w:hAnsi="Arial" w:cs="Arial"/>
                <w:sz w:val="24"/>
                <w:szCs w:val="24"/>
              </w:rPr>
            </w:pPr>
            <w:r w:rsidRPr="000D756E">
              <w:rPr>
                <w:rFonts w:ascii="Arial" w:hAnsi="Arial" w:cs="Arial"/>
                <w:sz w:val="24"/>
                <w:szCs w:val="24"/>
              </w:rPr>
              <w:t>Net increase or decrease in cash and cash equivalents</w:t>
            </w:r>
          </w:p>
          <w:p w14:paraId="1861139C" w14:textId="77777777" w:rsidR="00DA415E" w:rsidRPr="000D756E" w:rsidRDefault="00DA415E" w:rsidP="00DA415E">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39FBBF" w14:textId="049335FE" w:rsidR="00DA415E" w:rsidRPr="000D756E" w:rsidRDefault="00A6313D" w:rsidP="00DA415E">
            <w:pPr>
              <w:jc w:val="right"/>
              <w:rPr>
                <w:rFonts w:ascii="Arial" w:hAnsi="Arial" w:cs="Arial"/>
                <w:sz w:val="24"/>
                <w:szCs w:val="24"/>
              </w:rPr>
            </w:pPr>
            <w:r>
              <w:rPr>
                <w:rFonts w:ascii="Arial" w:hAnsi="Arial" w:cs="Arial"/>
                <w:sz w:val="24"/>
                <w:szCs w:val="24"/>
              </w:rPr>
              <w:t>2,375</w:t>
            </w:r>
          </w:p>
        </w:tc>
      </w:tr>
      <w:tr w:rsidR="00DA415E" w:rsidRPr="000D756E" w14:paraId="2FEF7058" w14:textId="77777777" w:rsidTr="00470C08">
        <w:tc>
          <w:tcPr>
            <w:tcW w:w="1555" w:type="dxa"/>
            <w:tcBorders>
              <w:top w:val="single" w:sz="4" w:space="0" w:color="auto"/>
              <w:left w:val="single" w:sz="4" w:space="0" w:color="auto"/>
              <w:bottom w:val="single" w:sz="4" w:space="0" w:color="auto"/>
              <w:right w:val="single" w:sz="4" w:space="0" w:color="auto"/>
            </w:tcBorders>
          </w:tcPr>
          <w:p w14:paraId="3B671554" w14:textId="432AFEC8" w:rsidR="00DA415E" w:rsidRPr="000D756E" w:rsidRDefault="00DA415E" w:rsidP="00DA415E">
            <w:pPr>
              <w:jc w:val="right"/>
              <w:rPr>
                <w:rFonts w:ascii="Arial" w:hAnsi="Arial" w:cs="Arial"/>
                <w:sz w:val="24"/>
                <w:szCs w:val="24"/>
              </w:rPr>
            </w:pPr>
            <w:r w:rsidRPr="000D756E">
              <w:rPr>
                <w:rFonts w:ascii="Arial" w:hAnsi="Arial" w:cs="Arial"/>
                <w:sz w:val="24"/>
                <w:szCs w:val="24"/>
              </w:rPr>
              <w:t>4,762</w:t>
            </w:r>
          </w:p>
        </w:tc>
        <w:tc>
          <w:tcPr>
            <w:tcW w:w="6350" w:type="dxa"/>
            <w:tcBorders>
              <w:left w:val="single" w:sz="4" w:space="0" w:color="auto"/>
              <w:bottom w:val="single" w:sz="4" w:space="0" w:color="auto"/>
              <w:right w:val="single" w:sz="4" w:space="0" w:color="auto"/>
            </w:tcBorders>
          </w:tcPr>
          <w:p w14:paraId="613954F6" w14:textId="77777777" w:rsidR="00DA415E" w:rsidRPr="000D756E" w:rsidRDefault="00DA415E" w:rsidP="00DA415E">
            <w:pPr>
              <w:rPr>
                <w:rFonts w:ascii="Arial" w:hAnsi="Arial" w:cs="Arial"/>
                <w:sz w:val="24"/>
                <w:szCs w:val="24"/>
              </w:rPr>
            </w:pPr>
            <w:r w:rsidRPr="000D756E">
              <w:rPr>
                <w:rFonts w:ascii="Arial" w:hAnsi="Arial" w:cs="Arial"/>
                <w:sz w:val="24"/>
                <w:szCs w:val="24"/>
              </w:rPr>
              <w:t>Cash and cash equivalents at the beginning of the period</w:t>
            </w:r>
          </w:p>
          <w:p w14:paraId="6F7D5DAC" w14:textId="77777777" w:rsidR="00DA415E" w:rsidRPr="000D756E" w:rsidRDefault="00DA415E" w:rsidP="00DA415E">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77F7670" w14:textId="6433B7F4" w:rsidR="00DA415E" w:rsidRPr="000D756E" w:rsidRDefault="00DF0EA0" w:rsidP="00DA415E">
            <w:pPr>
              <w:jc w:val="right"/>
              <w:rPr>
                <w:rFonts w:ascii="Arial" w:hAnsi="Arial" w:cs="Arial"/>
                <w:sz w:val="24"/>
                <w:szCs w:val="24"/>
              </w:rPr>
            </w:pPr>
            <w:r>
              <w:rPr>
                <w:rFonts w:ascii="Arial" w:hAnsi="Arial" w:cs="Arial"/>
                <w:sz w:val="24"/>
                <w:szCs w:val="24"/>
              </w:rPr>
              <w:t>6,012</w:t>
            </w:r>
          </w:p>
        </w:tc>
      </w:tr>
      <w:tr w:rsidR="00DA415E" w:rsidRPr="000D756E" w14:paraId="043CD637" w14:textId="77777777" w:rsidTr="00470C08">
        <w:tc>
          <w:tcPr>
            <w:tcW w:w="1555" w:type="dxa"/>
            <w:tcBorders>
              <w:top w:val="single" w:sz="4" w:space="0" w:color="auto"/>
              <w:left w:val="single" w:sz="4" w:space="0" w:color="auto"/>
              <w:bottom w:val="single" w:sz="4" w:space="0" w:color="auto"/>
              <w:right w:val="single" w:sz="4" w:space="0" w:color="auto"/>
            </w:tcBorders>
          </w:tcPr>
          <w:p w14:paraId="448E9324" w14:textId="4EA37C28" w:rsidR="00DA415E" w:rsidRPr="000D756E" w:rsidRDefault="00DA415E" w:rsidP="00DA415E">
            <w:pPr>
              <w:jc w:val="right"/>
              <w:rPr>
                <w:rFonts w:ascii="Arial" w:hAnsi="Arial" w:cs="Arial"/>
                <w:b/>
                <w:sz w:val="24"/>
                <w:szCs w:val="24"/>
              </w:rPr>
            </w:pPr>
            <w:r w:rsidRPr="000D756E">
              <w:rPr>
                <w:rFonts w:ascii="Arial" w:hAnsi="Arial" w:cs="Arial"/>
                <w:b/>
                <w:sz w:val="24"/>
                <w:szCs w:val="24"/>
              </w:rPr>
              <w:t>6,012</w:t>
            </w:r>
          </w:p>
        </w:tc>
        <w:tc>
          <w:tcPr>
            <w:tcW w:w="6350" w:type="dxa"/>
            <w:tcBorders>
              <w:top w:val="single" w:sz="4" w:space="0" w:color="auto"/>
              <w:left w:val="single" w:sz="4" w:space="0" w:color="auto"/>
              <w:bottom w:val="single" w:sz="4" w:space="0" w:color="auto"/>
              <w:right w:val="single" w:sz="4" w:space="0" w:color="auto"/>
            </w:tcBorders>
          </w:tcPr>
          <w:p w14:paraId="4713C97D" w14:textId="77777777" w:rsidR="00DA415E" w:rsidRPr="000D756E" w:rsidRDefault="00DA415E" w:rsidP="00DA415E">
            <w:pPr>
              <w:rPr>
                <w:rFonts w:ascii="Arial" w:hAnsi="Arial" w:cs="Arial"/>
                <w:b/>
                <w:sz w:val="24"/>
                <w:szCs w:val="24"/>
              </w:rPr>
            </w:pPr>
            <w:r w:rsidRPr="000D756E">
              <w:rPr>
                <w:rFonts w:ascii="Arial" w:hAnsi="Arial" w:cs="Arial"/>
                <w:b/>
                <w:sz w:val="24"/>
                <w:szCs w:val="24"/>
              </w:rPr>
              <w:t>Cash and cash equivalents at the end of the reporting period</w:t>
            </w:r>
          </w:p>
        </w:tc>
        <w:tc>
          <w:tcPr>
            <w:tcW w:w="1417" w:type="dxa"/>
            <w:tcBorders>
              <w:top w:val="single" w:sz="4" w:space="0" w:color="auto"/>
              <w:left w:val="single" w:sz="4" w:space="0" w:color="auto"/>
              <w:bottom w:val="single" w:sz="4" w:space="0" w:color="auto"/>
              <w:right w:val="single" w:sz="4" w:space="0" w:color="auto"/>
            </w:tcBorders>
          </w:tcPr>
          <w:p w14:paraId="5D258A70" w14:textId="691D1F35" w:rsidR="00DA415E" w:rsidRPr="000D756E" w:rsidRDefault="0093413E" w:rsidP="00DA415E">
            <w:pPr>
              <w:jc w:val="right"/>
              <w:rPr>
                <w:rFonts w:ascii="Arial" w:hAnsi="Arial" w:cs="Arial"/>
                <w:b/>
                <w:sz w:val="24"/>
                <w:szCs w:val="24"/>
              </w:rPr>
            </w:pPr>
            <w:r>
              <w:rPr>
                <w:rFonts w:ascii="Arial" w:hAnsi="Arial" w:cs="Arial"/>
                <w:b/>
                <w:sz w:val="24"/>
                <w:szCs w:val="24"/>
              </w:rPr>
              <w:t>8,387</w:t>
            </w:r>
          </w:p>
        </w:tc>
      </w:tr>
    </w:tbl>
    <w:p w14:paraId="2CF2A232" w14:textId="77777777" w:rsidR="00F21BCC" w:rsidRPr="000D756E" w:rsidRDefault="00F21BCC" w:rsidP="002A7C01">
      <w:pPr>
        <w:sectPr w:rsidR="00F21BCC" w:rsidRPr="000D756E" w:rsidSect="00540FFA">
          <w:headerReference w:type="default" r:id="rId34"/>
          <w:pgSz w:w="11909" w:h="16834" w:code="9"/>
          <w:pgMar w:top="1440" w:right="1440" w:bottom="1440" w:left="1440" w:header="720" w:footer="720" w:gutter="0"/>
          <w:paperSrc w:first="260"/>
          <w:cols w:space="720"/>
        </w:sectPr>
      </w:pPr>
    </w:p>
    <w:p w14:paraId="73452410" w14:textId="77777777" w:rsidR="005C5AE3" w:rsidRPr="000D756E" w:rsidRDefault="005C5AE3" w:rsidP="002A7C01">
      <w:pPr>
        <w:rPr>
          <w:rFonts w:ascii="Arial" w:hAnsi="Arial" w:cs="Arial"/>
          <w:sz w:val="24"/>
          <w:szCs w:val="24"/>
        </w:rPr>
      </w:pPr>
    </w:p>
    <w:p w14:paraId="3E857A17" w14:textId="77777777" w:rsidR="004D4099" w:rsidRPr="000D756E" w:rsidRDefault="00BE3E59" w:rsidP="001C227A">
      <w:pPr>
        <w:pStyle w:val="Heading2"/>
        <w:numPr>
          <w:ilvl w:val="0"/>
          <w:numId w:val="15"/>
        </w:numPr>
        <w:rPr>
          <w:rFonts w:cs="Arial"/>
          <w:caps w:val="0"/>
          <w:szCs w:val="24"/>
        </w:rPr>
      </w:pPr>
      <w:r w:rsidRPr="000D756E">
        <w:rPr>
          <w:rFonts w:cs="Arial"/>
          <w:caps w:val="0"/>
          <w:szCs w:val="24"/>
        </w:rPr>
        <w:t>ACCOUNTING POLICIES</w:t>
      </w:r>
      <w:r w:rsidR="002267B6" w:rsidRPr="000D756E">
        <w:rPr>
          <w:rFonts w:cs="Arial"/>
          <w:caps w:val="0"/>
          <w:szCs w:val="24"/>
        </w:rPr>
        <w:t xml:space="preserve"> </w:t>
      </w:r>
    </w:p>
    <w:p w14:paraId="7F121FAF" w14:textId="77777777" w:rsidR="00490391" w:rsidRPr="000D756E" w:rsidRDefault="00490391" w:rsidP="002A7C01">
      <w:pPr>
        <w:rPr>
          <w:rFonts w:ascii="Arial" w:hAnsi="Arial" w:cs="Arial"/>
          <w:sz w:val="24"/>
          <w:szCs w:val="24"/>
        </w:rPr>
      </w:pPr>
    </w:p>
    <w:p w14:paraId="75568371" w14:textId="0274C695" w:rsidR="00997008" w:rsidRPr="000D756E" w:rsidRDefault="00F670E8" w:rsidP="002A7C01">
      <w:pPr>
        <w:rPr>
          <w:rFonts w:ascii="Arial" w:hAnsi="Arial" w:cs="Arial"/>
          <w:b/>
          <w:sz w:val="24"/>
          <w:szCs w:val="24"/>
        </w:rPr>
      </w:pPr>
      <w:r w:rsidRPr="000D756E">
        <w:rPr>
          <w:rFonts w:ascii="Arial" w:hAnsi="Arial" w:cs="Arial"/>
          <w:b/>
          <w:sz w:val="24"/>
          <w:szCs w:val="24"/>
        </w:rPr>
        <w:t>Accounting standards that have been issued but have not yet been adopted</w:t>
      </w:r>
    </w:p>
    <w:p w14:paraId="12FD8475" w14:textId="77777777" w:rsidR="00997008" w:rsidRPr="000D756E" w:rsidRDefault="00997008" w:rsidP="002A7C01">
      <w:pPr>
        <w:rPr>
          <w:rFonts w:ascii="Arial" w:hAnsi="Arial" w:cs="Arial"/>
          <w:bCs/>
          <w:sz w:val="24"/>
          <w:szCs w:val="24"/>
        </w:rPr>
      </w:pPr>
    </w:p>
    <w:p w14:paraId="22CF4077" w14:textId="77777777" w:rsidR="00904F40" w:rsidRPr="000D756E" w:rsidRDefault="00997008" w:rsidP="002A7C01">
      <w:pPr>
        <w:rPr>
          <w:rFonts w:ascii="Arial" w:hAnsi="Arial" w:cs="Arial"/>
          <w:bCs/>
          <w:sz w:val="24"/>
          <w:szCs w:val="24"/>
        </w:rPr>
      </w:pPr>
      <w:r w:rsidRPr="000D756E">
        <w:rPr>
          <w:rFonts w:ascii="Arial" w:hAnsi="Arial" w:cs="Arial"/>
          <w:bCs/>
          <w:sz w:val="24"/>
          <w:szCs w:val="24"/>
        </w:rPr>
        <w:t>The Code requires the disclosure of information relating to the impact of an accounting change that will be required by a new standard that has been issued but not yet adopted by the Authority.</w:t>
      </w:r>
      <w:r w:rsidR="00F14567" w:rsidRPr="000D756E">
        <w:rPr>
          <w:rFonts w:ascii="Arial" w:hAnsi="Arial" w:cs="Arial"/>
          <w:bCs/>
          <w:sz w:val="24"/>
          <w:szCs w:val="24"/>
        </w:rPr>
        <w:t xml:space="preserve"> </w:t>
      </w:r>
    </w:p>
    <w:p w14:paraId="75748466" w14:textId="77777777" w:rsidR="0073200E" w:rsidRPr="000D756E" w:rsidRDefault="0073200E" w:rsidP="002A7C01">
      <w:pPr>
        <w:rPr>
          <w:rFonts w:ascii="Arial" w:hAnsi="Arial" w:cs="Arial"/>
          <w:bCs/>
          <w:sz w:val="24"/>
          <w:szCs w:val="24"/>
        </w:rPr>
      </w:pPr>
    </w:p>
    <w:p w14:paraId="79E0341A" w14:textId="77777777" w:rsidR="0073200E" w:rsidRPr="000D756E" w:rsidRDefault="0073200E" w:rsidP="0073200E">
      <w:pPr>
        <w:rPr>
          <w:rFonts w:ascii="Arial" w:hAnsi="Arial" w:cs="Arial"/>
          <w:bCs/>
          <w:sz w:val="24"/>
          <w:szCs w:val="24"/>
        </w:rPr>
      </w:pPr>
      <w:r w:rsidRPr="000D756E">
        <w:rPr>
          <w:rFonts w:ascii="Arial" w:hAnsi="Arial" w:cs="Arial"/>
          <w:bCs/>
          <w:sz w:val="24"/>
          <w:szCs w:val="24"/>
        </w:rPr>
        <w:t>There are no standards issued that will have a material effect on the financial statements.</w:t>
      </w:r>
    </w:p>
    <w:p w14:paraId="249697E7" w14:textId="77777777" w:rsidR="001E1FA5" w:rsidRPr="000D756E" w:rsidRDefault="001E1FA5" w:rsidP="002A7C01">
      <w:pPr>
        <w:rPr>
          <w:rFonts w:ascii="Arial" w:hAnsi="Arial" w:cs="Arial"/>
          <w:bCs/>
          <w:sz w:val="24"/>
          <w:szCs w:val="24"/>
        </w:rPr>
      </w:pPr>
    </w:p>
    <w:p w14:paraId="1D4C72AC" w14:textId="77777777" w:rsidR="00A866A6" w:rsidRPr="000D756E" w:rsidRDefault="00474BA8" w:rsidP="0088720D">
      <w:pPr>
        <w:rPr>
          <w:rFonts w:ascii="Arial" w:hAnsi="Arial" w:cs="Arial"/>
          <w:b/>
          <w:sz w:val="24"/>
          <w:szCs w:val="24"/>
        </w:rPr>
      </w:pPr>
      <w:r w:rsidRPr="000D756E">
        <w:rPr>
          <w:rFonts w:ascii="Arial" w:hAnsi="Arial" w:cs="Arial"/>
          <w:b/>
          <w:sz w:val="24"/>
          <w:szCs w:val="24"/>
        </w:rPr>
        <w:t xml:space="preserve">IFRS16 </w:t>
      </w:r>
      <w:r w:rsidR="00A866A6" w:rsidRPr="000D756E">
        <w:rPr>
          <w:rFonts w:ascii="Arial" w:hAnsi="Arial" w:cs="Arial"/>
          <w:b/>
          <w:sz w:val="24"/>
          <w:szCs w:val="24"/>
        </w:rPr>
        <w:t>Leases</w:t>
      </w:r>
    </w:p>
    <w:p w14:paraId="1AD78512" w14:textId="22A89DF8" w:rsidR="00CC57E6" w:rsidRPr="000D756E" w:rsidRDefault="00A866A6" w:rsidP="0088720D">
      <w:pPr>
        <w:rPr>
          <w:rFonts w:ascii="Arial" w:hAnsi="Arial" w:cs="Arial"/>
          <w:bCs/>
          <w:sz w:val="24"/>
          <w:szCs w:val="24"/>
        </w:rPr>
      </w:pPr>
      <w:r w:rsidRPr="000D756E">
        <w:rPr>
          <w:rFonts w:ascii="Arial" w:hAnsi="Arial" w:cs="Arial"/>
          <w:bCs/>
          <w:sz w:val="24"/>
          <w:szCs w:val="24"/>
        </w:rPr>
        <w:t xml:space="preserve">This standard sets out the principles for the recognition, measurement, presentation and disclosure of leases and </w:t>
      </w:r>
      <w:r w:rsidR="003A2B02" w:rsidRPr="000D756E">
        <w:rPr>
          <w:rFonts w:ascii="Arial" w:hAnsi="Arial" w:cs="Arial"/>
          <w:bCs/>
          <w:sz w:val="24"/>
          <w:szCs w:val="24"/>
        </w:rPr>
        <w:t xml:space="preserve">replaces the previous standards IAS17 </w:t>
      </w:r>
      <w:r w:rsidR="003A2B02" w:rsidRPr="000D756E">
        <w:rPr>
          <w:rFonts w:ascii="Arial" w:hAnsi="Arial" w:cs="Arial"/>
          <w:bCs/>
          <w:i/>
          <w:iCs/>
          <w:sz w:val="24"/>
          <w:szCs w:val="24"/>
        </w:rPr>
        <w:t xml:space="preserve">Leases </w:t>
      </w:r>
      <w:r w:rsidR="003A2B02" w:rsidRPr="000D756E">
        <w:rPr>
          <w:rFonts w:ascii="Arial" w:hAnsi="Arial" w:cs="Arial"/>
          <w:bCs/>
          <w:sz w:val="24"/>
          <w:szCs w:val="24"/>
        </w:rPr>
        <w:t xml:space="preserve">and related </w:t>
      </w:r>
      <w:r w:rsidR="00CC57E6" w:rsidRPr="000D756E">
        <w:rPr>
          <w:rFonts w:ascii="Arial" w:hAnsi="Arial" w:cs="Arial"/>
          <w:bCs/>
          <w:sz w:val="24"/>
          <w:szCs w:val="24"/>
        </w:rPr>
        <w:t>IFRIC and SIC interpretations.</w:t>
      </w:r>
    </w:p>
    <w:p w14:paraId="3C7EF0FD" w14:textId="77777777" w:rsidR="00CC57E6" w:rsidRPr="000D756E" w:rsidRDefault="00CC57E6" w:rsidP="0088720D">
      <w:pPr>
        <w:rPr>
          <w:rFonts w:ascii="Arial" w:hAnsi="Arial" w:cs="Arial"/>
          <w:bCs/>
          <w:sz w:val="24"/>
          <w:szCs w:val="24"/>
        </w:rPr>
      </w:pPr>
    </w:p>
    <w:p w14:paraId="4E696746" w14:textId="527292F4" w:rsidR="00CC57E6" w:rsidRPr="000D756E" w:rsidRDefault="00C05C19" w:rsidP="0088720D">
      <w:pPr>
        <w:rPr>
          <w:rFonts w:ascii="Arial" w:hAnsi="Arial" w:cs="Arial"/>
          <w:bCs/>
          <w:sz w:val="24"/>
          <w:szCs w:val="24"/>
        </w:rPr>
      </w:pPr>
      <w:r w:rsidRPr="000D756E">
        <w:rPr>
          <w:rFonts w:ascii="Arial" w:hAnsi="Arial" w:cs="Arial"/>
          <w:bCs/>
          <w:sz w:val="24"/>
          <w:szCs w:val="24"/>
        </w:rPr>
        <w:t>The Authority does not hold any leases and therefore the introduction of this standard will not have a material effect on the financial statements.</w:t>
      </w:r>
    </w:p>
    <w:p w14:paraId="28D230D8" w14:textId="77777777" w:rsidR="00CC57E6" w:rsidRPr="000D756E" w:rsidRDefault="00CC57E6" w:rsidP="0088720D">
      <w:pPr>
        <w:rPr>
          <w:rFonts w:ascii="Arial" w:hAnsi="Arial" w:cs="Arial"/>
          <w:bCs/>
          <w:sz w:val="24"/>
          <w:szCs w:val="24"/>
        </w:rPr>
      </w:pPr>
    </w:p>
    <w:p w14:paraId="0560AB4D" w14:textId="77777777" w:rsidR="004D4099" w:rsidRPr="000D756E" w:rsidRDefault="004D4099" w:rsidP="002A7C01">
      <w:pPr>
        <w:rPr>
          <w:rFonts w:ascii="Arial" w:hAnsi="Arial" w:cs="Arial"/>
          <w:sz w:val="24"/>
          <w:szCs w:val="24"/>
        </w:rPr>
      </w:pPr>
    </w:p>
    <w:p w14:paraId="1EE18CCC" w14:textId="77777777" w:rsidR="004D4099" w:rsidRPr="000D756E" w:rsidRDefault="00BE3E59" w:rsidP="001C227A">
      <w:pPr>
        <w:pStyle w:val="Heading2"/>
        <w:numPr>
          <w:ilvl w:val="0"/>
          <w:numId w:val="15"/>
        </w:numPr>
        <w:rPr>
          <w:rFonts w:cs="Arial"/>
          <w:caps w:val="0"/>
          <w:szCs w:val="24"/>
        </w:rPr>
      </w:pPr>
      <w:r w:rsidRPr="000D756E">
        <w:rPr>
          <w:rFonts w:cs="Arial"/>
          <w:caps w:val="0"/>
          <w:szCs w:val="24"/>
        </w:rPr>
        <w:t>ASSUMPTIONS MADE ABOUT THE FUTURE</w:t>
      </w:r>
      <w:r w:rsidR="00EB06EE" w:rsidRPr="000D756E">
        <w:rPr>
          <w:rFonts w:cs="Arial"/>
          <w:caps w:val="0"/>
          <w:szCs w:val="24"/>
        </w:rPr>
        <w:t>,</w:t>
      </w:r>
      <w:r w:rsidRPr="000D756E">
        <w:rPr>
          <w:rFonts w:cs="Arial"/>
          <w:caps w:val="0"/>
          <w:szCs w:val="24"/>
        </w:rPr>
        <w:t xml:space="preserve"> OTHER MAJOR SOURCES OF ESTIMATION UNCERTAINTY</w:t>
      </w:r>
      <w:r w:rsidR="00EB06EE" w:rsidRPr="000D756E">
        <w:rPr>
          <w:rFonts w:cs="Arial"/>
          <w:caps w:val="0"/>
          <w:szCs w:val="24"/>
        </w:rPr>
        <w:t xml:space="preserve"> AND CRITICAL JUDGEMENTS</w:t>
      </w:r>
      <w:r w:rsidR="002267B6" w:rsidRPr="000D756E">
        <w:rPr>
          <w:rFonts w:cs="Arial"/>
          <w:caps w:val="0"/>
          <w:szCs w:val="24"/>
        </w:rPr>
        <w:t xml:space="preserve"> </w:t>
      </w:r>
    </w:p>
    <w:p w14:paraId="4DE333CB" w14:textId="77777777" w:rsidR="004D4099" w:rsidRPr="000D756E" w:rsidRDefault="004D4099" w:rsidP="002A7C01">
      <w:pPr>
        <w:rPr>
          <w:sz w:val="24"/>
          <w:szCs w:val="24"/>
        </w:rPr>
      </w:pPr>
    </w:p>
    <w:p w14:paraId="0710FC1F" w14:textId="77777777" w:rsidR="009B08BD" w:rsidRPr="000D756E" w:rsidRDefault="00D60AA9" w:rsidP="002A7C01">
      <w:pPr>
        <w:rPr>
          <w:rFonts w:ascii="Arial" w:hAnsi="Arial" w:cs="Arial"/>
          <w:sz w:val="24"/>
          <w:szCs w:val="24"/>
        </w:rPr>
      </w:pPr>
      <w:r w:rsidRPr="000D756E">
        <w:rPr>
          <w:rFonts w:ascii="Arial" w:hAnsi="Arial" w:cs="Arial"/>
          <w:sz w:val="24"/>
          <w:szCs w:val="24"/>
        </w:rPr>
        <w:t xml:space="preserve">The Statement of Accounts contains estimated </w:t>
      </w:r>
      <w:r w:rsidR="00A07EC2" w:rsidRPr="000D756E">
        <w:rPr>
          <w:rFonts w:ascii="Arial" w:hAnsi="Arial" w:cs="Arial"/>
          <w:sz w:val="24"/>
          <w:szCs w:val="24"/>
        </w:rPr>
        <w:t>figures based</w:t>
      </w:r>
      <w:r w:rsidRPr="000D756E">
        <w:rPr>
          <w:rFonts w:ascii="Arial" w:hAnsi="Arial" w:cs="Arial"/>
          <w:sz w:val="24"/>
          <w:szCs w:val="24"/>
        </w:rPr>
        <w:t xml:space="preserve"> on assumptions made by the Authority about the future or that are otherwise uncertain. </w:t>
      </w:r>
      <w:r w:rsidR="00397A85" w:rsidRPr="000D756E">
        <w:rPr>
          <w:rFonts w:ascii="Arial" w:hAnsi="Arial" w:cs="Arial"/>
          <w:sz w:val="24"/>
          <w:szCs w:val="24"/>
        </w:rPr>
        <w:t xml:space="preserve">As some </w:t>
      </w:r>
      <w:r w:rsidR="009B08BD" w:rsidRPr="000D756E">
        <w:rPr>
          <w:rFonts w:ascii="Arial" w:hAnsi="Arial" w:cs="Arial"/>
          <w:sz w:val="24"/>
          <w:szCs w:val="24"/>
        </w:rPr>
        <w:t>balances cannot be determined with certainty, actual results could be materially different from the assumptions and estimates.</w:t>
      </w:r>
    </w:p>
    <w:p w14:paraId="20467D0C" w14:textId="77777777" w:rsidR="009B08BD" w:rsidRPr="000D756E" w:rsidRDefault="009B08BD" w:rsidP="002A7C01">
      <w:pPr>
        <w:rPr>
          <w:rFonts w:ascii="Arial" w:hAnsi="Arial" w:cs="Arial"/>
          <w:sz w:val="24"/>
          <w:szCs w:val="24"/>
        </w:rPr>
      </w:pPr>
    </w:p>
    <w:p w14:paraId="2046C9BD" w14:textId="31A4F48C" w:rsidR="00D60AA9" w:rsidRPr="000D756E" w:rsidRDefault="00D60AA9" w:rsidP="002A7C01">
      <w:pPr>
        <w:rPr>
          <w:rFonts w:ascii="Arial" w:hAnsi="Arial" w:cs="Arial"/>
          <w:sz w:val="24"/>
          <w:szCs w:val="24"/>
        </w:rPr>
      </w:pPr>
      <w:r w:rsidRPr="000D756E">
        <w:rPr>
          <w:rFonts w:ascii="Arial" w:hAnsi="Arial" w:cs="Arial"/>
          <w:sz w:val="24"/>
          <w:szCs w:val="24"/>
        </w:rPr>
        <w:t>Estimates are made taking into account historical experience, current trends and other relevant factors</w:t>
      </w:r>
      <w:r w:rsidR="0012461E" w:rsidRPr="000D756E">
        <w:rPr>
          <w:rFonts w:ascii="Arial" w:hAnsi="Arial" w:cs="Arial"/>
          <w:sz w:val="24"/>
          <w:szCs w:val="24"/>
        </w:rPr>
        <w:t>:</w:t>
      </w:r>
    </w:p>
    <w:p w14:paraId="56B62D14" w14:textId="77777777" w:rsidR="00FD0B27" w:rsidRPr="000D756E" w:rsidRDefault="00FD0B27" w:rsidP="002A7C01">
      <w:pPr>
        <w:rPr>
          <w:rFonts w:ascii="Arial" w:hAnsi="Arial" w:cs="Arial"/>
          <w:sz w:val="24"/>
          <w:szCs w:val="24"/>
        </w:rPr>
      </w:pPr>
    </w:p>
    <w:p w14:paraId="25EC34CE" w14:textId="77777777" w:rsidR="00B12CC2" w:rsidRPr="000D756E" w:rsidRDefault="00B12CC2" w:rsidP="002A7C01">
      <w:pPr>
        <w:rPr>
          <w:rFonts w:ascii="Arial" w:hAnsi="Arial" w:cs="Arial"/>
          <w:b/>
          <w:sz w:val="24"/>
          <w:szCs w:val="24"/>
        </w:rPr>
      </w:pPr>
      <w:r w:rsidRPr="000D756E">
        <w:rPr>
          <w:rFonts w:ascii="Arial" w:hAnsi="Arial" w:cs="Arial"/>
          <w:b/>
          <w:sz w:val="24"/>
          <w:szCs w:val="24"/>
        </w:rPr>
        <w:t>Pensions Liability</w:t>
      </w:r>
    </w:p>
    <w:p w14:paraId="23D35BB6" w14:textId="77777777" w:rsidR="00492328" w:rsidRPr="000D756E" w:rsidRDefault="00B12CC2" w:rsidP="002A7C01">
      <w:pPr>
        <w:rPr>
          <w:rFonts w:ascii="Arial" w:hAnsi="Arial" w:cs="Arial"/>
          <w:sz w:val="24"/>
          <w:szCs w:val="24"/>
        </w:rPr>
      </w:pPr>
      <w:r w:rsidRPr="000D756E">
        <w:rPr>
          <w:rFonts w:ascii="Arial" w:hAnsi="Arial" w:cs="Arial"/>
          <w:sz w:val="24"/>
          <w:szCs w:val="24"/>
        </w:rPr>
        <w:t xml:space="preserve">Estimation of the net liability to pay pensions depends on a number of complex judgements relating to the discount rate used, the rate at which salaries are projected to increase, changes in retirement ages, mortality rates and expected returns on pension fund assets. </w:t>
      </w:r>
    </w:p>
    <w:p w14:paraId="7B41588A" w14:textId="77777777" w:rsidR="00492328" w:rsidRPr="000D756E" w:rsidRDefault="00492328" w:rsidP="002A7C01">
      <w:pPr>
        <w:rPr>
          <w:rFonts w:ascii="Arial" w:hAnsi="Arial" w:cs="Arial"/>
          <w:sz w:val="24"/>
          <w:szCs w:val="24"/>
        </w:rPr>
      </w:pPr>
    </w:p>
    <w:p w14:paraId="71B282D2" w14:textId="78E5AE49" w:rsidR="00B12CC2" w:rsidRPr="000D756E" w:rsidRDefault="00B12CC2" w:rsidP="002A7C01">
      <w:pPr>
        <w:rPr>
          <w:rFonts w:ascii="Arial" w:hAnsi="Arial" w:cs="Arial"/>
          <w:sz w:val="24"/>
          <w:szCs w:val="24"/>
        </w:rPr>
      </w:pPr>
      <w:r w:rsidRPr="000D756E">
        <w:rPr>
          <w:rFonts w:ascii="Arial" w:hAnsi="Arial" w:cs="Arial"/>
          <w:sz w:val="24"/>
          <w:szCs w:val="24"/>
        </w:rPr>
        <w:t>A firm of actuaries is engaged to provide the Authority with expert advice about the assumptions to be applied.</w:t>
      </w:r>
      <w:r w:rsidR="00492328" w:rsidRPr="000D756E">
        <w:rPr>
          <w:rFonts w:ascii="Arial" w:hAnsi="Arial" w:cs="Arial"/>
          <w:sz w:val="24"/>
          <w:szCs w:val="24"/>
        </w:rPr>
        <w:t xml:space="preserve"> They provide an assessment of changes </w:t>
      </w:r>
      <w:r w:rsidR="00DC4A65" w:rsidRPr="000D756E">
        <w:rPr>
          <w:rFonts w:ascii="Arial" w:hAnsi="Arial" w:cs="Arial"/>
          <w:sz w:val="24"/>
          <w:szCs w:val="24"/>
        </w:rPr>
        <w:t xml:space="preserve">in the assumptions used in estimating the pension and assets </w:t>
      </w:r>
      <w:r w:rsidR="00B84557" w:rsidRPr="000D756E">
        <w:rPr>
          <w:rFonts w:ascii="Arial" w:hAnsi="Arial" w:cs="Arial"/>
          <w:sz w:val="24"/>
          <w:szCs w:val="24"/>
        </w:rPr>
        <w:t>included in the accounts according to the requirements of IAS19.</w:t>
      </w:r>
    </w:p>
    <w:p w14:paraId="6851B723" w14:textId="21FF1395" w:rsidR="00D950FA" w:rsidRPr="000D756E" w:rsidRDefault="00D950FA">
      <w:pPr>
        <w:rPr>
          <w:rFonts w:ascii="Arial" w:hAnsi="Arial" w:cs="Arial"/>
          <w:sz w:val="24"/>
          <w:szCs w:val="24"/>
        </w:rPr>
      </w:pPr>
      <w:r w:rsidRPr="000D756E">
        <w:rPr>
          <w:rFonts w:ascii="Arial" w:hAnsi="Arial" w:cs="Arial"/>
          <w:sz w:val="24"/>
          <w:szCs w:val="24"/>
        </w:rPr>
        <w:br w:type="page"/>
      </w:r>
    </w:p>
    <w:p w14:paraId="519F0C80" w14:textId="77777777" w:rsidR="000B4795" w:rsidRPr="000D756E" w:rsidRDefault="000B4795" w:rsidP="002A7C01">
      <w:pPr>
        <w:rPr>
          <w:rFonts w:ascii="Arial" w:hAnsi="Arial" w:cs="Arial"/>
          <w:sz w:val="24"/>
          <w:szCs w:val="24"/>
        </w:rPr>
      </w:pPr>
    </w:p>
    <w:p w14:paraId="21EB9581" w14:textId="77777777" w:rsidR="003C77EF" w:rsidRPr="000D756E" w:rsidRDefault="003C77EF" w:rsidP="002A7C01">
      <w:pPr>
        <w:rPr>
          <w:rFonts w:ascii="Arial" w:hAnsi="Arial" w:cs="Arial"/>
          <w:b/>
          <w:sz w:val="24"/>
          <w:szCs w:val="24"/>
        </w:rPr>
      </w:pPr>
      <w:r w:rsidRPr="000D756E">
        <w:rPr>
          <w:rFonts w:ascii="Arial" w:hAnsi="Arial" w:cs="Arial"/>
          <w:b/>
          <w:sz w:val="24"/>
          <w:szCs w:val="24"/>
        </w:rPr>
        <w:t>Property Plant and Equipment</w:t>
      </w:r>
    </w:p>
    <w:p w14:paraId="65D33CE5" w14:textId="77777777" w:rsidR="003C77EF" w:rsidRPr="000D756E" w:rsidRDefault="003C77EF" w:rsidP="002A7C01">
      <w:pPr>
        <w:rPr>
          <w:rFonts w:ascii="Arial" w:hAnsi="Arial" w:cs="Arial"/>
          <w:sz w:val="24"/>
          <w:szCs w:val="24"/>
        </w:rPr>
      </w:pPr>
      <w:r w:rsidRPr="000D756E">
        <w:rPr>
          <w:rFonts w:ascii="Arial" w:hAnsi="Arial" w:cs="Arial"/>
          <w:sz w:val="24"/>
          <w:szCs w:val="24"/>
        </w:rPr>
        <w:t>Assets are depreciated over useful lives that are dependent on assumptions about the level of repairs and maintenance that will be incurred in relation to individual assets. The current economic climate makes it uncertain that the Authority will be able to sustain its current spending on repairs and maintenance, although the Authority does not feel that this poses any immediate quantifiable risk.</w:t>
      </w:r>
    </w:p>
    <w:p w14:paraId="73D3FE85" w14:textId="77777777" w:rsidR="003C1734" w:rsidRPr="000D756E" w:rsidRDefault="003C1734" w:rsidP="002A7C01">
      <w:pPr>
        <w:rPr>
          <w:rFonts w:ascii="Arial" w:hAnsi="Arial" w:cs="Arial"/>
          <w:sz w:val="24"/>
          <w:szCs w:val="24"/>
        </w:rPr>
      </w:pPr>
    </w:p>
    <w:p w14:paraId="26D832A6" w14:textId="580C677F" w:rsidR="003C1734" w:rsidRPr="000D756E" w:rsidRDefault="003C1734" w:rsidP="002A7C01">
      <w:pPr>
        <w:rPr>
          <w:rFonts w:ascii="Arial" w:hAnsi="Arial" w:cs="Arial"/>
          <w:sz w:val="24"/>
          <w:szCs w:val="24"/>
        </w:rPr>
      </w:pPr>
      <w:r w:rsidRPr="000D756E">
        <w:rPr>
          <w:rFonts w:ascii="Arial" w:hAnsi="Arial" w:cs="Arial"/>
          <w:sz w:val="24"/>
          <w:szCs w:val="24"/>
        </w:rPr>
        <w:t xml:space="preserve">Property is valued at depreciated replacement cost, and this is based on an estimate of the gross replacement cost of the building. The Authority </w:t>
      </w:r>
      <w:r w:rsidR="00A11C16" w:rsidRPr="000D756E">
        <w:rPr>
          <w:rFonts w:ascii="Arial" w:hAnsi="Arial" w:cs="Arial"/>
          <w:sz w:val="24"/>
          <w:szCs w:val="24"/>
        </w:rPr>
        <w:t xml:space="preserve">engages a qualified valuer to offer </w:t>
      </w:r>
      <w:r w:rsidRPr="000D756E">
        <w:rPr>
          <w:rFonts w:ascii="Arial" w:hAnsi="Arial" w:cs="Arial"/>
          <w:sz w:val="24"/>
          <w:szCs w:val="24"/>
        </w:rPr>
        <w:t>expert advice about the assumptions to be applied</w:t>
      </w:r>
      <w:r w:rsidR="00A11C16" w:rsidRPr="000D756E">
        <w:rPr>
          <w:rFonts w:ascii="Arial" w:hAnsi="Arial" w:cs="Arial"/>
          <w:sz w:val="24"/>
          <w:szCs w:val="24"/>
        </w:rPr>
        <w:t>.</w:t>
      </w:r>
    </w:p>
    <w:p w14:paraId="7614A9DD" w14:textId="77777777" w:rsidR="00F373FE" w:rsidRPr="000D756E" w:rsidRDefault="00F373FE" w:rsidP="002A7C01">
      <w:pPr>
        <w:rPr>
          <w:rFonts w:ascii="Arial" w:hAnsi="Arial" w:cs="Arial"/>
          <w:sz w:val="24"/>
          <w:szCs w:val="24"/>
        </w:rPr>
      </w:pPr>
    </w:p>
    <w:p w14:paraId="5E07EA1F" w14:textId="7413E21D" w:rsidR="00F373FE" w:rsidRPr="00F12AB1" w:rsidRDefault="00F373FE" w:rsidP="002A7C01">
      <w:pPr>
        <w:rPr>
          <w:rFonts w:ascii="Arial" w:hAnsi="Arial" w:cs="Arial"/>
          <w:sz w:val="24"/>
          <w:szCs w:val="24"/>
        </w:rPr>
      </w:pPr>
      <w:r w:rsidRPr="00F12AB1">
        <w:rPr>
          <w:rFonts w:ascii="Arial" w:hAnsi="Arial" w:cs="Arial"/>
          <w:sz w:val="24"/>
          <w:szCs w:val="24"/>
        </w:rPr>
        <w:t>The carrying value of depreciating assets at 31 March 202</w:t>
      </w:r>
      <w:r w:rsidR="00EE0CF8" w:rsidRPr="00F12AB1">
        <w:rPr>
          <w:rFonts w:ascii="Arial" w:hAnsi="Arial" w:cs="Arial"/>
          <w:sz w:val="24"/>
          <w:szCs w:val="24"/>
        </w:rPr>
        <w:t>5</w:t>
      </w:r>
      <w:r w:rsidRPr="00F12AB1">
        <w:rPr>
          <w:rFonts w:ascii="Arial" w:hAnsi="Arial" w:cs="Arial"/>
          <w:sz w:val="24"/>
          <w:szCs w:val="24"/>
        </w:rPr>
        <w:t xml:space="preserve"> is £</w:t>
      </w:r>
      <w:r w:rsidR="00F12AB1" w:rsidRPr="00F12AB1">
        <w:rPr>
          <w:rFonts w:ascii="Arial" w:hAnsi="Arial" w:cs="Arial"/>
          <w:sz w:val="24"/>
          <w:szCs w:val="24"/>
        </w:rPr>
        <w:t>34</w:t>
      </w:r>
      <w:r w:rsidRPr="00F12AB1">
        <w:rPr>
          <w:rFonts w:ascii="Arial" w:hAnsi="Arial" w:cs="Arial"/>
          <w:sz w:val="24"/>
          <w:szCs w:val="24"/>
        </w:rPr>
        <w:t>m. If the useful life of the assets is reduced, depreciation increases and the carrying amount of the assets falls. It is estimated that the annual depreciation charge for property plant and equipment assets would increase by £</w:t>
      </w:r>
      <w:r w:rsidR="00EE0CF8" w:rsidRPr="00F12AB1">
        <w:rPr>
          <w:rFonts w:ascii="Arial" w:hAnsi="Arial" w:cs="Arial"/>
          <w:sz w:val="24"/>
          <w:szCs w:val="24"/>
        </w:rPr>
        <w:t>582</w:t>
      </w:r>
      <w:r w:rsidRPr="00F12AB1">
        <w:rPr>
          <w:rFonts w:ascii="Arial" w:hAnsi="Arial" w:cs="Arial"/>
          <w:sz w:val="24"/>
          <w:szCs w:val="24"/>
        </w:rPr>
        <w:t>k for every year that useful lives had to be reduced.</w:t>
      </w:r>
    </w:p>
    <w:p w14:paraId="4F1BC75F" w14:textId="77777777" w:rsidR="00D80B4D" w:rsidRPr="000D756E" w:rsidRDefault="00D80B4D" w:rsidP="002A7C01">
      <w:pPr>
        <w:rPr>
          <w:rFonts w:ascii="Arial" w:hAnsi="Arial" w:cs="Arial"/>
          <w:sz w:val="24"/>
          <w:szCs w:val="24"/>
        </w:rPr>
      </w:pPr>
    </w:p>
    <w:p w14:paraId="20E46E7F" w14:textId="4CA07A8F" w:rsidR="00EE4526" w:rsidRPr="000D756E" w:rsidRDefault="00665462" w:rsidP="002A7C01">
      <w:pPr>
        <w:rPr>
          <w:rFonts w:ascii="Arial" w:hAnsi="Arial" w:cs="Arial"/>
          <w:sz w:val="24"/>
          <w:szCs w:val="24"/>
        </w:rPr>
      </w:pPr>
      <w:r w:rsidRPr="000D756E">
        <w:rPr>
          <w:rFonts w:ascii="Arial" w:hAnsi="Arial" w:cs="Arial"/>
          <w:sz w:val="24"/>
          <w:szCs w:val="24"/>
        </w:rPr>
        <w:t xml:space="preserve">In applying the accounting policies set out in </w:t>
      </w:r>
      <w:r w:rsidR="00377396" w:rsidRPr="000D756E">
        <w:rPr>
          <w:rFonts w:ascii="Arial" w:hAnsi="Arial" w:cs="Arial"/>
          <w:sz w:val="24"/>
          <w:szCs w:val="24"/>
        </w:rPr>
        <w:t xml:space="preserve">the </w:t>
      </w:r>
      <w:r w:rsidR="00C0575E" w:rsidRPr="000D756E">
        <w:rPr>
          <w:rFonts w:ascii="Arial" w:hAnsi="Arial" w:cs="Arial"/>
          <w:sz w:val="24"/>
          <w:szCs w:val="24"/>
        </w:rPr>
        <w:t>Statement of Accounting Policies</w:t>
      </w:r>
      <w:r w:rsidRPr="000D756E">
        <w:rPr>
          <w:rFonts w:ascii="Arial" w:hAnsi="Arial" w:cs="Arial"/>
          <w:sz w:val="24"/>
          <w:szCs w:val="24"/>
        </w:rPr>
        <w:t>, the Authority has had to make certain judgements about complex transactions or those involving uncertainty about future events.</w:t>
      </w:r>
    </w:p>
    <w:p w14:paraId="388188BD" w14:textId="77777777" w:rsidR="00EE4526" w:rsidRPr="000D756E" w:rsidRDefault="00EE4526" w:rsidP="002A7C01">
      <w:pPr>
        <w:rPr>
          <w:rFonts w:ascii="Arial" w:hAnsi="Arial" w:cs="Arial"/>
          <w:sz w:val="24"/>
          <w:szCs w:val="24"/>
        </w:rPr>
      </w:pPr>
    </w:p>
    <w:p w14:paraId="6838EE1B" w14:textId="77777777" w:rsidR="00467E90" w:rsidRPr="000D756E" w:rsidRDefault="00467E90" w:rsidP="00984B42">
      <w:pPr>
        <w:ind w:left="360"/>
        <w:rPr>
          <w:rFonts w:ascii="Arial" w:hAnsi="Arial" w:cs="Arial"/>
          <w:bCs/>
          <w:sz w:val="24"/>
          <w:szCs w:val="24"/>
        </w:rPr>
      </w:pPr>
    </w:p>
    <w:p w14:paraId="68488D45" w14:textId="77777777" w:rsidR="00A3642A" w:rsidRPr="000D756E" w:rsidRDefault="00A3642A" w:rsidP="008E4819">
      <w:pPr>
        <w:ind w:left="360"/>
        <w:rPr>
          <w:rFonts w:ascii="Arial" w:hAnsi="Arial" w:cs="Arial"/>
          <w:bCs/>
          <w:sz w:val="24"/>
          <w:szCs w:val="24"/>
        </w:rPr>
      </w:pPr>
    </w:p>
    <w:p w14:paraId="0A60DD36" w14:textId="77777777" w:rsidR="00A3642A" w:rsidRPr="000D756E" w:rsidRDefault="00A3642A" w:rsidP="008E4819">
      <w:pPr>
        <w:ind w:left="360"/>
        <w:rPr>
          <w:rFonts w:ascii="Arial" w:hAnsi="Arial" w:cs="Arial"/>
          <w:bCs/>
          <w:sz w:val="24"/>
          <w:szCs w:val="24"/>
        </w:rPr>
      </w:pPr>
    </w:p>
    <w:p w14:paraId="613EC456" w14:textId="22275401" w:rsidR="00AE0DA2" w:rsidRPr="000D756E" w:rsidRDefault="00AE0DA2" w:rsidP="001C227A">
      <w:pPr>
        <w:numPr>
          <w:ilvl w:val="0"/>
          <w:numId w:val="15"/>
        </w:numPr>
        <w:rPr>
          <w:rFonts w:ascii="Arial" w:hAnsi="Arial" w:cs="Arial"/>
          <w:b/>
          <w:sz w:val="24"/>
          <w:szCs w:val="24"/>
        </w:rPr>
      </w:pPr>
      <w:r w:rsidRPr="000D756E">
        <w:rPr>
          <w:rFonts w:ascii="Arial" w:hAnsi="Arial" w:cs="Arial"/>
          <w:b/>
          <w:sz w:val="24"/>
          <w:szCs w:val="24"/>
        </w:rPr>
        <w:t>EX</w:t>
      </w:r>
      <w:r w:rsidR="004D3F79" w:rsidRPr="000D756E">
        <w:rPr>
          <w:rFonts w:ascii="Arial" w:hAnsi="Arial" w:cs="Arial"/>
          <w:b/>
          <w:sz w:val="24"/>
          <w:szCs w:val="24"/>
        </w:rPr>
        <w:t>P</w:t>
      </w:r>
      <w:r w:rsidRPr="000D756E">
        <w:rPr>
          <w:rFonts w:ascii="Arial" w:hAnsi="Arial" w:cs="Arial"/>
          <w:b/>
          <w:sz w:val="24"/>
          <w:szCs w:val="24"/>
        </w:rPr>
        <w:t>ENDITURE AND FUNDING ANALYSIS</w:t>
      </w:r>
    </w:p>
    <w:p w14:paraId="3FFF084F" w14:textId="77777777" w:rsidR="00AE0DA2" w:rsidRPr="000D756E" w:rsidRDefault="00AE0DA2" w:rsidP="00AE0DA2">
      <w:pPr>
        <w:rPr>
          <w:rFonts w:ascii="Arial" w:hAnsi="Arial" w:cs="Arial"/>
          <w:b/>
          <w:sz w:val="24"/>
          <w:szCs w:val="24"/>
        </w:rPr>
      </w:pPr>
    </w:p>
    <w:p w14:paraId="35EE9C36" w14:textId="77777777" w:rsidR="00AE0DA2" w:rsidRPr="000D756E" w:rsidRDefault="00AE0DA2" w:rsidP="00AE0DA2">
      <w:pPr>
        <w:rPr>
          <w:rFonts w:ascii="Arial" w:hAnsi="Arial" w:cs="Arial"/>
          <w:sz w:val="24"/>
          <w:szCs w:val="24"/>
        </w:rPr>
      </w:pPr>
      <w:r w:rsidRPr="000D756E">
        <w:rPr>
          <w:rFonts w:ascii="Arial" w:hAnsi="Arial" w:cs="Arial"/>
          <w:sz w:val="24"/>
          <w:szCs w:val="24"/>
        </w:rPr>
        <w:t>The objective of the Expenditure and Funding Analysis is to demonstrate to council tax payers how the funding available to the Authority (ie government grants, council tax and business rates) for the year has been used in providing services in comparison with those resources consumed or earned by the Authority in accordance with generally accepted accounting practices. The Expenditure and Funding Analysis also shows how this expenditure is allocated for decision making</w:t>
      </w:r>
      <w:r w:rsidR="00AE5BB7" w:rsidRPr="000D756E">
        <w:rPr>
          <w:rFonts w:ascii="Arial" w:hAnsi="Arial" w:cs="Arial"/>
          <w:sz w:val="24"/>
          <w:szCs w:val="24"/>
        </w:rPr>
        <w:t xml:space="preserve"> purposes between the Authority’s directorates. Income and expenditure accounted for under generally accepted accounting practices is presented more fully in the Comprehensive Income and Expenditure Statement.</w:t>
      </w:r>
    </w:p>
    <w:p w14:paraId="713877DD" w14:textId="336A0AAD" w:rsidR="00AE5BB7" w:rsidRPr="000D756E" w:rsidRDefault="00FC60E9" w:rsidP="00AE0DA2">
      <w:pPr>
        <w:rPr>
          <w:rFonts w:ascii="Arial" w:hAnsi="Arial" w:cs="Arial"/>
          <w:b/>
          <w:sz w:val="24"/>
          <w:szCs w:val="24"/>
        </w:rPr>
      </w:pPr>
      <w:r w:rsidRPr="000D756E">
        <w:rPr>
          <w:rFonts w:ascii="Arial" w:hAnsi="Arial" w:cs="Arial"/>
          <w:sz w:val="24"/>
          <w:szCs w:val="24"/>
        </w:rPr>
        <w:br w:type="page"/>
      </w:r>
      <w:r w:rsidR="00651F86" w:rsidRPr="000D756E">
        <w:rPr>
          <w:rFonts w:ascii="Arial" w:hAnsi="Arial" w:cs="Arial"/>
          <w:b/>
          <w:sz w:val="24"/>
          <w:szCs w:val="24"/>
        </w:rPr>
        <w:lastRenderedPageBreak/>
        <w:t>20</w:t>
      </w:r>
      <w:r w:rsidR="008B2442" w:rsidRPr="000D756E">
        <w:rPr>
          <w:rFonts w:ascii="Arial" w:hAnsi="Arial" w:cs="Arial"/>
          <w:b/>
          <w:sz w:val="24"/>
          <w:szCs w:val="24"/>
        </w:rPr>
        <w:t>2</w:t>
      </w:r>
      <w:r w:rsidR="00E76231">
        <w:rPr>
          <w:rFonts w:ascii="Arial" w:hAnsi="Arial" w:cs="Arial"/>
          <w:b/>
          <w:sz w:val="24"/>
          <w:szCs w:val="24"/>
        </w:rPr>
        <w:t>4/25</w:t>
      </w:r>
      <w:r w:rsidR="006F5D79" w:rsidRPr="000D756E">
        <w:rPr>
          <w:rFonts w:ascii="Arial" w:hAnsi="Arial" w:cs="Arial"/>
          <w:b/>
          <w:sz w:val="24"/>
          <w:szCs w:val="24"/>
        </w:rPr>
        <w:t xml:space="preserve">  </w:t>
      </w:r>
    </w:p>
    <w:p w14:paraId="1E5B603C" w14:textId="77777777" w:rsidR="00651F86" w:rsidRPr="000D756E" w:rsidRDefault="00651F86" w:rsidP="00AE0DA2">
      <w:pPr>
        <w:rPr>
          <w:rFonts w:ascii="Arial" w:hAnsi="Arial" w:cs="Arial"/>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560"/>
        <w:gridCol w:w="1559"/>
      </w:tblGrid>
      <w:tr w:rsidR="006071DF" w:rsidRPr="000D756E" w14:paraId="6D595413" w14:textId="77777777" w:rsidTr="004E3575">
        <w:tc>
          <w:tcPr>
            <w:tcW w:w="1701" w:type="dxa"/>
          </w:tcPr>
          <w:p w14:paraId="32879685" w14:textId="77777777" w:rsidR="00AE5BB7" w:rsidRPr="000D756E" w:rsidRDefault="00AE5BB7" w:rsidP="004E3575">
            <w:pPr>
              <w:jc w:val="right"/>
              <w:rPr>
                <w:rFonts w:ascii="Arial" w:hAnsi="Arial" w:cs="Arial"/>
                <w:sz w:val="22"/>
                <w:szCs w:val="22"/>
              </w:rPr>
            </w:pPr>
          </w:p>
          <w:p w14:paraId="16A6330D" w14:textId="77777777" w:rsidR="00651F86" w:rsidRPr="000D756E" w:rsidRDefault="00651F86" w:rsidP="004E3575">
            <w:pPr>
              <w:jc w:val="right"/>
              <w:rPr>
                <w:rFonts w:ascii="Arial" w:hAnsi="Arial" w:cs="Arial"/>
                <w:sz w:val="22"/>
                <w:szCs w:val="22"/>
              </w:rPr>
            </w:pPr>
          </w:p>
          <w:p w14:paraId="01013F2F" w14:textId="77777777" w:rsidR="00651F86" w:rsidRPr="000D756E" w:rsidRDefault="00651F86" w:rsidP="004E3575">
            <w:pPr>
              <w:jc w:val="right"/>
              <w:rPr>
                <w:rFonts w:ascii="Arial" w:hAnsi="Arial" w:cs="Arial"/>
                <w:sz w:val="22"/>
                <w:szCs w:val="22"/>
              </w:rPr>
            </w:pPr>
          </w:p>
        </w:tc>
        <w:tc>
          <w:tcPr>
            <w:tcW w:w="1701" w:type="dxa"/>
          </w:tcPr>
          <w:p w14:paraId="27E1B02A" w14:textId="77777777" w:rsidR="00AE5BB7" w:rsidRPr="000D756E" w:rsidRDefault="00AE5BB7" w:rsidP="004E3575">
            <w:pPr>
              <w:jc w:val="right"/>
              <w:rPr>
                <w:rFonts w:ascii="Arial" w:hAnsi="Arial" w:cs="Arial"/>
                <w:b/>
                <w:sz w:val="22"/>
                <w:szCs w:val="22"/>
              </w:rPr>
            </w:pPr>
          </w:p>
          <w:p w14:paraId="182FF6AE" w14:textId="77777777" w:rsidR="00AE5BB7" w:rsidRPr="000D756E" w:rsidRDefault="00AE5BB7" w:rsidP="004E3575">
            <w:pPr>
              <w:jc w:val="right"/>
              <w:rPr>
                <w:rFonts w:ascii="Arial" w:hAnsi="Arial" w:cs="Arial"/>
                <w:b/>
                <w:sz w:val="22"/>
                <w:szCs w:val="22"/>
              </w:rPr>
            </w:pPr>
          </w:p>
          <w:p w14:paraId="031731C4" w14:textId="77777777" w:rsidR="001E76EE" w:rsidRPr="000D756E" w:rsidRDefault="001E76EE" w:rsidP="004E3575">
            <w:pPr>
              <w:jc w:val="right"/>
              <w:rPr>
                <w:rFonts w:ascii="Arial" w:hAnsi="Arial" w:cs="Arial"/>
                <w:b/>
                <w:sz w:val="22"/>
                <w:szCs w:val="22"/>
              </w:rPr>
            </w:pPr>
          </w:p>
          <w:p w14:paraId="2BDCDF0B" w14:textId="77777777" w:rsidR="001E76EE" w:rsidRPr="000D756E" w:rsidRDefault="001E76EE" w:rsidP="004E3575">
            <w:pPr>
              <w:jc w:val="right"/>
              <w:rPr>
                <w:rFonts w:ascii="Arial" w:hAnsi="Arial" w:cs="Arial"/>
                <w:b/>
                <w:sz w:val="22"/>
                <w:szCs w:val="22"/>
              </w:rPr>
            </w:pPr>
          </w:p>
          <w:p w14:paraId="536578FC" w14:textId="77777777" w:rsidR="001E76EE" w:rsidRPr="000D756E" w:rsidRDefault="001E76EE" w:rsidP="004E3575">
            <w:pPr>
              <w:jc w:val="right"/>
              <w:rPr>
                <w:rFonts w:ascii="Arial" w:hAnsi="Arial" w:cs="Arial"/>
                <w:b/>
                <w:sz w:val="22"/>
                <w:szCs w:val="22"/>
              </w:rPr>
            </w:pPr>
          </w:p>
          <w:p w14:paraId="76DF356C" w14:textId="77777777" w:rsidR="00AE5BB7" w:rsidRPr="000D756E" w:rsidRDefault="00AE5BB7" w:rsidP="004E3575">
            <w:pPr>
              <w:jc w:val="right"/>
              <w:rPr>
                <w:rFonts w:ascii="Arial" w:hAnsi="Arial" w:cs="Arial"/>
                <w:b/>
                <w:sz w:val="22"/>
                <w:szCs w:val="22"/>
              </w:rPr>
            </w:pPr>
            <w:r w:rsidRPr="000D756E">
              <w:rPr>
                <w:rFonts w:ascii="Arial" w:hAnsi="Arial" w:cs="Arial"/>
                <w:b/>
                <w:sz w:val="22"/>
                <w:szCs w:val="22"/>
              </w:rPr>
              <w:t>As reported for resource</w:t>
            </w:r>
          </w:p>
          <w:p w14:paraId="6C115888" w14:textId="77777777" w:rsidR="00AE5BB7" w:rsidRPr="000D756E" w:rsidRDefault="001E76EE" w:rsidP="004E3575">
            <w:pPr>
              <w:jc w:val="right"/>
              <w:rPr>
                <w:rFonts w:ascii="Arial" w:hAnsi="Arial" w:cs="Arial"/>
                <w:b/>
                <w:sz w:val="22"/>
                <w:szCs w:val="22"/>
              </w:rPr>
            </w:pPr>
            <w:r w:rsidRPr="000D756E">
              <w:rPr>
                <w:rFonts w:ascii="Arial" w:hAnsi="Arial" w:cs="Arial"/>
                <w:b/>
                <w:sz w:val="22"/>
                <w:szCs w:val="22"/>
              </w:rPr>
              <w:t>m</w:t>
            </w:r>
            <w:r w:rsidR="00AE5BB7" w:rsidRPr="000D756E">
              <w:rPr>
                <w:rFonts w:ascii="Arial" w:hAnsi="Arial" w:cs="Arial"/>
                <w:b/>
                <w:sz w:val="22"/>
                <w:szCs w:val="22"/>
              </w:rPr>
              <w:t>anagement</w:t>
            </w:r>
          </w:p>
          <w:p w14:paraId="707E539D" w14:textId="77777777" w:rsidR="00AE5BB7" w:rsidRPr="000D756E" w:rsidRDefault="00AE5BB7" w:rsidP="004E3575">
            <w:pPr>
              <w:jc w:val="right"/>
              <w:rPr>
                <w:rFonts w:ascii="Arial" w:hAnsi="Arial" w:cs="Arial"/>
                <w:b/>
                <w:sz w:val="22"/>
                <w:szCs w:val="22"/>
              </w:rPr>
            </w:pPr>
          </w:p>
          <w:p w14:paraId="395A91C4" w14:textId="77777777" w:rsidR="00AE5BB7" w:rsidRPr="000D756E" w:rsidRDefault="00AE5BB7" w:rsidP="004E3575">
            <w:pPr>
              <w:jc w:val="right"/>
              <w:rPr>
                <w:rFonts w:ascii="Arial" w:hAnsi="Arial" w:cs="Arial"/>
                <w:b/>
                <w:sz w:val="22"/>
                <w:szCs w:val="22"/>
              </w:rPr>
            </w:pPr>
            <w:r w:rsidRPr="000D756E">
              <w:rPr>
                <w:rFonts w:ascii="Arial" w:hAnsi="Arial" w:cs="Arial"/>
                <w:b/>
                <w:sz w:val="22"/>
                <w:szCs w:val="22"/>
              </w:rPr>
              <w:t>£’000</w:t>
            </w:r>
          </w:p>
        </w:tc>
        <w:tc>
          <w:tcPr>
            <w:tcW w:w="1701" w:type="dxa"/>
          </w:tcPr>
          <w:p w14:paraId="6296DD0D" w14:textId="77777777" w:rsidR="001E76EE" w:rsidRPr="000D756E" w:rsidRDefault="001E76EE" w:rsidP="004E3575">
            <w:pPr>
              <w:jc w:val="right"/>
              <w:rPr>
                <w:rFonts w:ascii="Arial" w:hAnsi="Arial" w:cs="Arial"/>
                <w:b/>
                <w:sz w:val="22"/>
                <w:szCs w:val="22"/>
              </w:rPr>
            </w:pPr>
          </w:p>
          <w:p w14:paraId="50AB1530" w14:textId="69C98C40" w:rsidR="00AE5BB7" w:rsidRPr="000D756E" w:rsidRDefault="00AE5BB7" w:rsidP="004E3575">
            <w:pPr>
              <w:jc w:val="right"/>
              <w:rPr>
                <w:rFonts w:ascii="Arial" w:hAnsi="Arial" w:cs="Arial"/>
                <w:b/>
                <w:sz w:val="22"/>
                <w:szCs w:val="22"/>
              </w:rPr>
            </w:pPr>
            <w:r w:rsidRPr="000D756E">
              <w:rPr>
                <w:rFonts w:ascii="Arial" w:hAnsi="Arial" w:cs="Arial"/>
                <w:b/>
                <w:sz w:val="22"/>
                <w:szCs w:val="22"/>
              </w:rPr>
              <w:t xml:space="preserve">Adjustment to arrive at the net amount chargeable to the General Fund balance (Note </w:t>
            </w:r>
            <w:r w:rsidR="008778BF" w:rsidRPr="000D756E">
              <w:rPr>
                <w:rFonts w:ascii="Arial" w:hAnsi="Arial" w:cs="Arial"/>
                <w:b/>
                <w:sz w:val="22"/>
                <w:szCs w:val="22"/>
              </w:rPr>
              <w:t>3</w:t>
            </w:r>
            <w:r w:rsidR="00005513" w:rsidRPr="000D756E">
              <w:rPr>
                <w:rFonts w:ascii="Arial" w:hAnsi="Arial" w:cs="Arial"/>
                <w:b/>
                <w:sz w:val="22"/>
                <w:szCs w:val="22"/>
              </w:rPr>
              <w:t>a</w:t>
            </w:r>
            <w:r w:rsidRPr="000D756E">
              <w:rPr>
                <w:rFonts w:ascii="Arial" w:hAnsi="Arial" w:cs="Arial"/>
                <w:b/>
                <w:sz w:val="22"/>
                <w:szCs w:val="22"/>
              </w:rPr>
              <w:t>)</w:t>
            </w:r>
          </w:p>
          <w:p w14:paraId="4E58A7A1" w14:textId="77777777" w:rsidR="00AE5BB7" w:rsidRPr="000D756E" w:rsidRDefault="00AE5BB7" w:rsidP="004E3575">
            <w:pPr>
              <w:jc w:val="right"/>
              <w:rPr>
                <w:rFonts w:ascii="Arial" w:hAnsi="Arial" w:cs="Arial"/>
                <w:b/>
                <w:sz w:val="22"/>
                <w:szCs w:val="22"/>
              </w:rPr>
            </w:pPr>
          </w:p>
          <w:p w14:paraId="3A23B97C" w14:textId="77777777" w:rsidR="00AE5BB7" w:rsidRPr="000D756E" w:rsidRDefault="00AE5BB7" w:rsidP="004E3575">
            <w:pPr>
              <w:jc w:val="right"/>
              <w:rPr>
                <w:rFonts w:ascii="Arial" w:hAnsi="Arial" w:cs="Arial"/>
                <w:b/>
                <w:sz w:val="22"/>
                <w:szCs w:val="22"/>
              </w:rPr>
            </w:pPr>
            <w:r w:rsidRPr="000D756E">
              <w:rPr>
                <w:rFonts w:ascii="Arial" w:hAnsi="Arial" w:cs="Arial"/>
                <w:b/>
                <w:sz w:val="22"/>
                <w:szCs w:val="22"/>
              </w:rPr>
              <w:t>£’000</w:t>
            </w:r>
          </w:p>
        </w:tc>
        <w:tc>
          <w:tcPr>
            <w:tcW w:w="1701" w:type="dxa"/>
          </w:tcPr>
          <w:p w14:paraId="078F9667" w14:textId="77777777" w:rsidR="001E76EE" w:rsidRPr="000D756E" w:rsidRDefault="001E76EE" w:rsidP="004E3575">
            <w:pPr>
              <w:jc w:val="right"/>
              <w:rPr>
                <w:rFonts w:ascii="Arial" w:hAnsi="Arial" w:cs="Arial"/>
                <w:b/>
                <w:sz w:val="22"/>
                <w:szCs w:val="22"/>
              </w:rPr>
            </w:pPr>
          </w:p>
          <w:p w14:paraId="2A89A46B" w14:textId="77777777" w:rsidR="00651F86" w:rsidRPr="000D756E" w:rsidRDefault="00651F86" w:rsidP="004E3575">
            <w:pPr>
              <w:jc w:val="right"/>
              <w:rPr>
                <w:rFonts w:ascii="Arial" w:hAnsi="Arial" w:cs="Arial"/>
                <w:b/>
                <w:sz w:val="22"/>
                <w:szCs w:val="22"/>
              </w:rPr>
            </w:pPr>
          </w:p>
          <w:p w14:paraId="7D755CC8" w14:textId="77777777" w:rsidR="00651F86" w:rsidRPr="000D756E" w:rsidRDefault="00651F86" w:rsidP="004E3575">
            <w:pPr>
              <w:jc w:val="right"/>
              <w:rPr>
                <w:rFonts w:ascii="Arial" w:hAnsi="Arial" w:cs="Arial"/>
                <w:b/>
                <w:sz w:val="22"/>
                <w:szCs w:val="22"/>
              </w:rPr>
            </w:pPr>
          </w:p>
          <w:p w14:paraId="1A75628A" w14:textId="77777777" w:rsidR="00AE5BB7" w:rsidRPr="000D756E" w:rsidRDefault="00AE5BB7" w:rsidP="004E3575">
            <w:pPr>
              <w:jc w:val="right"/>
              <w:rPr>
                <w:rFonts w:ascii="Arial" w:hAnsi="Arial" w:cs="Arial"/>
                <w:b/>
                <w:sz w:val="22"/>
                <w:szCs w:val="22"/>
              </w:rPr>
            </w:pPr>
            <w:r w:rsidRPr="000D756E">
              <w:rPr>
                <w:rFonts w:ascii="Arial" w:hAnsi="Arial" w:cs="Arial"/>
                <w:b/>
                <w:sz w:val="22"/>
                <w:szCs w:val="22"/>
              </w:rPr>
              <w:t>Net expenditure chargeable to the General Fund balance</w:t>
            </w:r>
          </w:p>
          <w:p w14:paraId="2452019B" w14:textId="77777777" w:rsidR="00AE5BB7" w:rsidRPr="000D756E" w:rsidRDefault="00AE5BB7" w:rsidP="004E3575">
            <w:pPr>
              <w:jc w:val="right"/>
              <w:rPr>
                <w:rFonts w:ascii="Arial" w:hAnsi="Arial" w:cs="Arial"/>
                <w:b/>
                <w:sz w:val="22"/>
                <w:szCs w:val="22"/>
              </w:rPr>
            </w:pPr>
          </w:p>
          <w:p w14:paraId="791456FF" w14:textId="77777777" w:rsidR="00AE5BB7" w:rsidRPr="000D756E" w:rsidRDefault="00AE5BB7" w:rsidP="004E3575">
            <w:pPr>
              <w:jc w:val="right"/>
              <w:rPr>
                <w:rFonts w:ascii="Arial" w:hAnsi="Arial" w:cs="Arial"/>
                <w:b/>
                <w:sz w:val="22"/>
                <w:szCs w:val="22"/>
              </w:rPr>
            </w:pPr>
            <w:r w:rsidRPr="000D756E">
              <w:rPr>
                <w:rFonts w:ascii="Arial" w:hAnsi="Arial" w:cs="Arial"/>
                <w:b/>
                <w:sz w:val="22"/>
                <w:szCs w:val="22"/>
              </w:rPr>
              <w:t>£’000</w:t>
            </w:r>
          </w:p>
        </w:tc>
        <w:tc>
          <w:tcPr>
            <w:tcW w:w="1560" w:type="dxa"/>
          </w:tcPr>
          <w:p w14:paraId="1C5A5D9D" w14:textId="77777777" w:rsidR="00AE5BB7" w:rsidRPr="000D756E" w:rsidRDefault="00AE5BB7" w:rsidP="004E3575">
            <w:pPr>
              <w:jc w:val="right"/>
              <w:rPr>
                <w:rFonts w:ascii="Arial" w:hAnsi="Arial" w:cs="Arial"/>
                <w:b/>
                <w:sz w:val="22"/>
                <w:szCs w:val="22"/>
              </w:rPr>
            </w:pPr>
          </w:p>
          <w:p w14:paraId="51C615F1" w14:textId="77777777" w:rsidR="001E76EE" w:rsidRPr="000D756E" w:rsidRDefault="001E76EE" w:rsidP="004E3575">
            <w:pPr>
              <w:jc w:val="right"/>
              <w:rPr>
                <w:rFonts w:ascii="Arial" w:hAnsi="Arial" w:cs="Arial"/>
                <w:b/>
                <w:sz w:val="22"/>
                <w:szCs w:val="22"/>
              </w:rPr>
            </w:pPr>
          </w:p>
          <w:p w14:paraId="3744AA73" w14:textId="179251C7" w:rsidR="00AE5BB7" w:rsidRPr="000D756E" w:rsidRDefault="00AE5BB7" w:rsidP="004E3575">
            <w:pPr>
              <w:jc w:val="right"/>
              <w:rPr>
                <w:rFonts w:ascii="Arial" w:hAnsi="Arial" w:cs="Arial"/>
                <w:b/>
                <w:sz w:val="22"/>
                <w:szCs w:val="22"/>
              </w:rPr>
            </w:pPr>
            <w:r w:rsidRPr="000D756E">
              <w:rPr>
                <w:rFonts w:ascii="Arial" w:hAnsi="Arial" w:cs="Arial"/>
                <w:b/>
                <w:sz w:val="22"/>
                <w:szCs w:val="22"/>
              </w:rPr>
              <w:t xml:space="preserve">Adjustments between funding and accounting basis (Note </w:t>
            </w:r>
            <w:r w:rsidR="008778BF" w:rsidRPr="000D756E">
              <w:rPr>
                <w:rFonts w:ascii="Arial" w:hAnsi="Arial" w:cs="Arial"/>
                <w:b/>
                <w:sz w:val="22"/>
                <w:szCs w:val="22"/>
              </w:rPr>
              <w:t>4</w:t>
            </w:r>
            <w:r w:rsidRPr="000D756E">
              <w:rPr>
                <w:rFonts w:ascii="Arial" w:hAnsi="Arial" w:cs="Arial"/>
                <w:b/>
                <w:sz w:val="22"/>
                <w:szCs w:val="22"/>
              </w:rPr>
              <w:t>)</w:t>
            </w:r>
          </w:p>
          <w:p w14:paraId="604BC6D5" w14:textId="77777777" w:rsidR="00AE5BB7" w:rsidRPr="000D756E" w:rsidRDefault="00AE5BB7" w:rsidP="004E3575">
            <w:pPr>
              <w:jc w:val="right"/>
              <w:rPr>
                <w:rFonts w:ascii="Arial" w:hAnsi="Arial" w:cs="Arial"/>
                <w:b/>
                <w:sz w:val="22"/>
                <w:szCs w:val="22"/>
              </w:rPr>
            </w:pPr>
          </w:p>
          <w:p w14:paraId="5617B70A" w14:textId="77777777" w:rsidR="00AE5BB7" w:rsidRPr="000D756E" w:rsidRDefault="00AE5BB7" w:rsidP="004E3575">
            <w:pPr>
              <w:jc w:val="right"/>
              <w:rPr>
                <w:rFonts w:ascii="Arial" w:hAnsi="Arial" w:cs="Arial"/>
                <w:b/>
                <w:sz w:val="22"/>
                <w:szCs w:val="22"/>
              </w:rPr>
            </w:pPr>
            <w:r w:rsidRPr="000D756E">
              <w:rPr>
                <w:rFonts w:ascii="Arial" w:hAnsi="Arial" w:cs="Arial"/>
                <w:b/>
                <w:sz w:val="22"/>
                <w:szCs w:val="22"/>
              </w:rPr>
              <w:t>£’000</w:t>
            </w:r>
          </w:p>
        </w:tc>
        <w:tc>
          <w:tcPr>
            <w:tcW w:w="1559" w:type="dxa"/>
          </w:tcPr>
          <w:p w14:paraId="66D5D66B" w14:textId="77777777" w:rsidR="001E76EE" w:rsidRPr="000D756E" w:rsidRDefault="001E76EE" w:rsidP="004E3575">
            <w:pPr>
              <w:jc w:val="right"/>
              <w:rPr>
                <w:rFonts w:ascii="Arial" w:hAnsi="Arial" w:cs="Arial"/>
                <w:b/>
                <w:sz w:val="22"/>
                <w:szCs w:val="22"/>
              </w:rPr>
            </w:pPr>
            <w:r w:rsidRPr="000D756E">
              <w:rPr>
                <w:rFonts w:ascii="Arial" w:hAnsi="Arial" w:cs="Arial"/>
                <w:b/>
                <w:sz w:val="22"/>
                <w:szCs w:val="22"/>
              </w:rPr>
              <w:t>Net</w:t>
            </w:r>
          </w:p>
          <w:p w14:paraId="348FB444" w14:textId="77777777" w:rsidR="00AE5BB7" w:rsidRPr="000D756E" w:rsidRDefault="001E76EE" w:rsidP="004E3575">
            <w:pPr>
              <w:jc w:val="right"/>
              <w:rPr>
                <w:rFonts w:ascii="Arial" w:hAnsi="Arial" w:cs="Arial"/>
                <w:b/>
                <w:sz w:val="22"/>
                <w:szCs w:val="22"/>
              </w:rPr>
            </w:pPr>
            <w:r w:rsidRPr="000D756E">
              <w:rPr>
                <w:rFonts w:ascii="Arial" w:hAnsi="Arial" w:cs="Arial"/>
                <w:b/>
                <w:sz w:val="22"/>
                <w:szCs w:val="22"/>
              </w:rPr>
              <w:t>ex</w:t>
            </w:r>
            <w:r w:rsidR="00AE5BB7" w:rsidRPr="000D756E">
              <w:rPr>
                <w:rFonts w:ascii="Arial" w:hAnsi="Arial" w:cs="Arial"/>
                <w:b/>
                <w:sz w:val="22"/>
                <w:szCs w:val="22"/>
              </w:rPr>
              <w:t>penditure in the Comprehen-sive Income and Expenditure Statement</w:t>
            </w:r>
          </w:p>
          <w:p w14:paraId="0803760A" w14:textId="77777777" w:rsidR="00AE5BB7" w:rsidRPr="000D756E" w:rsidRDefault="00AE5BB7" w:rsidP="004E3575">
            <w:pPr>
              <w:jc w:val="right"/>
              <w:rPr>
                <w:rFonts w:ascii="Arial" w:hAnsi="Arial" w:cs="Arial"/>
                <w:b/>
                <w:sz w:val="22"/>
                <w:szCs w:val="22"/>
              </w:rPr>
            </w:pPr>
          </w:p>
          <w:p w14:paraId="07D40F3D" w14:textId="77777777" w:rsidR="00AE5BB7" w:rsidRPr="000D756E" w:rsidRDefault="00AE5BB7" w:rsidP="004E3575">
            <w:pPr>
              <w:jc w:val="right"/>
              <w:rPr>
                <w:rFonts w:ascii="Arial" w:hAnsi="Arial" w:cs="Arial"/>
                <w:b/>
                <w:sz w:val="22"/>
                <w:szCs w:val="22"/>
              </w:rPr>
            </w:pPr>
            <w:r w:rsidRPr="000D756E">
              <w:rPr>
                <w:rFonts w:ascii="Arial" w:hAnsi="Arial" w:cs="Arial"/>
                <w:b/>
                <w:sz w:val="22"/>
                <w:szCs w:val="22"/>
              </w:rPr>
              <w:t>£’000</w:t>
            </w:r>
          </w:p>
        </w:tc>
      </w:tr>
      <w:tr w:rsidR="006071DF" w:rsidRPr="000D756E" w14:paraId="0E48D165" w14:textId="77777777" w:rsidTr="00883EE8">
        <w:trPr>
          <w:trHeight w:val="586"/>
        </w:trPr>
        <w:tc>
          <w:tcPr>
            <w:tcW w:w="1701" w:type="dxa"/>
          </w:tcPr>
          <w:p w14:paraId="16FB5098" w14:textId="033CC829" w:rsidR="001E76EE" w:rsidRPr="000D756E" w:rsidRDefault="001E76EE" w:rsidP="00AE0DA2">
            <w:pPr>
              <w:rPr>
                <w:rFonts w:ascii="Arial" w:hAnsi="Arial" w:cs="Arial"/>
                <w:sz w:val="24"/>
                <w:szCs w:val="24"/>
              </w:rPr>
            </w:pPr>
            <w:r w:rsidRPr="000D756E">
              <w:rPr>
                <w:rFonts w:ascii="Arial" w:hAnsi="Arial" w:cs="Arial"/>
                <w:sz w:val="24"/>
                <w:szCs w:val="24"/>
              </w:rPr>
              <w:t xml:space="preserve">Executive </w:t>
            </w:r>
            <w:r w:rsidR="003A145F" w:rsidRPr="000D756E">
              <w:rPr>
                <w:rFonts w:ascii="Arial" w:hAnsi="Arial" w:cs="Arial"/>
                <w:sz w:val="24"/>
                <w:szCs w:val="24"/>
              </w:rPr>
              <w:t xml:space="preserve">&amp; </w:t>
            </w:r>
            <w:r w:rsidRPr="000D756E">
              <w:rPr>
                <w:rFonts w:ascii="Arial" w:hAnsi="Arial" w:cs="Arial"/>
                <w:sz w:val="24"/>
                <w:szCs w:val="24"/>
              </w:rPr>
              <w:t>Resources</w:t>
            </w:r>
          </w:p>
        </w:tc>
        <w:tc>
          <w:tcPr>
            <w:tcW w:w="1701" w:type="dxa"/>
          </w:tcPr>
          <w:p w14:paraId="03238256" w14:textId="198C3C48" w:rsidR="002C2B73" w:rsidRPr="000D756E" w:rsidRDefault="003C0A8A" w:rsidP="00601C12">
            <w:pPr>
              <w:jc w:val="right"/>
              <w:rPr>
                <w:rFonts w:ascii="Arial" w:hAnsi="Arial" w:cs="Arial"/>
                <w:sz w:val="24"/>
                <w:szCs w:val="24"/>
              </w:rPr>
            </w:pPr>
            <w:r>
              <w:rPr>
                <w:rFonts w:ascii="Arial" w:hAnsi="Arial" w:cs="Arial"/>
                <w:sz w:val="24"/>
                <w:szCs w:val="24"/>
              </w:rPr>
              <w:t>5,088</w:t>
            </w:r>
          </w:p>
        </w:tc>
        <w:tc>
          <w:tcPr>
            <w:tcW w:w="1701" w:type="dxa"/>
          </w:tcPr>
          <w:p w14:paraId="6BF4B01E" w14:textId="1BEED10E" w:rsidR="002C2B73" w:rsidRPr="000D756E" w:rsidRDefault="00B071A4" w:rsidP="006B145E">
            <w:pPr>
              <w:jc w:val="right"/>
              <w:rPr>
                <w:rFonts w:ascii="Arial" w:hAnsi="Arial" w:cs="Arial"/>
                <w:sz w:val="24"/>
                <w:szCs w:val="24"/>
              </w:rPr>
            </w:pPr>
            <w:r>
              <w:rPr>
                <w:rFonts w:ascii="Arial" w:hAnsi="Arial" w:cs="Arial"/>
                <w:sz w:val="24"/>
                <w:szCs w:val="24"/>
              </w:rPr>
              <w:t>4,72</w:t>
            </w:r>
            <w:r w:rsidR="00006654">
              <w:rPr>
                <w:rFonts w:ascii="Arial" w:hAnsi="Arial" w:cs="Arial"/>
                <w:sz w:val="24"/>
                <w:szCs w:val="24"/>
              </w:rPr>
              <w:t>1</w:t>
            </w:r>
          </w:p>
        </w:tc>
        <w:tc>
          <w:tcPr>
            <w:tcW w:w="1701" w:type="dxa"/>
          </w:tcPr>
          <w:p w14:paraId="41F4D286" w14:textId="279C84FD" w:rsidR="002C2B73" w:rsidRPr="000D756E" w:rsidRDefault="001A00EB" w:rsidP="00883EE8">
            <w:pPr>
              <w:jc w:val="right"/>
              <w:rPr>
                <w:rFonts w:ascii="Arial" w:hAnsi="Arial" w:cs="Arial"/>
                <w:sz w:val="24"/>
                <w:szCs w:val="24"/>
              </w:rPr>
            </w:pPr>
            <w:r>
              <w:rPr>
                <w:rFonts w:ascii="Arial" w:hAnsi="Arial" w:cs="Arial"/>
                <w:sz w:val="24"/>
                <w:szCs w:val="24"/>
              </w:rPr>
              <w:t>9,8</w:t>
            </w:r>
            <w:r w:rsidR="00006654">
              <w:rPr>
                <w:rFonts w:ascii="Arial" w:hAnsi="Arial" w:cs="Arial"/>
                <w:sz w:val="24"/>
                <w:szCs w:val="24"/>
              </w:rPr>
              <w:t>09</w:t>
            </w:r>
          </w:p>
        </w:tc>
        <w:tc>
          <w:tcPr>
            <w:tcW w:w="1560" w:type="dxa"/>
          </w:tcPr>
          <w:p w14:paraId="0EC54278" w14:textId="5EF2309E" w:rsidR="002C2B73" w:rsidRPr="000D756E" w:rsidRDefault="00122CBD" w:rsidP="00883EE8">
            <w:pPr>
              <w:jc w:val="right"/>
              <w:rPr>
                <w:rFonts w:ascii="Arial" w:hAnsi="Arial" w:cs="Arial"/>
                <w:sz w:val="24"/>
                <w:szCs w:val="24"/>
              </w:rPr>
            </w:pPr>
            <w:r>
              <w:rPr>
                <w:rFonts w:ascii="Arial" w:hAnsi="Arial" w:cs="Arial"/>
                <w:sz w:val="24"/>
                <w:szCs w:val="24"/>
              </w:rPr>
              <w:t>-1,650</w:t>
            </w:r>
          </w:p>
        </w:tc>
        <w:tc>
          <w:tcPr>
            <w:tcW w:w="1559" w:type="dxa"/>
          </w:tcPr>
          <w:p w14:paraId="7A00DDC5" w14:textId="73829022" w:rsidR="002C2B73" w:rsidRPr="000D756E" w:rsidRDefault="00DB4BB0" w:rsidP="00883EE8">
            <w:pPr>
              <w:jc w:val="right"/>
              <w:rPr>
                <w:rFonts w:ascii="Arial" w:hAnsi="Arial" w:cs="Arial"/>
                <w:sz w:val="24"/>
                <w:szCs w:val="24"/>
              </w:rPr>
            </w:pPr>
            <w:r>
              <w:rPr>
                <w:rFonts w:ascii="Arial" w:hAnsi="Arial" w:cs="Arial"/>
                <w:sz w:val="24"/>
                <w:szCs w:val="24"/>
              </w:rPr>
              <w:t>8,1</w:t>
            </w:r>
            <w:r w:rsidR="00CA7CD9">
              <w:rPr>
                <w:rFonts w:ascii="Arial" w:hAnsi="Arial" w:cs="Arial"/>
                <w:sz w:val="24"/>
                <w:szCs w:val="24"/>
              </w:rPr>
              <w:t>59</w:t>
            </w:r>
          </w:p>
        </w:tc>
      </w:tr>
      <w:tr w:rsidR="006071DF" w:rsidRPr="000D756E" w14:paraId="6A2417C4" w14:textId="77777777" w:rsidTr="004E3575">
        <w:tc>
          <w:tcPr>
            <w:tcW w:w="1701" w:type="dxa"/>
          </w:tcPr>
          <w:p w14:paraId="1A95C8DD" w14:textId="77777777" w:rsidR="001E76EE" w:rsidRPr="000D756E" w:rsidRDefault="001E76EE" w:rsidP="00AE0DA2">
            <w:pPr>
              <w:rPr>
                <w:rFonts w:ascii="Arial" w:hAnsi="Arial" w:cs="Arial"/>
                <w:sz w:val="24"/>
                <w:szCs w:val="24"/>
              </w:rPr>
            </w:pPr>
            <w:r w:rsidRPr="000D756E">
              <w:rPr>
                <w:rFonts w:ascii="Arial" w:hAnsi="Arial" w:cs="Arial"/>
                <w:sz w:val="24"/>
                <w:szCs w:val="24"/>
              </w:rPr>
              <w:t>Corporate Governance</w:t>
            </w:r>
          </w:p>
        </w:tc>
        <w:tc>
          <w:tcPr>
            <w:tcW w:w="1701" w:type="dxa"/>
          </w:tcPr>
          <w:p w14:paraId="777DF853" w14:textId="1CDE08A0" w:rsidR="002C2B73" w:rsidRPr="000D756E" w:rsidRDefault="003C0A8A" w:rsidP="00B83D4C">
            <w:pPr>
              <w:jc w:val="right"/>
              <w:rPr>
                <w:rFonts w:ascii="Arial" w:hAnsi="Arial" w:cs="Arial"/>
                <w:sz w:val="24"/>
                <w:szCs w:val="24"/>
              </w:rPr>
            </w:pPr>
            <w:r>
              <w:rPr>
                <w:rFonts w:ascii="Arial" w:hAnsi="Arial" w:cs="Arial"/>
                <w:sz w:val="24"/>
                <w:szCs w:val="24"/>
              </w:rPr>
              <w:t>5,032</w:t>
            </w:r>
          </w:p>
        </w:tc>
        <w:tc>
          <w:tcPr>
            <w:tcW w:w="1701" w:type="dxa"/>
          </w:tcPr>
          <w:p w14:paraId="10C1C1CC" w14:textId="15BB375C" w:rsidR="002C2B73" w:rsidRPr="000D756E" w:rsidRDefault="00B071A4" w:rsidP="006B145E">
            <w:pPr>
              <w:jc w:val="right"/>
              <w:rPr>
                <w:rFonts w:ascii="Arial" w:hAnsi="Arial" w:cs="Arial"/>
                <w:sz w:val="24"/>
                <w:szCs w:val="24"/>
              </w:rPr>
            </w:pPr>
            <w:r>
              <w:rPr>
                <w:rFonts w:ascii="Arial" w:hAnsi="Arial" w:cs="Arial"/>
                <w:sz w:val="24"/>
                <w:szCs w:val="24"/>
              </w:rPr>
              <w:t>0</w:t>
            </w:r>
          </w:p>
        </w:tc>
        <w:tc>
          <w:tcPr>
            <w:tcW w:w="1701" w:type="dxa"/>
          </w:tcPr>
          <w:p w14:paraId="1818CD48" w14:textId="5B38A1E5" w:rsidR="002C2B73" w:rsidRPr="000D756E" w:rsidRDefault="001A00EB" w:rsidP="00883EE8">
            <w:pPr>
              <w:jc w:val="right"/>
              <w:rPr>
                <w:rFonts w:ascii="Arial" w:hAnsi="Arial" w:cs="Arial"/>
                <w:sz w:val="24"/>
                <w:szCs w:val="24"/>
              </w:rPr>
            </w:pPr>
            <w:r>
              <w:rPr>
                <w:rFonts w:ascii="Arial" w:hAnsi="Arial" w:cs="Arial"/>
                <w:sz w:val="24"/>
                <w:szCs w:val="24"/>
              </w:rPr>
              <w:t>5,032</w:t>
            </w:r>
          </w:p>
        </w:tc>
        <w:tc>
          <w:tcPr>
            <w:tcW w:w="1560" w:type="dxa"/>
          </w:tcPr>
          <w:p w14:paraId="1C77FD40" w14:textId="4D34184A" w:rsidR="002C2B73" w:rsidRPr="000D756E" w:rsidRDefault="00122CBD" w:rsidP="00883EE8">
            <w:pPr>
              <w:jc w:val="right"/>
              <w:rPr>
                <w:rFonts w:ascii="Arial" w:hAnsi="Arial" w:cs="Arial"/>
                <w:sz w:val="24"/>
                <w:szCs w:val="24"/>
              </w:rPr>
            </w:pPr>
            <w:r>
              <w:rPr>
                <w:rFonts w:ascii="Arial" w:hAnsi="Arial" w:cs="Arial"/>
                <w:sz w:val="24"/>
                <w:szCs w:val="24"/>
              </w:rPr>
              <w:t>-119</w:t>
            </w:r>
          </w:p>
        </w:tc>
        <w:tc>
          <w:tcPr>
            <w:tcW w:w="1559" w:type="dxa"/>
          </w:tcPr>
          <w:p w14:paraId="77895238" w14:textId="512F79E6" w:rsidR="002C2B73" w:rsidRPr="000D756E" w:rsidRDefault="00DB4BB0" w:rsidP="00883EE8">
            <w:pPr>
              <w:jc w:val="right"/>
              <w:rPr>
                <w:rFonts w:ascii="Arial" w:hAnsi="Arial" w:cs="Arial"/>
                <w:sz w:val="24"/>
                <w:szCs w:val="24"/>
              </w:rPr>
            </w:pPr>
            <w:r>
              <w:rPr>
                <w:rFonts w:ascii="Arial" w:hAnsi="Arial" w:cs="Arial"/>
                <w:sz w:val="24"/>
                <w:szCs w:val="24"/>
              </w:rPr>
              <w:t>4,913</w:t>
            </w:r>
          </w:p>
        </w:tc>
      </w:tr>
      <w:tr w:rsidR="006071DF" w:rsidRPr="000D756E" w14:paraId="32E8A066" w14:textId="77777777" w:rsidTr="004E3575">
        <w:tc>
          <w:tcPr>
            <w:tcW w:w="1701" w:type="dxa"/>
          </w:tcPr>
          <w:p w14:paraId="05B0A9ED" w14:textId="77777777" w:rsidR="001E76EE" w:rsidRPr="000D756E" w:rsidRDefault="001E76EE" w:rsidP="00AE0DA2">
            <w:pPr>
              <w:rPr>
                <w:rFonts w:ascii="Arial" w:hAnsi="Arial" w:cs="Arial"/>
                <w:sz w:val="24"/>
                <w:szCs w:val="24"/>
              </w:rPr>
            </w:pPr>
            <w:r w:rsidRPr="000D756E">
              <w:rPr>
                <w:rFonts w:ascii="Arial" w:hAnsi="Arial" w:cs="Arial"/>
                <w:sz w:val="24"/>
                <w:szCs w:val="24"/>
              </w:rPr>
              <w:t>Service Delivery</w:t>
            </w:r>
          </w:p>
        </w:tc>
        <w:tc>
          <w:tcPr>
            <w:tcW w:w="1701" w:type="dxa"/>
          </w:tcPr>
          <w:p w14:paraId="1E4AB096" w14:textId="09F6AB99" w:rsidR="002C2B73" w:rsidRPr="000D756E" w:rsidRDefault="00B071A4" w:rsidP="004E3575">
            <w:pPr>
              <w:jc w:val="right"/>
              <w:rPr>
                <w:rFonts w:ascii="Arial" w:hAnsi="Arial" w:cs="Arial"/>
                <w:sz w:val="24"/>
                <w:szCs w:val="24"/>
              </w:rPr>
            </w:pPr>
            <w:r>
              <w:rPr>
                <w:rFonts w:ascii="Arial" w:hAnsi="Arial" w:cs="Arial"/>
                <w:sz w:val="24"/>
                <w:szCs w:val="24"/>
              </w:rPr>
              <w:t>18,243</w:t>
            </w:r>
          </w:p>
        </w:tc>
        <w:tc>
          <w:tcPr>
            <w:tcW w:w="1701" w:type="dxa"/>
          </w:tcPr>
          <w:p w14:paraId="6F63406C" w14:textId="4A478A68" w:rsidR="00CE6CD8" w:rsidRPr="000D756E" w:rsidRDefault="00B071A4" w:rsidP="00883EE8">
            <w:pPr>
              <w:jc w:val="right"/>
              <w:rPr>
                <w:rFonts w:ascii="Arial" w:hAnsi="Arial" w:cs="Arial"/>
                <w:sz w:val="24"/>
                <w:szCs w:val="24"/>
              </w:rPr>
            </w:pPr>
            <w:r>
              <w:rPr>
                <w:rFonts w:ascii="Arial" w:hAnsi="Arial" w:cs="Arial"/>
                <w:sz w:val="24"/>
                <w:szCs w:val="24"/>
              </w:rPr>
              <w:t>0</w:t>
            </w:r>
          </w:p>
        </w:tc>
        <w:tc>
          <w:tcPr>
            <w:tcW w:w="1701" w:type="dxa"/>
          </w:tcPr>
          <w:p w14:paraId="43BC9A92" w14:textId="3DA9E986" w:rsidR="00CE6CD8" w:rsidRPr="000D756E" w:rsidRDefault="001A00EB" w:rsidP="00883EE8">
            <w:pPr>
              <w:jc w:val="right"/>
              <w:rPr>
                <w:rFonts w:ascii="Arial" w:hAnsi="Arial" w:cs="Arial"/>
                <w:sz w:val="24"/>
                <w:szCs w:val="24"/>
              </w:rPr>
            </w:pPr>
            <w:r>
              <w:rPr>
                <w:rFonts w:ascii="Arial" w:hAnsi="Arial" w:cs="Arial"/>
                <w:sz w:val="24"/>
                <w:szCs w:val="24"/>
              </w:rPr>
              <w:t>18,243</w:t>
            </w:r>
          </w:p>
        </w:tc>
        <w:tc>
          <w:tcPr>
            <w:tcW w:w="1560" w:type="dxa"/>
          </w:tcPr>
          <w:p w14:paraId="72571816" w14:textId="3A2BD745" w:rsidR="00CE6CD8" w:rsidRPr="000D756E" w:rsidRDefault="00122CBD" w:rsidP="00883EE8">
            <w:pPr>
              <w:jc w:val="right"/>
              <w:rPr>
                <w:rFonts w:ascii="Arial" w:hAnsi="Arial" w:cs="Arial"/>
                <w:sz w:val="24"/>
                <w:szCs w:val="24"/>
              </w:rPr>
            </w:pPr>
            <w:r>
              <w:rPr>
                <w:rFonts w:ascii="Arial" w:hAnsi="Arial" w:cs="Arial"/>
                <w:sz w:val="24"/>
                <w:szCs w:val="24"/>
              </w:rPr>
              <w:t>295</w:t>
            </w:r>
          </w:p>
        </w:tc>
        <w:tc>
          <w:tcPr>
            <w:tcW w:w="1559" w:type="dxa"/>
          </w:tcPr>
          <w:p w14:paraId="55F1A8E1" w14:textId="021611B8" w:rsidR="00CE6CD8" w:rsidRPr="000D756E" w:rsidRDefault="00DB4BB0" w:rsidP="00883EE8">
            <w:pPr>
              <w:jc w:val="right"/>
              <w:rPr>
                <w:rFonts w:ascii="Arial" w:hAnsi="Arial" w:cs="Arial"/>
                <w:sz w:val="24"/>
                <w:szCs w:val="24"/>
              </w:rPr>
            </w:pPr>
            <w:r>
              <w:rPr>
                <w:rFonts w:ascii="Arial" w:hAnsi="Arial" w:cs="Arial"/>
                <w:sz w:val="24"/>
                <w:szCs w:val="24"/>
              </w:rPr>
              <w:t>18,538</w:t>
            </w:r>
          </w:p>
        </w:tc>
      </w:tr>
      <w:tr w:rsidR="006071DF" w:rsidRPr="000D756E" w14:paraId="05AE756E" w14:textId="77777777" w:rsidTr="004E3575">
        <w:tc>
          <w:tcPr>
            <w:tcW w:w="1701" w:type="dxa"/>
          </w:tcPr>
          <w:p w14:paraId="215E28AC" w14:textId="77777777" w:rsidR="00C2061F" w:rsidRPr="000D756E" w:rsidRDefault="00C2061F" w:rsidP="00AE0DA2">
            <w:pPr>
              <w:rPr>
                <w:rFonts w:ascii="Arial" w:hAnsi="Arial" w:cs="Arial"/>
                <w:b/>
                <w:sz w:val="24"/>
                <w:szCs w:val="24"/>
              </w:rPr>
            </w:pPr>
          </w:p>
          <w:p w14:paraId="344B0A21" w14:textId="77777777" w:rsidR="001E76EE" w:rsidRPr="000D756E" w:rsidRDefault="001E76EE" w:rsidP="00AE0DA2">
            <w:pPr>
              <w:rPr>
                <w:rFonts w:ascii="Arial" w:hAnsi="Arial" w:cs="Arial"/>
                <w:b/>
                <w:sz w:val="24"/>
                <w:szCs w:val="24"/>
              </w:rPr>
            </w:pPr>
            <w:r w:rsidRPr="000D756E">
              <w:rPr>
                <w:rFonts w:ascii="Arial" w:hAnsi="Arial" w:cs="Arial"/>
                <w:b/>
                <w:sz w:val="24"/>
                <w:szCs w:val="24"/>
              </w:rPr>
              <w:t>Net Cost of Services</w:t>
            </w:r>
          </w:p>
        </w:tc>
        <w:tc>
          <w:tcPr>
            <w:tcW w:w="1701" w:type="dxa"/>
          </w:tcPr>
          <w:p w14:paraId="4641C091" w14:textId="77777777" w:rsidR="00200FD3" w:rsidRDefault="00200FD3" w:rsidP="00B83D4C">
            <w:pPr>
              <w:jc w:val="right"/>
              <w:rPr>
                <w:rFonts w:ascii="Arial" w:hAnsi="Arial" w:cs="Arial"/>
                <w:b/>
                <w:sz w:val="24"/>
                <w:szCs w:val="24"/>
              </w:rPr>
            </w:pPr>
          </w:p>
          <w:p w14:paraId="7DB0CB1A" w14:textId="605005CB" w:rsidR="00B071A4" w:rsidRPr="000D756E" w:rsidRDefault="00B071A4" w:rsidP="00B83D4C">
            <w:pPr>
              <w:jc w:val="right"/>
              <w:rPr>
                <w:rFonts w:ascii="Arial" w:hAnsi="Arial" w:cs="Arial"/>
                <w:b/>
                <w:sz w:val="24"/>
                <w:szCs w:val="24"/>
              </w:rPr>
            </w:pPr>
            <w:r>
              <w:rPr>
                <w:rFonts w:ascii="Arial" w:hAnsi="Arial" w:cs="Arial"/>
                <w:b/>
                <w:sz w:val="24"/>
                <w:szCs w:val="24"/>
              </w:rPr>
              <w:t>28,363</w:t>
            </w:r>
          </w:p>
        </w:tc>
        <w:tc>
          <w:tcPr>
            <w:tcW w:w="1701" w:type="dxa"/>
          </w:tcPr>
          <w:p w14:paraId="4400A974" w14:textId="77777777" w:rsidR="00FD195C" w:rsidRDefault="00FD195C" w:rsidP="00883EE8">
            <w:pPr>
              <w:jc w:val="right"/>
              <w:rPr>
                <w:rFonts w:ascii="Arial" w:hAnsi="Arial" w:cs="Arial"/>
                <w:b/>
                <w:sz w:val="24"/>
                <w:szCs w:val="24"/>
              </w:rPr>
            </w:pPr>
          </w:p>
          <w:p w14:paraId="1B9695D5" w14:textId="4F321FA4" w:rsidR="00B071A4" w:rsidRPr="000D756E" w:rsidRDefault="00B071A4" w:rsidP="00883EE8">
            <w:pPr>
              <w:jc w:val="right"/>
              <w:rPr>
                <w:rFonts w:ascii="Arial" w:hAnsi="Arial" w:cs="Arial"/>
                <w:b/>
                <w:sz w:val="24"/>
                <w:szCs w:val="24"/>
              </w:rPr>
            </w:pPr>
            <w:r>
              <w:rPr>
                <w:rFonts w:ascii="Arial" w:hAnsi="Arial" w:cs="Arial"/>
                <w:b/>
                <w:sz w:val="24"/>
                <w:szCs w:val="24"/>
              </w:rPr>
              <w:t>4,72</w:t>
            </w:r>
            <w:r w:rsidR="00006654">
              <w:rPr>
                <w:rFonts w:ascii="Arial" w:hAnsi="Arial" w:cs="Arial"/>
                <w:b/>
                <w:sz w:val="24"/>
                <w:szCs w:val="24"/>
              </w:rPr>
              <w:t>1</w:t>
            </w:r>
          </w:p>
        </w:tc>
        <w:tc>
          <w:tcPr>
            <w:tcW w:w="1701" w:type="dxa"/>
          </w:tcPr>
          <w:p w14:paraId="4262E749" w14:textId="77777777" w:rsidR="0083714B" w:rsidRDefault="0083714B" w:rsidP="00883EE8">
            <w:pPr>
              <w:jc w:val="right"/>
              <w:rPr>
                <w:rFonts w:ascii="Arial" w:hAnsi="Arial" w:cs="Arial"/>
                <w:b/>
                <w:sz w:val="24"/>
                <w:szCs w:val="24"/>
              </w:rPr>
            </w:pPr>
          </w:p>
          <w:p w14:paraId="1BA86B00" w14:textId="266BAEE0" w:rsidR="00122CBD" w:rsidRPr="000D756E" w:rsidRDefault="00122CBD" w:rsidP="00883EE8">
            <w:pPr>
              <w:jc w:val="right"/>
              <w:rPr>
                <w:rFonts w:ascii="Arial" w:hAnsi="Arial" w:cs="Arial"/>
                <w:b/>
                <w:sz w:val="24"/>
                <w:szCs w:val="24"/>
              </w:rPr>
            </w:pPr>
            <w:r>
              <w:rPr>
                <w:rFonts w:ascii="Arial" w:hAnsi="Arial" w:cs="Arial"/>
                <w:b/>
                <w:sz w:val="24"/>
                <w:szCs w:val="24"/>
              </w:rPr>
              <w:t>33,08</w:t>
            </w:r>
            <w:r w:rsidR="00006654">
              <w:rPr>
                <w:rFonts w:ascii="Arial" w:hAnsi="Arial" w:cs="Arial"/>
                <w:b/>
                <w:sz w:val="24"/>
                <w:szCs w:val="24"/>
              </w:rPr>
              <w:t>4</w:t>
            </w:r>
          </w:p>
        </w:tc>
        <w:tc>
          <w:tcPr>
            <w:tcW w:w="1560" w:type="dxa"/>
          </w:tcPr>
          <w:p w14:paraId="530041B3" w14:textId="77777777" w:rsidR="00F150A1" w:rsidRDefault="00F150A1" w:rsidP="00883EE8">
            <w:pPr>
              <w:jc w:val="right"/>
              <w:rPr>
                <w:rFonts w:ascii="Arial" w:hAnsi="Arial" w:cs="Arial"/>
                <w:b/>
                <w:sz w:val="24"/>
                <w:szCs w:val="24"/>
              </w:rPr>
            </w:pPr>
          </w:p>
          <w:p w14:paraId="3809FBA5" w14:textId="35B9480B" w:rsidR="00122CBD" w:rsidRPr="000D756E" w:rsidRDefault="00122CBD" w:rsidP="00883EE8">
            <w:pPr>
              <w:jc w:val="right"/>
              <w:rPr>
                <w:rFonts w:ascii="Arial" w:hAnsi="Arial" w:cs="Arial"/>
                <w:b/>
                <w:sz w:val="24"/>
                <w:szCs w:val="24"/>
              </w:rPr>
            </w:pPr>
            <w:r>
              <w:rPr>
                <w:rFonts w:ascii="Arial" w:hAnsi="Arial" w:cs="Arial"/>
                <w:b/>
                <w:sz w:val="24"/>
                <w:szCs w:val="24"/>
              </w:rPr>
              <w:t>-1,474</w:t>
            </w:r>
          </w:p>
        </w:tc>
        <w:tc>
          <w:tcPr>
            <w:tcW w:w="1559" w:type="dxa"/>
          </w:tcPr>
          <w:p w14:paraId="0D36028A" w14:textId="77777777" w:rsidR="00F96511" w:rsidRDefault="00F96511" w:rsidP="00883EE8">
            <w:pPr>
              <w:jc w:val="right"/>
              <w:rPr>
                <w:rFonts w:ascii="Arial" w:hAnsi="Arial" w:cs="Arial"/>
                <w:b/>
                <w:sz w:val="24"/>
                <w:szCs w:val="24"/>
              </w:rPr>
            </w:pPr>
          </w:p>
          <w:p w14:paraId="2BC0273F" w14:textId="24D8CF9D" w:rsidR="00DB4BB0" w:rsidRPr="000D756E" w:rsidRDefault="00341B50" w:rsidP="00883EE8">
            <w:pPr>
              <w:jc w:val="right"/>
              <w:rPr>
                <w:rFonts w:ascii="Arial" w:hAnsi="Arial" w:cs="Arial"/>
                <w:b/>
                <w:sz w:val="24"/>
                <w:szCs w:val="24"/>
              </w:rPr>
            </w:pPr>
            <w:r>
              <w:rPr>
                <w:rFonts w:ascii="Arial" w:hAnsi="Arial" w:cs="Arial"/>
                <w:b/>
                <w:sz w:val="24"/>
                <w:szCs w:val="24"/>
              </w:rPr>
              <w:t>31,61</w:t>
            </w:r>
            <w:r w:rsidR="00CA7CD9">
              <w:rPr>
                <w:rFonts w:ascii="Arial" w:hAnsi="Arial" w:cs="Arial"/>
                <w:b/>
                <w:sz w:val="24"/>
                <w:szCs w:val="24"/>
              </w:rPr>
              <w:t>0</w:t>
            </w:r>
          </w:p>
        </w:tc>
      </w:tr>
      <w:tr w:rsidR="006071DF" w:rsidRPr="000D756E" w14:paraId="48A0E090" w14:textId="77777777" w:rsidTr="004E3575">
        <w:tc>
          <w:tcPr>
            <w:tcW w:w="1701" w:type="dxa"/>
          </w:tcPr>
          <w:p w14:paraId="63FA2271" w14:textId="6C107A61" w:rsidR="00795534" w:rsidRPr="000D756E" w:rsidRDefault="00795534" w:rsidP="00C2061F">
            <w:pPr>
              <w:rPr>
                <w:rFonts w:ascii="Arial" w:hAnsi="Arial" w:cs="Arial"/>
                <w:sz w:val="24"/>
                <w:szCs w:val="24"/>
              </w:rPr>
            </w:pPr>
            <w:r w:rsidRPr="000D756E">
              <w:rPr>
                <w:rFonts w:ascii="Arial" w:hAnsi="Arial" w:cs="Arial"/>
                <w:sz w:val="24"/>
                <w:szCs w:val="24"/>
              </w:rPr>
              <w:t>Profit on disposal of non current assets</w:t>
            </w:r>
          </w:p>
        </w:tc>
        <w:tc>
          <w:tcPr>
            <w:tcW w:w="1701" w:type="dxa"/>
          </w:tcPr>
          <w:p w14:paraId="6D58FD88" w14:textId="77777777" w:rsidR="00795534" w:rsidRDefault="00795534" w:rsidP="004E3575">
            <w:pPr>
              <w:jc w:val="right"/>
              <w:rPr>
                <w:rFonts w:ascii="Arial" w:hAnsi="Arial" w:cs="Arial"/>
                <w:sz w:val="24"/>
                <w:szCs w:val="24"/>
              </w:rPr>
            </w:pPr>
          </w:p>
          <w:p w14:paraId="0E083614" w14:textId="0A032EBD" w:rsidR="00341B50" w:rsidRPr="000D756E" w:rsidRDefault="00341B50" w:rsidP="004E3575">
            <w:pPr>
              <w:jc w:val="right"/>
              <w:rPr>
                <w:rFonts w:ascii="Arial" w:hAnsi="Arial" w:cs="Arial"/>
                <w:sz w:val="24"/>
                <w:szCs w:val="24"/>
              </w:rPr>
            </w:pPr>
            <w:r>
              <w:rPr>
                <w:rFonts w:ascii="Arial" w:hAnsi="Arial" w:cs="Arial"/>
                <w:sz w:val="24"/>
                <w:szCs w:val="24"/>
              </w:rPr>
              <w:t>0</w:t>
            </w:r>
          </w:p>
        </w:tc>
        <w:tc>
          <w:tcPr>
            <w:tcW w:w="1701" w:type="dxa"/>
          </w:tcPr>
          <w:p w14:paraId="18944DE8" w14:textId="77777777" w:rsidR="00795534" w:rsidRDefault="00795534" w:rsidP="00883EE8">
            <w:pPr>
              <w:jc w:val="right"/>
              <w:rPr>
                <w:rFonts w:ascii="Arial" w:hAnsi="Arial" w:cs="Arial"/>
                <w:sz w:val="24"/>
                <w:szCs w:val="24"/>
              </w:rPr>
            </w:pPr>
          </w:p>
          <w:p w14:paraId="6C0F4C65" w14:textId="534E78CF" w:rsidR="00341B50" w:rsidRPr="000D756E" w:rsidRDefault="00A5016B" w:rsidP="00883EE8">
            <w:pPr>
              <w:jc w:val="right"/>
              <w:rPr>
                <w:rFonts w:ascii="Arial" w:hAnsi="Arial" w:cs="Arial"/>
                <w:sz w:val="24"/>
                <w:szCs w:val="24"/>
              </w:rPr>
            </w:pPr>
            <w:r>
              <w:rPr>
                <w:rFonts w:ascii="Arial" w:hAnsi="Arial" w:cs="Arial"/>
                <w:sz w:val="24"/>
                <w:szCs w:val="24"/>
              </w:rPr>
              <w:t>-141</w:t>
            </w:r>
          </w:p>
        </w:tc>
        <w:tc>
          <w:tcPr>
            <w:tcW w:w="1701" w:type="dxa"/>
          </w:tcPr>
          <w:p w14:paraId="6023A013" w14:textId="77777777" w:rsidR="00795534" w:rsidRDefault="00795534" w:rsidP="00883EE8">
            <w:pPr>
              <w:jc w:val="right"/>
              <w:rPr>
                <w:rFonts w:ascii="Arial" w:hAnsi="Arial" w:cs="Arial"/>
                <w:sz w:val="24"/>
                <w:szCs w:val="24"/>
              </w:rPr>
            </w:pPr>
          </w:p>
          <w:p w14:paraId="21F2A233" w14:textId="5457E357" w:rsidR="00A5016B" w:rsidRPr="000D756E" w:rsidRDefault="00A5016B" w:rsidP="00883EE8">
            <w:pPr>
              <w:jc w:val="right"/>
              <w:rPr>
                <w:rFonts w:ascii="Arial" w:hAnsi="Arial" w:cs="Arial"/>
                <w:sz w:val="24"/>
                <w:szCs w:val="24"/>
              </w:rPr>
            </w:pPr>
            <w:r>
              <w:rPr>
                <w:rFonts w:ascii="Arial" w:hAnsi="Arial" w:cs="Arial"/>
                <w:sz w:val="24"/>
                <w:szCs w:val="24"/>
              </w:rPr>
              <w:t>-141</w:t>
            </w:r>
          </w:p>
        </w:tc>
        <w:tc>
          <w:tcPr>
            <w:tcW w:w="1560" w:type="dxa"/>
          </w:tcPr>
          <w:p w14:paraId="443154B0" w14:textId="77777777" w:rsidR="00795534" w:rsidRDefault="00795534" w:rsidP="00883EE8">
            <w:pPr>
              <w:jc w:val="right"/>
              <w:rPr>
                <w:rFonts w:ascii="Arial" w:hAnsi="Arial" w:cs="Arial"/>
                <w:sz w:val="24"/>
                <w:szCs w:val="24"/>
              </w:rPr>
            </w:pPr>
          </w:p>
          <w:p w14:paraId="74453A64" w14:textId="4DA79E50" w:rsidR="00A5016B" w:rsidRPr="000D756E" w:rsidRDefault="00A5016B" w:rsidP="00883EE8">
            <w:pPr>
              <w:jc w:val="right"/>
              <w:rPr>
                <w:rFonts w:ascii="Arial" w:hAnsi="Arial" w:cs="Arial"/>
                <w:sz w:val="24"/>
                <w:szCs w:val="24"/>
              </w:rPr>
            </w:pPr>
            <w:r>
              <w:rPr>
                <w:rFonts w:ascii="Arial" w:hAnsi="Arial" w:cs="Arial"/>
                <w:sz w:val="24"/>
                <w:szCs w:val="24"/>
              </w:rPr>
              <w:t>117</w:t>
            </w:r>
          </w:p>
        </w:tc>
        <w:tc>
          <w:tcPr>
            <w:tcW w:w="1559" w:type="dxa"/>
          </w:tcPr>
          <w:p w14:paraId="3F67E280" w14:textId="77777777" w:rsidR="00795534" w:rsidRDefault="00795534" w:rsidP="00883EE8">
            <w:pPr>
              <w:jc w:val="right"/>
              <w:rPr>
                <w:rFonts w:ascii="Arial" w:hAnsi="Arial" w:cs="Arial"/>
                <w:sz w:val="24"/>
                <w:szCs w:val="24"/>
              </w:rPr>
            </w:pPr>
          </w:p>
          <w:p w14:paraId="1EDE138E" w14:textId="1C8B2DE0" w:rsidR="00A5016B" w:rsidRPr="000D756E" w:rsidRDefault="00A5016B" w:rsidP="00883EE8">
            <w:pPr>
              <w:jc w:val="right"/>
              <w:rPr>
                <w:rFonts w:ascii="Arial" w:hAnsi="Arial" w:cs="Arial"/>
                <w:sz w:val="24"/>
                <w:szCs w:val="24"/>
              </w:rPr>
            </w:pPr>
            <w:r>
              <w:rPr>
                <w:rFonts w:ascii="Arial" w:hAnsi="Arial" w:cs="Arial"/>
                <w:sz w:val="24"/>
                <w:szCs w:val="24"/>
              </w:rPr>
              <w:t>-24</w:t>
            </w:r>
          </w:p>
        </w:tc>
      </w:tr>
      <w:tr w:rsidR="006071DF" w:rsidRPr="000D756E" w14:paraId="1DF4D81F" w14:textId="77777777" w:rsidTr="004E3575">
        <w:tc>
          <w:tcPr>
            <w:tcW w:w="1701" w:type="dxa"/>
          </w:tcPr>
          <w:p w14:paraId="10F36C43" w14:textId="77777777" w:rsidR="00C2061F" w:rsidRPr="000D756E" w:rsidRDefault="00C2061F" w:rsidP="00C2061F">
            <w:pPr>
              <w:rPr>
                <w:rFonts w:ascii="Arial" w:hAnsi="Arial" w:cs="Arial"/>
                <w:sz w:val="24"/>
                <w:szCs w:val="24"/>
              </w:rPr>
            </w:pPr>
            <w:r w:rsidRPr="000D756E">
              <w:rPr>
                <w:rFonts w:ascii="Arial" w:hAnsi="Arial" w:cs="Arial"/>
                <w:sz w:val="24"/>
                <w:szCs w:val="24"/>
              </w:rPr>
              <w:t>Financing and Investment Income</w:t>
            </w:r>
          </w:p>
        </w:tc>
        <w:tc>
          <w:tcPr>
            <w:tcW w:w="1701" w:type="dxa"/>
          </w:tcPr>
          <w:p w14:paraId="181A48C6" w14:textId="77777777" w:rsidR="00200FD3" w:rsidRDefault="00200FD3" w:rsidP="004E3575">
            <w:pPr>
              <w:jc w:val="right"/>
              <w:rPr>
                <w:rFonts w:ascii="Arial" w:hAnsi="Arial" w:cs="Arial"/>
                <w:sz w:val="24"/>
                <w:szCs w:val="24"/>
              </w:rPr>
            </w:pPr>
          </w:p>
          <w:p w14:paraId="45DFFDD8" w14:textId="43668070" w:rsidR="00A5016B" w:rsidRPr="000D756E" w:rsidRDefault="00A5016B" w:rsidP="004E3575">
            <w:pPr>
              <w:jc w:val="right"/>
              <w:rPr>
                <w:rFonts w:ascii="Arial" w:hAnsi="Arial" w:cs="Arial"/>
                <w:sz w:val="24"/>
                <w:szCs w:val="24"/>
              </w:rPr>
            </w:pPr>
            <w:r>
              <w:rPr>
                <w:rFonts w:ascii="Arial" w:hAnsi="Arial" w:cs="Arial"/>
                <w:sz w:val="24"/>
                <w:szCs w:val="24"/>
              </w:rPr>
              <w:t>0</w:t>
            </w:r>
          </w:p>
        </w:tc>
        <w:tc>
          <w:tcPr>
            <w:tcW w:w="1701" w:type="dxa"/>
          </w:tcPr>
          <w:p w14:paraId="72502DB2" w14:textId="77777777" w:rsidR="00FD195C" w:rsidRDefault="00FD195C" w:rsidP="00883EE8">
            <w:pPr>
              <w:jc w:val="right"/>
              <w:rPr>
                <w:rFonts w:ascii="Arial" w:hAnsi="Arial" w:cs="Arial"/>
                <w:sz w:val="24"/>
                <w:szCs w:val="24"/>
              </w:rPr>
            </w:pPr>
          </w:p>
          <w:p w14:paraId="109A9D04" w14:textId="554C141D" w:rsidR="00A5016B" w:rsidRPr="000D756E" w:rsidRDefault="00A5016B" w:rsidP="00883EE8">
            <w:pPr>
              <w:jc w:val="right"/>
              <w:rPr>
                <w:rFonts w:ascii="Arial" w:hAnsi="Arial" w:cs="Arial"/>
                <w:sz w:val="24"/>
                <w:szCs w:val="24"/>
              </w:rPr>
            </w:pPr>
            <w:r>
              <w:rPr>
                <w:rFonts w:ascii="Arial" w:hAnsi="Arial" w:cs="Arial"/>
                <w:sz w:val="24"/>
                <w:szCs w:val="24"/>
              </w:rPr>
              <w:t>-24</w:t>
            </w:r>
            <w:r w:rsidR="00006654">
              <w:rPr>
                <w:rFonts w:ascii="Arial" w:hAnsi="Arial" w:cs="Arial"/>
                <w:sz w:val="24"/>
                <w:szCs w:val="24"/>
              </w:rPr>
              <w:t>2</w:t>
            </w:r>
          </w:p>
        </w:tc>
        <w:tc>
          <w:tcPr>
            <w:tcW w:w="1701" w:type="dxa"/>
          </w:tcPr>
          <w:p w14:paraId="2BCF0901" w14:textId="77777777" w:rsidR="0083714B" w:rsidRDefault="0083714B" w:rsidP="00883EE8">
            <w:pPr>
              <w:jc w:val="right"/>
              <w:rPr>
                <w:rFonts w:ascii="Arial" w:hAnsi="Arial" w:cs="Arial"/>
                <w:sz w:val="24"/>
                <w:szCs w:val="24"/>
              </w:rPr>
            </w:pPr>
          </w:p>
          <w:p w14:paraId="094E8C3D" w14:textId="415E560E" w:rsidR="00A5016B" w:rsidRPr="000D756E" w:rsidRDefault="00A5016B" w:rsidP="00883EE8">
            <w:pPr>
              <w:jc w:val="right"/>
              <w:rPr>
                <w:rFonts w:ascii="Arial" w:hAnsi="Arial" w:cs="Arial"/>
                <w:sz w:val="24"/>
                <w:szCs w:val="24"/>
              </w:rPr>
            </w:pPr>
            <w:r>
              <w:rPr>
                <w:rFonts w:ascii="Arial" w:hAnsi="Arial" w:cs="Arial"/>
                <w:sz w:val="24"/>
                <w:szCs w:val="24"/>
              </w:rPr>
              <w:t>-24</w:t>
            </w:r>
            <w:r w:rsidR="00CA7CD9">
              <w:rPr>
                <w:rFonts w:ascii="Arial" w:hAnsi="Arial" w:cs="Arial"/>
                <w:sz w:val="24"/>
                <w:szCs w:val="24"/>
              </w:rPr>
              <w:t>2</w:t>
            </w:r>
          </w:p>
        </w:tc>
        <w:tc>
          <w:tcPr>
            <w:tcW w:w="1560" w:type="dxa"/>
          </w:tcPr>
          <w:p w14:paraId="2F31512E" w14:textId="77777777" w:rsidR="00BF7E7C" w:rsidRDefault="00BF7E7C" w:rsidP="00883EE8">
            <w:pPr>
              <w:jc w:val="right"/>
              <w:rPr>
                <w:rFonts w:ascii="Arial" w:hAnsi="Arial" w:cs="Arial"/>
                <w:sz w:val="24"/>
                <w:szCs w:val="24"/>
              </w:rPr>
            </w:pPr>
          </w:p>
          <w:p w14:paraId="74AE794F" w14:textId="10B68054" w:rsidR="00A5016B" w:rsidRPr="000D756E" w:rsidRDefault="00A5016B" w:rsidP="00883EE8">
            <w:pPr>
              <w:jc w:val="right"/>
              <w:rPr>
                <w:rFonts w:ascii="Arial" w:hAnsi="Arial" w:cs="Arial"/>
                <w:sz w:val="24"/>
                <w:szCs w:val="24"/>
              </w:rPr>
            </w:pPr>
            <w:r>
              <w:rPr>
                <w:rFonts w:ascii="Arial" w:hAnsi="Arial" w:cs="Arial"/>
                <w:sz w:val="24"/>
                <w:szCs w:val="24"/>
              </w:rPr>
              <w:t>8,780</w:t>
            </w:r>
          </w:p>
        </w:tc>
        <w:tc>
          <w:tcPr>
            <w:tcW w:w="1559" w:type="dxa"/>
          </w:tcPr>
          <w:p w14:paraId="0E9017A2" w14:textId="77777777" w:rsidR="00F96511" w:rsidRDefault="00F96511" w:rsidP="00883EE8">
            <w:pPr>
              <w:jc w:val="right"/>
              <w:rPr>
                <w:rFonts w:ascii="Arial" w:hAnsi="Arial" w:cs="Arial"/>
                <w:sz w:val="24"/>
                <w:szCs w:val="24"/>
              </w:rPr>
            </w:pPr>
          </w:p>
          <w:p w14:paraId="4545B31A" w14:textId="4D344FBD" w:rsidR="00A5016B" w:rsidRPr="000D756E" w:rsidRDefault="00A5016B" w:rsidP="00883EE8">
            <w:pPr>
              <w:jc w:val="right"/>
              <w:rPr>
                <w:rFonts w:ascii="Arial" w:hAnsi="Arial" w:cs="Arial"/>
                <w:sz w:val="24"/>
                <w:szCs w:val="24"/>
              </w:rPr>
            </w:pPr>
            <w:r>
              <w:rPr>
                <w:rFonts w:ascii="Arial" w:hAnsi="Arial" w:cs="Arial"/>
                <w:sz w:val="24"/>
                <w:szCs w:val="24"/>
              </w:rPr>
              <w:t>8,53</w:t>
            </w:r>
            <w:r w:rsidR="00CA7CD9">
              <w:rPr>
                <w:rFonts w:ascii="Arial" w:hAnsi="Arial" w:cs="Arial"/>
                <w:sz w:val="24"/>
                <w:szCs w:val="24"/>
              </w:rPr>
              <w:t>8</w:t>
            </w:r>
          </w:p>
        </w:tc>
      </w:tr>
      <w:tr w:rsidR="006071DF" w:rsidRPr="000D756E" w14:paraId="37BF1892" w14:textId="77777777" w:rsidTr="004E3575">
        <w:tc>
          <w:tcPr>
            <w:tcW w:w="1701" w:type="dxa"/>
          </w:tcPr>
          <w:p w14:paraId="5513D169" w14:textId="77777777" w:rsidR="001E76EE" w:rsidRPr="000D756E" w:rsidRDefault="00C2061F" w:rsidP="00AE0DA2">
            <w:pPr>
              <w:rPr>
                <w:rFonts w:ascii="Arial" w:hAnsi="Arial" w:cs="Arial"/>
                <w:sz w:val="24"/>
                <w:szCs w:val="24"/>
              </w:rPr>
            </w:pPr>
            <w:r w:rsidRPr="000D756E">
              <w:rPr>
                <w:rFonts w:ascii="Arial" w:hAnsi="Arial" w:cs="Arial"/>
                <w:sz w:val="24"/>
                <w:szCs w:val="24"/>
              </w:rPr>
              <w:t>Precepts and Grants</w:t>
            </w:r>
          </w:p>
        </w:tc>
        <w:tc>
          <w:tcPr>
            <w:tcW w:w="1701" w:type="dxa"/>
          </w:tcPr>
          <w:p w14:paraId="11FBB34A" w14:textId="127BE132" w:rsidR="00927F4D" w:rsidRPr="000D756E" w:rsidRDefault="00E06C6B" w:rsidP="004E3575">
            <w:pPr>
              <w:jc w:val="right"/>
              <w:rPr>
                <w:rFonts w:ascii="Arial" w:hAnsi="Arial" w:cs="Arial"/>
                <w:sz w:val="24"/>
                <w:szCs w:val="24"/>
              </w:rPr>
            </w:pPr>
            <w:r>
              <w:rPr>
                <w:rFonts w:ascii="Arial" w:hAnsi="Arial" w:cs="Arial"/>
                <w:sz w:val="24"/>
                <w:szCs w:val="24"/>
              </w:rPr>
              <w:t>0</w:t>
            </w:r>
          </w:p>
        </w:tc>
        <w:tc>
          <w:tcPr>
            <w:tcW w:w="1701" w:type="dxa"/>
          </w:tcPr>
          <w:p w14:paraId="784B160F" w14:textId="406D6BA1" w:rsidR="00083C7D" w:rsidRPr="000D756E" w:rsidRDefault="00E06C6B" w:rsidP="00883EE8">
            <w:pPr>
              <w:jc w:val="right"/>
              <w:rPr>
                <w:rFonts w:ascii="Arial" w:hAnsi="Arial" w:cs="Arial"/>
                <w:sz w:val="24"/>
                <w:szCs w:val="24"/>
              </w:rPr>
            </w:pPr>
            <w:r>
              <w:rPr>
                <w:rFonts w:ascii="Arial" w:hAnsi="Arial" w:cs="Arial"/>
                <w:sz w:val="24"/>
                <w:szCs w:val="24"/>
              </w:rPr>
              <w:t>-30,118</w:t>
            </w:r>
          </w:p>
        </w:tc>
        <w:tc>
          <w:tcPr>
            <w:tcW w:w="1701" w:type="dxa"/>
          </w:tcPr>
          <w:p w14:paraId="7CE06A35" w14:textId="348ED96F" w:rsidR="00083C7D" w:rsidRPr="000D756E" w:rsidRDefault="00690D63" w:rsidP="00883EE8">
            <w:pPr>
              <w:jc w:val="right"/>
              <w:rPr>
                <w:rFonts w:ascii="Arial" w:hAnsi="Arial" w:cs="Arial"/>
                <w:sz w:val="24"/>
                <w:szCs w:val="24"/>
              </w:rPr>
            </w:pPr>
            <w:r>
              <w:rPr>
                <w:rFonts w:ascii="Arial" w:hAnsi="Arial" w:cs="Arial"/>
                <w:sz w:val="24"/>
                <w:szCs w:val="24"/>
              </w:rPr>
              <w:t>-30,118</w:t>
            </w:r>
          </w:p>
        </w:tc>
        <w:tc>
          <w:tcPr>
            <w:tcW w:w="1560" w:type="dxa"/>
          </w:tcPr>
          <w:p w14:paraId="5CBEAF37" w14:textId="7F46B5BC" w:rsidR="00083C7D" w:rsidRPr="000D756E" w:rsidRDefault="00690D63" w:rsidP="00883EE8">
            <w:pPr>
              <w:jc w:val="right"/>
              <w:rPr>
                <w:rFonts w:ascii="Arial" w:hAnsi="Arial" w:cs="Arial"/>
                <w:sz w:val="24"/>
                <w:szCs w:val="24"/>
              </w:rPr>
            </w:pPr>
            <w:r>
              <w:rPr>
                <w:rFonts w:ascii="Arial" w:hAnsi="Arial" w:cs="Arial"/>
                <w:sz w:val="24"/>
                <w:szCs w:val="24"/>
              </w:rPr>
              <w:t>-266</w:t>
            </w:r>
          </w:p>
        </w:tc>
        <w:tc>
          <w:tcPr>
            <w:tcW w:w="1559" w:type="dxa"/>
          </w:tcPr>
          <w:p w14:paraId="419978E1" w14:textId="46BEE66B" w:rsidR="00083C7D" w:rsidRPr="000D756E" w:rsidRDefault="00690D63" w:rsidP="00883EE8">
            <w:pPr>
              <w:jc w:val="right"/>
              <w:rPr>
                <w:rFonts w:ascii="Arial" w:hAnsi="Arial" w:cs="Arial"/>
                <w:sz w:val="24"/>
                <w:szCs w:val="24"/>
              </w:rPr>
            </w:pPr>
            <w:r>
              <w:rPr>
                <w:rFonts w:ascii="Arial" w:hAnsi="Arial" w:cs="Arial"/>
                <w:sz w:val="24"/>
                <w:szCs w:val="24"/>
              </w:rPr>
              <w:t>-30,384</w:t>
            </w:r>
          </w:p>
        </w:tc>
      </w:tr>
      <w:tr w:rsidR="006071DF" w:rsidRPr="000D756E" w14:paraId="7E232A6B" w14:textId="77777777" w:rsidTr="00A97085">
        <w:trPr>
          <w:trHeight w:val="918"/>
        </w:trPr>
        <w:tc>
          <w:tcPr>
            <w:tcW w:w="1701" w:type="dxa"/>
          </w:tcPr>
          <w:p w14:paraId="391E61CC" w14:textId="77777777" w:rsidR="001E76EE" w:rsidRPr="000D756E" w:rsidRDefault="001E76EE" w:rsidP="00AE0DA2">
            <w:pPr>
              <w:rPr>
                <w:rFonts w:ascii="Arial" w:hAnsi="Arial" w:cs="Arial"/>
                <w:b/>
                <w:sz w:val="24"/>
                <w:szCs w:val="24"/>
              </w:rPr>
            </w:pPr>
            <w:r w:rsidRPr="000D756E">
              <w:rPr>
                <w:rFonts w:ascii="Arial" w:hAnsi="Arial" w:cs="Arial"/>
                <w:b/>
                <w:sz w:val="24"/>
                <w:szCs w:val="24"/>
              </w:rPr>
              <w:t>Surplus (-) or Deficit</w:t>
            </w:r>
          </w:p>
        </w:tc>
        <w:tc>
          <w:tcPr>
            <w:tcW w:w="1701" w:type="dxa"/>
          </w:tcPr>
          <w:p w14:paraId="5130E6D4" w14:textId="77777777" w:rsidR="00FD195C" w:rsidRDefault="00FD195C" w:rsidP="00B83D4C">
            <w:pPr>
              <w:jc w:val="right"/>
              <w:rPr>
                <w:rFonts w:ascii="Arial" w:hAnsi="Arial" w:cs="Arial"/>
                <w:b/>
                <w:sz w:val="24"/>
                <w:szCs w:val="24"/>
              </w:rPr>
            </w:pPr>
          </w:p>
          <w:p w14:paraId="0DB58D77" w14:textId="25B73889" w:rsidR="00690D63" w:rsidRPr="000D756E" w:rsidRDefault="00690D63" w:rsidP="00B83D4C">
            <w:pPr>
              <w:jc w:val="right"/>
              <w:rPr>
                <w:rFonts w:ascii="Arial" w:hAnsi="Arial" w:cs="Arial"/>
                <w:b/>
                <w:sz w:val="24"/>
                <w:szCs w:val="24"/>
              </w:rPr>
            </w:pPr>
            <w:r>
              <w:rPr>
                <w:rFonts w:ascii="Arial" w:hAnsi="Arial" w:cs="Arial"/>
                <w:b/>
                <w:sz w:val="24"/>
                <w:szCs w:val="24"/>
              </w:rPr>
              <w:t>28,363</w:t>
            </w:r>
          </w:p>
        </w:tc>
        <w:tc>
          <w:tcPr>
            <w:tcW w:w="1701" w:type="dxa"/>
          </w:tcPr>
          <w:p w14:paraId="0F541B98" w14:textId="77777777" w:rsidR="00956A06" w:rsidRDefault="00956A06" w:rsidP="00883EE8">
            <w:pPr>
              <w:jc w:val="right"/>
              <w:rPr>
                <w:rFonts w:ascii="Arial" w:hAnsi="Arial" w:cs="Arial"/>
                <w:b/>
                <w:sz w:val="24"/>
                <w:szCs w:val="24"/>
              </w:rPr>
            </w:pPr>
          </w:p>
          <w:p w14:paraId="7FC8CF41" w14:textId="563CDD54" w:rsidR="00690D63" w:rsidRPr="000D756E" w:rsidRDefault="00690D63" w:rsidP="00883EE8">
            <w:pPr>
              <w:jc w:val="right"/>
              <w:rPr>
                <w:rFonts w:ascii="Arial" w:hAnsi="Arial" w:cs="Arial"/>
                <w:b/>
                <w:sz w:val="24"/>
                <w:szCs w:val="24"/>
              </w:rPr>
            </w:pPr>
            <w:r>
              <w:rPr>
                <w:rFonts w:ascii="Arial" w:hAnsi="Arial" w:cs="Arial"/>
                <w:b/>
                <w:sz w:val="24"/>
                <w:szCs w:val="24"/>
              </w:rPr>
              <w:t>-25,78</w:t>
            </w:r>
            <w:r w:rsidR="00804206">
              <w:rPr>
                <w:rFonts w:ascii="Arial" w:hAnsi="Arial" w:cs="Arial"/>
                <w:b/>
                <w:sz w:val="24"/>
                <w:szCs w:val="24"/>
              </w:rPr>
              <w:t>0</w:t>
            </w:r>
          </w:p>
        </w:tc>
        <w:tc>
          <w:tcPr>
            <w:tcW w:w="1701" w:type="dxa"/>
          </w:tcPr>
          <w:p w14:paraId="10518D19" w14:textId="77777777" w:rsidR="00C569FC" w:rsidRDefault="00C569FC" w:rsidP="00883EE8">
            <w:pPr>
              <w:jc w:val="right"/>
              <w:rPr>
                <w:rFonts w:ascii="Arial" w:hAnsi="Arial" w:cs="Arial"/>
                <w:b/>
                <w:sz w:val="24"/>
                <w:szCs w:val="24"/>
              </w:rPr>
            </w:pPr>
          </w:p>
          <w:p w14:paraId="598CED27" w14:textId="688168D6" w:rsidR="00690D63" w:rsidRPr="000D756E" w:rsidRDefault="00690D63" w:rsidP="00883EE8">
            <w:pPr>
              <w:jc w:val="right"/>
              <w:rPr>
                <w:rFonts w:ascii="Arial" w:hAnsi="Arial" w:cs="Arial"/>
                <w:b/>
                <w:sz w:val="24"/>
                <w:szCs w:val="24"/>
              </w:rPr>
            </w:pPr>
            <w:r>
              <w:rPr>
                <w:rFonts w:ascii="Arial" w:hAnsi="Arial" w:cs="Arial"/>
                <w:b/>
                <w:sz w:val="24"/>
                <w:szCs w:val="24"/>
              </w:rPr>
              <w:t>2,58</w:t>
            </w:r>
            <w:r w:rsidR="0023669F">
              <w:rPr>
                <w:rFonts w:ascii="Arial" w:hAnsi="Arial" w:cs="Arial"/>
                <w:b/>
                <w:sz w:val="24"/>
                <w:szCs w:val="24"/>
              </w:rPr>
              <w:t>3</w:t>
            </w:r>
          </w:p>
        </w:tc>
        <w:tc>
          <w:tcPr>
            <w:tcW w:w="1560" w:type="dxa"/>
          </w:tcPr>
          <w:p w14:paraId="02A7C801" w14:textId="77777777" w:rsidR="00F96511" w:rsidRDefault="00F96511" w:rsidP="00883EE8">
            <w:pPr>
              <w:jc w:val="right"/>
              <w:rPr>
                <w:rFonts w:ascii="Arial" w:hAnsi="Arial" w:cs="Arial"/>
                <w:b/>
                <w:sz w:val="24"/>
                <w:szCs w:val="24"/>
              </w:rPr>
            </w:pPr>
          </w:p>
          <w:p w14:paraId="642805CD" w14:textId="23D1BCF4" w:rsidR="00690D63" w:rsidRPr="000D756E" w:rsidRDefault="00690D63" w:rsidP="00883EE8">
            <w:pPr>
              <w:jc w:val="right"/>
              <w:rPr>
                <w:rFonts w:ascii="Arial" w:hAnsi="Arial" w:cs="Arial"/>
                <w:b/>
                <w:sz w:val="24"/>
                <w:szCs w:val="24"/>
              </w:rPr>
            </w:pPr>
            <w:r>
              <w:rPr>
                <w:rFonts w:ascii="Arial" w:hAnsi="Arial" w:cs="Arial"/>
                <w:b/>
                <w:sz w:val="24"/>
                <w:szCs w:val="24"/>
              </w:rPr>
              <w:t>7,157</w:t>
            </w:r>
          </w:p>
        </w:tc>
        <w:tc>
          <w:tcPr>
            <w:tcW w:w="1559" w:type="dxa"/>
          </w:tcPr>
          <w:p w14:paraId="07681900" w14:textId="77777777" w:rsidR="007E591B" w:rsidRDefault="007E591B" w:rsidP="00883EE8">
            <w:pPr>
              <w:jc w:val="right"/>
              <w:rPr>
                <w:rFonts w:ascii="Arial" w:hAnsi="Arial" w:cs="Arial"/>
                <w:b/>
                <w:sz w:val="24"/>
                <w:szCs w:val="24"/>
              </w:rPr>
            </w:pPr>
          </w:p>
          <w:p w14:paraId="614A6575" w14:textId="6A2D3973" w:rsidR="00690D63" w:rsidRPr="000D756E" w:rsidRDefault="00383CE4" w:rsidP="00883EE8">
            <w:pPr>
              <w:jc w:val="right"/>
              <w:rPr>
                <w:rFonts w:ascii="Arial" w:hAnsi="Arial" w:cs="Arial"/>
                <w:b/>
                <w:sz w:val="24"/>
                <w:szCs w:val="24"/>
              </w:rPr>
            </w:pPr>
            <w:r>
              <w:rPr>
                <w:rFonts w:ascii="Arial" w:hAnsi="Arial" w:cs="Arial"/>
                <w:b/>
                <w:sz w:val="24"/>
                <w:szCs w:val="24"/>
              </w:rPr>
              <w:t>9,740</w:t>
            </w:r>
          </w:p>
        </w:tc>
      </w:tr>
      <w:tr w:rsidR="006071DF" w:rsidRPr="000D756E" w14:paraId="01F228D0" w14:textId="77777777" w:rsidTr="004E3575">
        <w:tc>
          <w:tcPr>
            <w:tcW w:w="1701" w:type="dxa"/>
          </w:tcPr>
          <w:p w14:paraId="261F40CF" w14:textId="77777777" w:rsidR="00A97085" w:rsidRPr="000D756E" w:rsidRDefault="00A97085" w:rsidP="00AE0DA2">
            <w:pPr>
              <w:rPr>
                <w:rFonts w:ascii="Arial" w:hAnsi="Arial" w:cs="Arial"/>
                <w:bCs/>
                <w:sz w:val="24"/>
                <w:szCs w:val="24"/>
              </w:rPr>
            </w:pPr>
            <w:r w:rsidRPr="000D756E">
              <w:rPr>
                <w:rFonts w:ascii="Arial" w:hAnsi="Arial" w:cs="Arial"/>
                <w:bCs/>
                <w:sz w:val="24"/>
                <w:szCs w:val="24"/>
              </w:rPr>
              <w:t>Opening General Fund balance</w:t>
            </w:r>
          </w:p>
        </w:tc>
        <w:tc>
          <w:tcPr>
            <w:tcW w:w="1701" w:type="dxa"/>
          </w:tcPr>
          <w:p w14:paraId="18061B72" w14:textId="7A3304E7" w:rsidR="00686C76" w:rsidRPr="000D756E" w:rsidRDefault="00686C76" w:rsidP="00B83D4C">
            <w:pPr>
              <w:jc w:val="right"/>
              <w:rPr>
                <w:rFonts w:ascii="Arial" w:hAnsi="Arial" w:cs="Arial"/>
                <w:b/>
                <w:sz w:val="24"/>
                <w:szCs w:val="24"/>
              </w:rPr>
            </w:pPr>
          </w:p>
        </w:tc>
        <w:tc>
          <w:tcPr>
            <w:tcW w:w="1701" w:type="dxa"/>
          </w:tcPr>
          <w:p w14:paraId="3D579A83" w14:textId="77777777" w:rsidR="00A97085" w:rsidRPr="000D756E" w:rsidRDefault="00A97085" w:rsidP="004A7A40">
            <w:pPr>
              <w:jc w:val="right"/>
              <w:rPr>
                <w:rFonts w:ascii="Arial" w:hAnsi="Arial" w:cs="Arial"/>
                <w:b/>
                <w:sz w:val="24"/>
                <w:szCs w:val="24"/>
              </w:rPr>
            </w:pPr>
          </w:p>
        </w:tc>
        <w:tc>
          <w:tcPr>
            <w:tcW w:w="1701" w:type="dxa"/>
          </w:tcPr>
          <w:p w14:paraId="7C5BDDEE" w14:textId="77777777" w:rsidR="00C1613B" w:rsidRDefault="00C1613B" w:rsidP="00B83D4C">
            <w:pPr>
              <w:jc w:val="right"/>
              <w:rPr>
                <w:rFonts w:ascii="Arial" w:hAnsi="Arial" w:cs="Arial"/>
                <w:bCs/>
                <w:sz w:val="24"/>
                <w:szCs w:val="24"/>
              </w:rPr>
            </w:pPr>
          </w:p>
          <w:p w14:paraId="057A9D11" w14:textId="67F9FC95" w:rsidR="00C569FC" w:rsidRPr="000D756E" w:rsidRDefault="00C1613B" w:rsidP="00B83D4C">
            <w:pPr>
              <w:jc w:val="right"/>
              <w:rPr>
                <w:rFonts w:ascii="Arial" w:hAnsi="Arial" w:cs="Arial"/>
                <w:bCs/>
                <w:sz w:val="24"/>
                <w:szCs w:val="24"/>
              </w:rPr>
            </w:pPr>
            <w:r>
              <w:rPr>
                <w:rFonts w:ascii="Arial" w:hAnsi="Arial" w:cs="Arial"/>
                <w:bCs/>
                <w:sz w:val="24"/>
                <w:szCs w:val="24"/>
              </w:rPr>
              <w:t>13,560</w:t>
            </w:r>
          </w:p>
        </w:tc>
        <w:tc>
          <w:tcPr>
            <w:tcW w:w="1560" w:type="dxa"/>
          </w:tcPr>
          <w:p w14:paraId="4BE84A26" w14:textId="77777777" w:rsidR="00A97085" w:rsidRPr="000D756E" w:rsidRDefault="00A97085" w:rsidP="004E3575">
            <w:pPr>
              <w:jc w:val="right"/>
              <w:rPr>
                <w:rFonts w:ascii="Arial" w:hAnsi="Arial" w:cs="Arial"/>
                <w:b/>
                <w:sz w:val="24"/>
                <w:szCs w:val="24"/>
              </w:rPr>
            </w:pPr>
          </w:p>
        </w:tc>
        <w:tc>
          <w:tcPr>
            <w:tcW w:w="1559" w:type="dxa"/>
          </w:tcPr>
          <w:p w14:paraId="29717DC1" w14:textId="77777777" w:rsidR="00A97085" w:rsidRPr="000D756E" w:rsidRDefault="00A97085" w:rsidP="00B83D4C">
            <w:pPr>
              <w:jc w:val="right"/>
              <w:rPr>
                <w:rFonts w:ascii="Arial" w:hAnsi="Arial" w:cs="Arial"/>
                <w:b/>
                <w:sz w:val="24"/>
                <w:szCs w:val="24"/>
              </w:rPr>
            </w:pPr>
          </w:p>
        </w:tc>
      </w:tr>
      <w:tr w:rsidR="006071DF" w:rsidRPr="000D756E" w14:paraId="62B28C8C" w14:textId="77777777" w:rsidTr="004E3575">
        <w:tc>
          <w:tcPr>
            <w:tcW w:w="1701" w:type="dxa"/>
          </w:tcPr>
          <w:p w14:paraId="421462EB" w14:textId="77777777" w:rsidR="00A97085" w:rsidRPr="000D756E" w:rsidRDefault="00A97085" w:rsidP="00AE0DA2">
            <w:pPr>
              <w:rPr>
                <w:rFonts w:ascii="Arial" w:hAnsi="Arial" w:cs="Arial"/>
                <w:bCs/>
                <w:sz w:val="24"/>
                <w:szCs w:val="24"/>
              </w:rPr>
            </w:pPr>
            <w:r w:rsidRPr="000D756E">
              <w:rPr>
                <w:rFonts w:ascii="Arial" w:hAnsi="Arial" w:cs="Arial"/>
                <w:bCs/>
                <w:sz w:val="24"/>
                <w:szCs w:val="24"/>
              </w:rPr>
              <w:t>Surplus / deficit on General Fund balance during year</w:t>
            </w:r>
          </w:p>
        </w:tc>
        <w:tc>
          <w:tcPr>
            <w:tcW w:w="1701" w:type="dxa"/>
          </w:tcPr>
          <w:p w14:paraId="2323A36C" w14:textId="77777777" w:rsidR="00A97085" w:rsidRPr="000D756E" w:rsidRDefault="00A97085" w:rsidP="00B83D4C">
            <w:pPr>
              <w:jc w:val="right"/>
              <w:rPr>
                <w:rFonts w:ascii="Arial" w:hAnsi="Arial" w:cs="Arial"/>
                <w:b/>
                <w:sz w:val="24"/>
                <w:szCs w:val="24"/>
              </w:rPr>
            </w:pPr>
          </w:p>
        </w:tc>
        <w:tc>
          <w:tcPr>
            <w:tcW w:w="1701" w:type="dxa"/>
          </w:tcPr>
          <w:p w14:paraId="29412CBE" w14:textId="77777777" w:rsidR="00A97085" w:rsidRPr="000D756E" w:rsidRDefault="00A97085" w:rsidP="004A7A40">
            <w:pPr>
              <w:jc w:val="right"/>
              <w:rPr>
                <w:rFonts w:ascii="Arial" w:hAnsi="Arial" w:cs="Arial"/>
                <w:b/>
                <w:sz w:val="24"/>
                <w:szCs w:val="24"/>
              </w:rPr>
            </w:pPr>
          </w:p>
        </w:tc>
        <w:tc>
          <w:tcPr>
            <w:tcW w:w="1701" w:type="dxa"/>
          </w:tcPr>
          <w:p w14:paraId="23276654" w14:textId="77777777" w:rsidR="00C569FC" w:rsidRDefault="00C569FC" w:rsidP="00B83D4C">
            <w:pPr>
              <w:jc w:val="right"/>
              <w:rPr>
                <w:rFonts w:ascii="Arial" w:hAnsi="Arial" w:cs="Arial"/>
                <w:bCs/>
                <w:sz w:val="24"/>
                <w:szCs w:val="24"/>
              </w:rPr>
            </w:pPr>
          </w:p>
          <w:p w14:paraId="70942B00" w14:textId="675C41F1" w:rsidR="00312DE7" w:rsidRPr="000D756E" w:rsidRDefault="00312DE7" w:rsidP="00B83D4C">
            <w:pPr>
              <w:jc w:val="right"/>
              <w:rPr>
                <w:rFonts w:ascii="Arial" w:hAnsi="Arial" w:cs="Arial"/>
                <w:bCs/>
                <w:sz w:val="24"/>
                <w:szCs w:val="24"/>
              </w:rPr>
            </w:pPr>
            <w:r>
              <w:rPr>
                <w:rFonts w:ascii="Arial" w:hAnsi="Arial" w:cs="Arial"/>
                <w:bCs/>
                <w:sz w:val="24"/>
                <w:szCs w:val="24"/>
              </w:rPr>
              <w:t>-2,583</w:t>
            </w:r>
          </w:p>
        </w:tc>
        <w:tc>
          <w:tcPr>
            <w:tcW w:w="1560" w:type="dxa"/>
          </w:tcPr>
          <w:p w14:paraId="7F427FA7" w14:textId="77777777" w:rsidR="00A97085" w:rsidRPr="000D756E" w:rsidRDefault="00A97085" w:rsidP="004E3575">
            <w:pPr>
              <w:jc w:val="right"/>
              <w:rPr>
                <w:rFonts w:ascii="Arial" w:hAnsi="Arial" w:cs="Arial"/>
                <w:b/>
                <w:sz w:val="24"/>
                <w:szCs w:val="24"/>
              </w:rPr>
            </w:pPr>
          </w:p>
        </w:tc>
        <w:tc>
          <w:tcPr>
            <w:tcW w:w="1559" w:type="dxa"/>
          </w:tcPr>
          <w:p w14:paraId="35283629" w14:textId="77777777" w:rsidR="00A97085" w:rsidRPr="000D756E" w:rsidRDefault="00A97085" w:rsidP="00B83D4C">
            <w:pPr>
              <w:jc w:val="right"/>
              <w:rPr>
                <w:rFonts w:ascii="Arial" w:hAnsi="Arial" w:cs="Arial"/>
                <w:b/>
                <w:sz w:val="24"/>
                <w:szCs w:val="24"/>
              </w:rPr>
            </w:pPr>
          </w:p>
        </w:tc>
      </w:tr>
      <w:tr w:rsidR="006071DF" w:rsidRPr="000D756E" w14:paraId="2FFE553C" w14:textId="77777777" w:rsidTr="004E3575">
        <w:tc>
          <w:tcPr>
            <w:tcW w:w="1701" w:type="dxa"/>
          </w:tcPr>
          <w:p w14:paraId="76C6C5E6" w14:textId="77777777" w:rsidR="00A97085" w:rsidRPr="000D756E" w:rsidRDefault="00A97085" w:rsidP="00AE0DA2">
            <w:pPr>
              <w:rPr>
                <w:rFonts w:ascii="Arial" w:hAnsi="Arial" w:cs="Arial"/>
                <w:bCs/>
                <w:sz w:val="24"/>
                <w:szCs w:val="24"/>
              </w:rPr>
            </w:pPr>
            <w:r w:rsidRPr="000D756E">
              <w:rPr>
                <w:rFonts w:ascii="Arial" w:hAnsi="Arial" w:cs="Arial"/>
                <w:bCs/>
                <w:sz w:val="24"/>
                <w:szCs w:val="24"/>
              </w:rPr>
              <w:t>Closing General Fund balance</w:t>
            </w:r>
          </w:p>
        </w:tc>
        <w:tc>
          <w:tcPr>
            <w:tcW w:w="1701" w:type="dxa"/>
          </w:tcPr>
          <w:p w14:paraId="42A3101A" w14:textId="77777777" w:rsidR="00A97085" w:rsidRPr="000D756E" w:rsidRDefault="00A97085" w:rsidP="00B83D4C">
            <w:pPr>
              <w:jc w:val="right"/>
              <w:rPr>
                <w:rFonts w:ascii="Arial" w:hAnsi="Arial" w:cs="Arial"/>
                <w:b/>
                <w:sz w:val="24"/>
                <w:szCs w:val="24"/>
              </w:rPr>
            </w:pPr>
          </w:p>
        </w:tc>
        <w:tc>
          <w:tcPr>
            <w:tcW w:w="1701" w:type="dxa"/>
          </w:tcPr>
          <w:p w14:paraId="04AD7F8E" w14:textId="77777777" w:rsidR="00A97085" w:rsidRPr="000D756E" w:rsidRDefault="00A97085" w:rsidP="004A7A40">
            <w:pPr>
              <w:jc w:val="right"/>
              <w:rPr>
                <w:rFonts w:ascii="Arial" w:hAnsi="Arial" w:cs="Arial"/>
                <w:b/>
                <w:sz w:val="24"/>
                <w:szCs w:val="24"/>
              </w:rPr>
            </w:pPr>
          </w:p>
        </w:tc>
        <w:tc>
          <w:tcPr>
            <w:tcW w:w="1701" w:type="dxa"/>
          </w:tcPr>
          <w:p w14:paraId="39F2C9EE" w14:textId="77777777" w:rsidR="00C569FC" w:rsidRDefault="00C569FC" w:rsidP="00B83D4C">
            <w:pPr>
              <w:jc w:val="right"/>
              <w:rPr>
                <w:rFonts w:ascii="Arial" w:hAnsi="Arial" w:cs="Arial"/>
                <w:b/>
                <w:sz w:val="24"/>
                <w:szCs w:val="24"/>
              </w:rPr>
            </w:pPr>
          </w:p>
          <w:p w14:paraId="03971528" w14:textId="354F7ADB" w:rsidR="004316E3" w:rsidRPr="000D756E" w:rsidRDefault="004316E3" w:rsidP="00B83D4C">
            <w:pPr>
              <w:jc w:val="right"/>
              <w:rPr>
                <w:rFonts w:ascii="Arial" w:hAnsi="Arial" w:cs="Arial"/>
                <w:b/>
                <w:sz w:val="24"/>
                <w:szCs w:val="24"/>
              </w:rPr>
            </w:pPr>
            <w:r>
              <w:rPr>
                <w:rFonts w:ascii="Arial" w:hAnsi="Arial" w:cs="Arial"/>
                <w:b/>
                <w:sz w:val="24"/>
                <w:szCs w:val="24"/>
              </w:rPr>
              <w:t>10,977</w:t>
            </w:r>
          </w:p>
        </w:tc>
        <w:tc>
          <w:tcPr>
            <w:tcW w:w="1560" w:type="dxa"/>
          </w:tcPr>
          <w:p w14:paraId="56134572" w14:textId="77777777" w:rsidR="00A97085" w:rsidRPr="000D756E" w:rsidRDefault="00A97085" w:rsidP="004E3575">
            <w:pPr>
              <w:jc w:val="right"/>
              <w:rPr>
                <w:rFonts w:ascii="Arial" w:hAnsi="Arial" w:cs="Arial"/>
                <w:b/>
                <w:sz w:val="24"/>
                <w:szCs w:val="24"/>
              </w:rPr>
            </w:pPr>
          </w:p>
        </w:tc>
        <w:tc>
          <w:tcPr>
            <w:tcW w:w="1559" w:type="dxa"/>
          </w:tcPr>
          <w:p w14:paraId="3C5BFCCF" w14:textId="77777777" w:rsidR="00A97085" w:rsidRPr="000D756E" w:rsidRDefault="00A97085" w:rsidP="00B83D4C">
            <w:pPr>
              <w:jc w:val="right"/>
              <w:rPr>
                <w:rFonts w:ascii="Arial" w:hAnsi="Arial" w:cs="Arial"/>
                <w:b/>
                <w:sz w:val="24"/>
                <w:szCs w:val="24"/>
              </w:rPr>
            </w:pPr>
          </w:p>
        </w:tc>
      </w:tr>
    </w:tbl>
    <w:p w14:paraId="5A48CDA5" w14:textId="0DECCF9C" w:rsidR="0E6F239C" w:rsidRPr="000D756E" w:rsidRDefault="0E6F239C"/>
    <w:p w14:paraId="4B18B5F0" w14:textId="77777777" w:rsidR="00AE5BB7" w:rsidRPr="000D756E" w:rsidRDefault="00AE5BB7" w:rsidP="00AE0DA2">
      <w:pPr>
        <w:rPr>
          <w:rFonts w:ascii="Arial" w:hAnsi="Arial" w:cs="Arial"/>
          <w:sz w:val="24"/>
          <w:szCs w:val="24"/>
        </w:rPr>
      </w:pPr>
    </w:p>
    <w:p w14:paraId="0E089B8C" w14:textId="77777777" w:rsidR="00651F86" w:rsidRPr="000D756E" w:rsidRDefault="001E76EE" w:rsidP="004D3F79">
      <w:pPr>
        <w:ind w:firstLine="360"/>
        <w:rPr>
          <w:rFonts w:ascii="Arial" w:hAnsi="Arial" w:cs="Arial"/>
          <w:b/>
          <w:sz w:val="24"/>
          <w:szCs w:val="24"/>
        </w:rPr>
      </w:pPr>
      <w:r w:rsidRPr="000D756E">
        <w:rPr>
          <w:rFonts w:ascii="Arial" w:hAnsi="Arial" w:cs="Arial"/>
          <w:b/>
          <w:sz w:val="24"/>
          <w:szCs w:val="24"/>
        </w:rPr>
        <w:br w:type="page"/>
      </w:r>
    </w:p>
    <w:p w14:paraId="7B43F7CA" w14:textId="17930B34" w:rsidR="00651F86" w:rsidRPr="000D756E" w:rsidRDefault="00651F86" w:rsidP="00651F86">
      <w:pPr>
        <w:rPr>
          <w:rFonts w:ascii="Arial" w:hAnsi="Arial" w:cs="Arial"/>
          <w:b/>
          <w:sz w:val="24"/>
          <w:szCs w:val="24"/>
        </w:rPr>
      </w:pPr>
      <w:r w:rsidRPr="000D756E">
        <w:rPr>
          <w:rFonts w:ascii="Arial" w:hAnsi="Arial" w:cs="Arial"/>
          <w:b/>
          <w:sz w:val="24"/>
          <w:szCs w:val="24"/>
        </w:rPr>
        <w:lastRenderedPageBreak/>
        <w:t>20</w:t>
      </w:r>
      <w:r w:rsidR="00A86357" w:rsidRPr="000D756E">
        <w:rPr>
          <w:rFonts w:ascii="Arial" w:hAnsi="Arial" w:cs="Arial"/>
          <w:b/>
          <w:sz w:val="24"/>
          <w:szCs w:val="24"/>
        </w:rPr>
        <w:t>2</w:t>
      </w:r>
      <w:r w:rsidR="00E76231">
        <w:rPr>
          <w:rFonts w:ascii="Arial" w:hAnsi="Arial" w:cs="Arial"/>
          <w:b/>
          <w:sz w:val="24"/>
          <w:szCs w:val="24"/>
        </w:rPr>
        <w:t>3/24</w:t>
      </w:r>
    </w:p>
    <w:p w14:paraId="7985E77B" w14:textId="77777777" w:rsidR="00651F86" w:rsidRPr="000D756E" w:rsidRDefault="00651F86" w:rsidP="00651F86">
      <w:pPr>
        <w:rPr>
          <w:rFonts w:ascii="Arial" w:hAnsi="Arial" w:cs="Arial"/>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560"/>
        <w:gridCol w:w="1559"/>
      </w:tblGrid>
      <w:tr w:rsidR="006071DF" w:rsidRPr="000D756E" w14:paraId="41FD2B67" w14:textId="77777777" w:rsidTr="004E3575">
        <w:tc>
          <w:tcPr>
            <w:tcW w:w="1701" w:type="dxa"/>
          </w:tcPr>
          <w:p w14:paraId="388B4676" w14:textId="77777777" w:rsidR="009C48F5" w:rsidRPr="000D756E" w:rsidRDefault="009C48F5" w:rsidP="009C48F5">
            <w:pPr>
              <w:jc w:val="right"/>
              <w:rPr>
                <w:rFonts w:ascii="Arial" w:hAnsi="Arial" w:cs="Arial"/>
                <w:sz w:val="22"/>
                <w:szCs w:val="22"/>
              </w:rPr>
            </w:pPr>
          </w:p>
          <w:p w14:paraId="521AFB33" w14:textId="77777777" w:rsidR="009C48F5" w:rsidRPr="000D756E" w:rsidRDefault="009C48F5" w:rsidP="009C48F5">
            <w:pPr>
              <w:jc w:val="right"/>
              <w:rPr>
                <w:rFonts w:ascii="Arial" w:hAnsi="Arial" w:cs="Arial"/>
                <w:sz w:val="22"/>
                <w:szCs w:val="22"/>
              </w:rPr>
            </w:pPr>
          </w:p>
          <w:p w14:paraId="19085A7A" w14:textId="77777777" w:rsidR="009C48F5" w:rsidRPr="000D756E" w:rsidRDefault="009C48F5" w:rsidP="009C48F5">
            <w:pPr>
              <w:jc w:val="right"/>
              <w:rPr>
                <w:rFonts w:ascii="Arial" w:hAnsi="Arial" w:cs="Arial"/>
                <w:sz w:val="22"/>
                <w:szCs w:val="22"/>
              </w:rPr>
            </w:pPr>
          </w:p>
        </w:tc>
        <w:tc>
          <w:tcPr>
            <w:tcW w:w="1701" w:type="dxa"/>
          </w:tcPr>
          <w:p w14:paraId="27AFB36E" w14:textId="77777777" w:rsidR="009C48F5" w:rsidRPr="000D756E" w:rsidRDefault="009C48F5" w:rsidP="009C48F5">
            <w:pPr>
              <w:jc w:val="right"/>
              <w:rPr>
                <w:rFonts w:ascii="Arial" w:hAnsi="Arial" w:cs="Arial"/>
                <w:b/>
                <w:sz w:val="22"/>
                <w:szCs w:val="22"/>
              </w:rPr>
            </w:pPr>
          </w:p>
          <w:p w14:paraId="1A834161" w14:textId="77777777" w:rsidR="009C48F5" w:rsidRPr="000D756E" w:rsidRDefault="009C48F5" w:rsidP="009C48F5">
            <w:pPr>
              <w:jc w:val="right"/>
              <w:rPr>
                <w:rFonts w:ascii="Arial" w:hAnsi="Arial" w:cs="Arial"/>
                <w:b/>
                <w:sz w:val="22"/>
                <w:szCs w:val="22"/>
              </w:rPr>
            </w:pPr>
          </w:p>
          <w:p w14:paraId="386FE57B" w14:textId="77777777" w:rsidR="009C48F5" w:rsidRPr="000D756E" w:rsidRDefault="009C48F5" w:rsidP="009C48F5">
            <w:pPr>
              <w:jc w:val="right"/>
              <w:rPr>
                <w:rFonts w:ascii="Arial" w:hAnsi="Arial" w:cs="Arial"/>
                <w:b/>
                <w:sz w:val="22"/>
                <w:szCs w:val="22"/>
              </w:rPr>
            </w:pPr>
          </w:p>
          <w:p w14:paraId="37C35ED9" w14:textId="77777777" w:rsidR="009C48F5" w:rsidRPr="000D756E" w:rsidRDefault="009C48F5" w:rsidP="009C48F5">
            <w:pPr>
              <w:jc w:val="right"/>
              <w:rPr>
                <w:rFonts w:ascii="Arial" w:hAnsi="Arial" w:cs="Arial"/>
                <w:b/>
                <w:sz w:val="22"/>
                <w:szCs w:val="22"/>
              </w:rPr>
            </w:pPr>
          </w:p>
          <w:p w14:paraId="5D1A8964" w14:textId="77777777" w:rsidR="009C48F5" w:rsidRPr="000D756E" w:rsidRDefault="009C48F5" w:rsidP="009C48F5">
            <w:pPr>
              <w:jc w:val="right"/>
              <w:rPr>
                <w:rFonts w:ascii="Arial" w:hAnsi="Arial" w:cs="Arial"/>
                <w:b/>
                <w:sz w:val="22"/>
                <w:szCs w:val="22"/>
              </w:rPr>
            </w:pPr>
          </w:p>
          <w:p w14:paraId="5E15A402" w14:textId="77777777" w:rsidR="009C48F5" w:rsidRPr="000D756E" w:rsidRDefault="009C48F5" w:rsidP="009C48F5">
            <w:pPr>
              <w:jc w:val="right"/>
              <w:rPr>
                <w:rFonts w:ascii="Arial" w:hAnsi="Arial" w:cs="Arial"/>
                <w:b/>
                <w:sz w:val="22"/>
                <w:szCs w:val="22"/>
              </w:rPr>
            </w:pPr>
            <w:r w:rsidRPr="000D756E">
              <w:rPr>
                <w:rFonts w:ascii="Arial" w:hAnsi="Arial" w:cs="Arial"/>
                <w:b/>
                <w:sz w:val="22"/>
                <w:szCs w:val="22"/>
              </w:rPr>
              <w:t>As reported for resource</w:t>
            </w:r>
          </w:p>
          <w:p w14:paraId="7F41C307" w14:textId="77777777" w:rsidR="009C48F5" w:rsidRPr="000D756E" w:rsidRDefault="009C48F5" w:rsidP="009C48F5">
            <w:pPr>
              <w:jc w:val="right"/>
              <w:rPr>
                <w:rFonts w:ascii="Arial" w:hAnsi="Arial" w:cs="Arial"/>
                <w:b/>
                <w:sz w:val="22"/>
                <w:szCs w:val="22"/>
              </w:rPr>
            </w:pPr>
            <w:r w:rsidRPr="000D756E">
              <w:rPr>
                <w:rFonts w:ascii="Arial" w:hAnsi="Arial" w:cs="Arial"/>
                <w:b/>
                <w:sz w:val="22"/>
                <w:szCs w:val="22"/>
              </w:rPr>
              <w:t>management</w:t>
            </w:r>
          </w:p>
          <w:p w14:paraId="18E3EFBD" w14:textId="77777777" w:rsidR="009C48F5" w:rsidRPr="000D756E" w:rsidRDefault="009C48F5" w:rsidP="009C48F5">
            <w:pPr>
              <w:jc w:val="right"/>
              <w:rPr>
                <w:rFonts w:ascii="Arial" w:hAnsi="Arial" w:cs="Arial"/>
                <w:b/>
                <w:sz w:val="22"/>
                <w:szCs w:val="22"/>
              </w:rPr>
            </w:pPr>
          </w:p>
          <w:p w14:paraId="6EF2A903" w14:textId="7B70D370" w:rsidR="009C48F5" w:rsidRPr="000D756E" w:rsidRDefault="009C48F5" w:rsidP="009C48F5">
            <w:pPr>
              <w:jc w:val="right"/>
              <w:rPr>
                <w:rFonts w:ascii="Arial" w:hAnsi="Arial" w:cs="Arial"/>
                <w:b/>
                <w:sz w:val="22"/>
                <w:szCs w:val="22"/>
              </w:rPr>
            </w:pPr>
            <w:r w:rsidRPr="000D756E">
              <w:rPr>
                <w:rFonts w:ascii="Arial" w:hAnsi="Arial" w:cs="Arial"/>
                <w:b/>
                <w:sz w:val="22"/>
                <w:szCs w:val="22"/>
              </w:rPr>
              <w:t>£’000</w:t>
            </w:r>
          </w:p>
        </w:tc>
        <w:tc>
          <w:tcPr>
            <w:tcW w:w="1701" w:type="dxa"/>
          </w:tcPr>
          <w:p w14:paraId="04F370D1" w14:textId="77777777" w:rsidR="009C48F5" w:rsidRPr="000D756E" w:rsidRDefault="009C48F5" w:rsidP="009C48F5">
            <w:pPr>
              <w:jc w:val="right"/>
              <w:rPr>
                <w:rFonts w:ascii="Arial" w:hAnsi="Arial" w:cs="Arial"/>
                <w:b/>
                <w:sz w:val="22"/>
                <w:szCs w:val="22"/>
              </w:rPr>
            </w:pPr>
          </w:p>
          <w:p w14:paraId="0A3BC19E" w14:textId="2BA36ABE" w:rsidR="009C48F5" w:rsidRPr="000D756E" w:rsidRDefault="009C48F5" w:rsidP="009C48F5">
            <w:pPr>
              <w:jc w:val="right"/>
              <w:rPr>
                <w:rFonts w:ascii="Arial" w:hAnsi="Arial" w:cs="Arial"/>
                <w:b/>
                <w:sz w:val="22"/>
                <w:szCs w:val="22"/>
              </w:rPr>
            </w:pPr>
            <w:r w:rsidRPr="000D756E">
              <w:rPr>
                <w:rFonts w:ascii="Arial" w:hAnsi="Arial" w:cs="Arial"/>
                <w:b/>
                <w:sz w:val="22"/>
                <w:szCs w:val="22"/>
              </w:rPr>
              <w:t xml:space="preserve">Adjustment to arrive at the net amount chargeable to the General Fund balance (Note </w:t>
            </w:r>
            <w:r w:rsidR="00562022" w:rsidRPr="000D756E">
              <w:rPr>
                <w:rFonts w:ascii="Arial" w:hAnsi="Arial" w:cs="Arial"/>
                <w:b/>
                <w:sz w:val="22"/>
                <w:szCs w:val="22"/>
              </w:rPr>
              <w:t>3</w:t>
            </w:r>
            <w:r w:rsidR="0010111D" w:rsidRPr="000D756E">
              <w:rPr>
                <w:rFonts w:ascii="Arial" w:hAnsi="Arial" w:cs="Arial"/>
                <w:b/>
                <w:sz w:val="22"/>
                <w:szCs w:val="22"/>
              </w:rPr>
              <w:t>a</w:t>
            </w:r>
            <w:r w:rsidRPr="000D756E">
              <w:rPr>
                <w:rFonts w:ascii="Arial" w:hAnsi="Arial" w:cs="Arial"/>
                <w:b/>
                <w:sz w:val="22"/>
                <w:szCs w:val="22"/>
              </w:rPr>
              <w:t>)</w:t>
            </w:r>
          </w:p>
          <w:p w14:paraId="317F8D03" w14:textId="77777777" w:rsidR="009C48F5" w:rsidRPr="000D756E" w:rsidRDefault="009C48F5" w:rsidP="009C48F5">
            <w:pPr>
              <w:jc w:val="right"/>
              <w:rPr>
                <w:rFonts w:ascii="Arial" w:hAnsi="Arial" w:cs="Arial"/>
                <w:b/>
                <w:sz w:val="22"/>
                <w:szCs w:val="22"/>
              </w:rPr>
            </w:pPr>
          </w:p>
          <w:p w14:paraId="779DAC9C" w14:textId="055171ED" w:rsidR="009C48F5" w:rsidRPr="000D756E" w:rsidRDefault="009C48F5" w:rsidP="009C48F5">
            <w:pPr>
              <w:jc w:val="right"/>
              <w:rPr>
                <w:rFonts w:ascii="Arial" w:hAnsi="Arial" w:cs="Arial"/>
                <w:b/>
                <w:sz w:val="22"/>
                <w:szCs w:val="22"/>
              </w:rPr>
            </w:pPr>
            <w:r w:rsidRPr="000D756E">
              <w:rPr>
                <w:rFonts w:ascii="Arial" w:hAnsi="Arial" w:cs="Arial"/>
                <w:b/>
                <w:sz w:val="22"/>
                <w:szCs w:val="22"/>
              </w:rPr>
              <w:t>£’000</w:t>
            </w:r>
          </w:p>
        </w:tc>
        <w:tc>
          <w:tcPr>
            <w:tcW w:w="1701" w:type="dxa"/>
          </w:tcPr>
          <w:p w14:paraId="41D8F9EF" w14:textId="77777777" w:rsidR="009C48F5" w:rsidRPr="000D756E" w:rsidRDefault="009C48F5" w:rsidP="009C48F5">
            <w:pPr>
              <w:jc w:val="right"/>
              <w:rPr>
                <w:rFonts w:ascii="Arial" w:hAnsi="Arial" w:cs="Arial"/>
                <w:b/>
                <w:sz w:val="22"/>
                <w:szCs w:val="22"/>
              </w:rPr>
            </w:pPr>
          </w:p>
          <w:p w14:paraId="3BF9231C" w14:textId="77777777" w:rsidR="009C48F5" w:rsidRPr="000D756E" w:rsidRDefault="009C48F5" w:rsidP="009C48F5">
            <w:pPr>
              <w:jc w:val="right"/>
              <w:rPr>
                <w:rFonts w:ascii="Arial" w:hAnsi="Arial" w:cs="Arial"/>
                <w:b/>
                <w:sz w:val="22"/>
                <w:szCs w:val="22"/>
              </w:rPr>
            </w:pPr>
          </w:p>
          <w:p w14:paraId="5FC4C87B" w14:textId="77777777" w:rsidR="009C48F5" w:rsidRPr="000D756E" w:rsidRDefault="009C48F5" w:rsidP="009C48F5">
            <w:pPr>
              <w:jc w:val="right"/>
              <w:rPr>
                <w:rFonts w:ascii="Arial" w:hAnsi="Arial" w:cs="Arial"/>
                <w:b/>
                <w:sz w:val="22"/>
                <w:szCs w:val="22"/>
              </w:rPr>
            </w:pPr>
          </w:p>
          <w:p w14:paraId="1B4BF253" w14:textId="77777777" w:rsidR="009C48F5" w:rsidRPr="000D756E" w:rsidRDefault="009C48F5" w:rsidP="009C48F5">
            <w:pPr>
              <w:jc w:val="right"/>
              <w:rPr>
                <w:rFonts w:ascii="Arial" w:hAnsi="Arial" w:cs="Arial"/>
                <w:b/>
                <w:sz w:val="22"/>
                <w:szCs w:val="22"/>
              </w:rPr>
            </w:pPr>
            <w:r w:rsidRPr="000D756E">
              <w:rPr>
                <w:rFonts w:ascii="Arial" w:hAnsi="Arial" w:cs="Arial"/>
                <w:b/>
                <w:sz w:val="22"/>
                <w:szCs w:val="22"/>
              </w:rPr>
              <w:t>Net expenditure chargeable to the General Fund balance</w:t>
            </w:r>
          </w:p>
          <w:p w14:paraId="4B9C133F" w14:textId="77777777" w:rsidR="009C48F5" w:rsidRPr="000D756E" w:rsidRDefault="009C48F5" w:rsidP="009C48F5">
            <w:pPr>
              <w:jc w:val="right"/>
              <w:rPr>
                <w:rFonts w:ascii="Arial" w:hAnsi="Arial" w:cs="Arial"/>
                <w:b/>
                <w:sz w:val="22"/>
                <w:szCs w:val="22"/>
              </w:rPr>
            </w:pPr>
          </w:p>
          <w:p w14:paraId="58AADD97" w14:textId="3D9B4176" w:rsidR="009C48F5" w:rsidRPr="000D756E" w:rsidRDefault="009C48F5" w:rsidP="009C48F5">
            <w:pPr>
              <w:jc w:val="right"/>
              <w:rPr>
                <w:rFonts w:ascii="Arial" w:hAnsi="Arial" w:cs="Arial"/>
                <w:b/>
                <w:sz w:val="22"/>
                <w:szCs w:val="22"/>
              </w:rPr>
            </w:pPr>
            <w:r w:rsidRPr="000D756E">
              <w:rPr>
                <w:rFonts w:ascii="Arial" w:hAnsi="Arial" w:cs="Arial"/>
                <w:b/>
                <w:sz w:val="22"/>
                <w:szCs w:val="22"/>
              </w:rPr>
              <w:t>£’000</w:t>
            </w:r>
          </w:p>
        </w:tc>
        <w:tc>
          <w:tcPr>
            <w:tcW w:w="1560" w:type="dxa"/>
          </w:tcPr>
          <w:p w14:paraId="79EDC6F3" w14:textId="77777777" w:rsidR="009C48F5" w:rsidRPr="000D756E" w:rsidRDefault="009C48F5" w:rsidP="009C48F5">
            <w:pPr>
              <w:jc w:val="right"/>
              <w:rPr>
                <w:rFonts w:ascii="Arial" w:hAnsi="Arial" w:cs="Arial"/>
                <w:b/>
                <w:sz w:val="22"/>
                <w:szCs w:val="22"/>
              </w:rPr>
            </w:pPr>
          </w:p>
          <w:p w14:paraId="31F64ED1" w14:textId="77777777" w:rsidR="009C48F5" w:rsidRPr="000D756E" w:rsidRDefault="009C48F5" w:rsidP="009C48F5">
            <w:pPr>
              <w:jc w:val="right"/>
              <w:rPr>
                <w:rFonts w:ascii="Arial" w:hAnsi="Arial" w:cs="Arial"/>
                <w:b/>
                <w:sz w:val="22"/>
                <w:szCs w:val="22"/>
              </w:rPr>
            </w:pPr>
          </w:p>
          <w:p w14:paraId="513A6930" w14:textId="1718948D" w:rsidR="009C48F5" w:rsidRPr="000D756E" w:rsidRDefault="009C48F5" w:rsidP="009C48F5">
            <w:pPr>
              <w:jc w:val="right"/>
              <w:rPr>
                <w:rFonts w:ascii="Arial" w:hAnsi="Arial" w:cs="Arial"/>
                <w:b/>
                <w:sz w:val="22"/>
                <w:szCs w:val="22"/>
              </w:rPr>
            </w:pPr>
            <w:r w:rsidRPr="000D756E">
              <w:rPr>
                <w:rFonts w:ascii="Arial" w:hAnsi="Arial" w:cs="Arial"/>
                <w:b/>
                <w:sz w:val="22"/>
                <w:szCs w:val="22"/>
              </w:rPr>
              <w:t xml:space="preserve">Adjustments between funding and accounting basis (Note </w:t>
            </w:r>
            <w:r w:rsidR="00562022" w:rsidRPr="000D756E">
              <w:rPr>
                <w:rFonts w:ascii="Arial" w:hAnsi="Arial" w:cs="Arial"/>
                <w:b/>
                <w:sz w:val="22"/>
                <w:szCs w:val="22"/>
              </w:rPr>
              <w:t>4</w:t>
            </w:r>
            <w:r w:rsidRPr="000D756E">
              <w:rPr>
                <w:rFonts w:ascii="Arial" w:hAnsi="Arial" w:cs="Arial"/>
                <w:b/>
                <w:sz w:val="22"/>
                <w:szCs w:val="22"/>
              </w:rPr>
              <w:t>)</w:t>
            </w:r>
          </w:p>
          <w:p w14:paraId="48E2384B" w14:textId="77777777" w:rsidR="009C48F5" w:rsidRPr="000D756E" w:rsidRDefault="009C48F5" w:rsidP="009C48F5">
            <w:pPr>
              <w:jc w:val="right"/>
              <w:rPr>
                <w:rFonts w:ascii="Arial" w:hAnsi="Arial" w:cs="Arial"/>
                <w:b/>
                <w:sz w:val="22"/>
                <w:szCs w:val="22"/>
              </w:rPr>
            </w:pPr>
          </w:p>
          <w:p w14:paraId="0C2DD968" w14:textId="299677A1" w:rsidR="009C48F5" w:rsidRPr="000D756E" w:rsidRDefault="009C48F5" w:rsidP="009C48F5">
            <w:pPr>
              <w:jc w:val="right"/>
              <w:rPr>
                <w:rFonts w:ascii="Arial" w:hAnsi="Arial" w:cs="Arial"/>
                <w:b/>
                <w:sz w:val="22"/>
                <w:szCs w:val="22"/>
              </w:rPr>
            </w:pPr>
            <w:r w:rsidRPr="000D756E">
              <w:rPr>
                <w:rFonts w:ascii="Arial" w:hAnsi="Arial" w:cs="Arial"/>
                <w:b/>
                <w:sz w:val="22"/>
                <w:szCs w:val="22"/>
              </w:rPr>
              <w:t>£’000</w:t>
            </w:r>
          </w:p>
        </w:tc>
        <w:tc>
          <w:tcPr>
            <w:tcW w:w="1559" w:type="dxa"/>
          </w:tcPr>
          <w:p w14:paraId="77BA2AAE" w14:textId="77777777" w:rsidR="009C48F5" w:rsidRPr="000D756E" w:rsidRDefault="009C48F5" w:rsidP="009C48F5">
            <w:pPr>
              <w:jc w:val="right"/>
              <w:rPr>
                <w:rFonts w:ascii="Arial" w:hAnsi="Arial" w:cs="Arial"/>
                <w:b/>
                <w:sz w:val="22"/>
                <w:szCs w:val="22"/>
              </w:rPr>
            </w:pPr>
            <w:r w:rsidRPr="000D756E">
              <w:rPr>
                <w:rFonts w:ascii="Arial" w:hAnsi="Arial" w:cs="Arial"/>
                <w:b/>
                <w:sz w:val="22"/>
                <w:szCs w:val="22"/>
              </w:rPr>
              <w:t>Net</w:t>
            </w:r>
          </w:p>
          <w:p w14:paraId="3C044E25" w14:textId="77777777" w:rsidR="009C48F5" w:rsidRPr="000D756E" w:rsidRDefault="009C48F5" w:rsidP="009C48F5">
            <w:pPr>
              <w:jc w:val="right"/>
              <w:rPr>
                <w:rFonts w:ascii="Arial" w:hAnsi="Arial" w:cs="Arial"/>
                <w:b/>
                <w:sz w:val="22"/>
                <w:szCs w:val="22"/>
              </w:rPr>
            </w:pPr>
            <w:r w:rsidRPr="000D756E">
              <w:rPr>
                <w:rFonts w:ascii="Arial" w:hAnsi="Arial" w:cs="Arial"/>
                <w:b/>
                <w:sz w:val="22"/>
                <w:szCs w:val="22"/>
              </w:rPr>
              <w:t>expenditure in the Comprehen-sive Income and Expenditure Statement</w:t>
            </w:r>
          </w:p>
          <w:p w14:paraId="0C36C1E1" w14:textId="77777777" w:rsidR="009C48F5" w:rsidRPr="000D756E" w:rsidRDefault="009C48F5" w:rsidP="009C48F5">
            <w:pPr>
              <w:jc w:val="right"/>
              <w:rPr>
                <w:rFonts w:ascii="Arial" w:hAnsi="Arial" w:cs="Arial"/>
                <w:b/>
                <w:sz w:val="22"/>
                <w:szCs w:val="22"/>
              </w:rPr>
            </w:pPr>
          </w:p>
          <w:p w14:paraId="0E7BE497" w14:textId="2BB87F73" w:rsidR="009C48F5" w:rsidRPr="000D756E" w:rsidRDefault="009C48F5" w:rsidP="009C48F5">
            <w:pPr>
              <w:jc w:val="right"/>
              <w:rPr>
                <w:rFonts w:ascii="Arial" w:hAnsi="Arial" w:cs="Arial"/>
                <w:b/>
                <w:sz w:val="22"/>
                <w:szCs w:val="22"/>
              </w:rPr>
            </w:pPr>
            <w:r w:rsidRPr="000D756E">
              <w:rPr>
                <w:rFonts w:ascii="Arial" w:hAnsi="Arial" w:cs="Arial"/>
                <w:b/>
                <w:sz w:val="22"/>
                <w:szCs w:val="22"/>
              </w:rPr>
              <w:t>£’000</w:t>
            </w:r>
          </w:p>
        </w:tc>
      </w:tr>
      <w:tr w:rsidR="006071DF" w:rsidRPr="000D756E" w14:paraId="6FE671AA" w14:textId="77777777" w:rsidTr="004E3575">
        <w:tc>
          <w:tcPr>
            <w:tcW w:w="1701" w:type="dxa"/>
          </w:tcPr>
          <w:p w14:paraId="2876F140" w14:textId="3422B5DA" w:rsidR="00E76231" w:rsidRPr="000D756E" w:rsidRDefault="00E76231" w:rsidP="00E76231">
            <w:pPr>
              <w:rPr>
                <w:rFonts w:ascii="Arial" w:hAnsi="Arial" w:cs="Arial"/>
                <w:sz w:val="24"/>
                <w:szCs w:val="24"/>
              </w:rPr>
            </w:pPr>
            <w:r w:rsidRPr="000D756E">
              <w:rPr>
                <w:rFonts w:ascii="Arial" w:hAnsi="Arial" w:cs="Arial"/>
                <w:sz w:val="24"/>
                <w:szCs w:val="24"/>
              </w:rPr>
              <w:t>Executive and Resources</w:t>
            </w:r>
          </w:p>
        </w:tc>
        <w:tc>
          <w:tcPr>
            <w:tcW w:w="1701" w:type="dxa"/>
          </w:tcPr>
          <w:p w14:paraId="28E94593" w14:textId="364D4F40" w:rsidR="00E76231" w:rsidRPr="000D756E" w:rsidRDefault="00E76231" w:rsidP="00E76231">
            <w:pPr>
              <w:jc w:val="right"/>
              <w:rPr>
                <w:rFonts w:ascii="Arial" w:hAnsi="Arial" w:cs="Arial"/>
                <w:sz w:val="24"/>
                <w:szCs w:val="24"/>
              </w:rPr>
            </w:pPr>
            <w:r w:rsidRPr="000D756E">
              <w:rPr>
                <w:rFonts w:ascii="Arial" w:hAnsi="Arial" w:cs="Arial"/>
                <w:sz w:val="24"/>
                <w:szCs w:val="24"/>
              </w:rPr>
              <w:t xml:space="preserve">2,959 </w:t>
            </w:r>
          </w:p>
        </w:tc>
        <w:tc>
          <w:tcPr>
            <w:tcW w:w="1701" w:type="dxa"/>
          </w:tcPr>
          <w:p w14:paraId="75824EBA" w14:textId="6C628AC7" w:rsidR="00E76231" w:rsidRPr="000D756E" w:rsidRDefault="00E76231" w:rsidP="00E76231">
            <w:pPr>
              <w:jc w:val="right"/>
              <w:rPr>
                <w:rFonts w:ascii="Arial" w:hAnsi="Arial" w:cs="Arial"/>
                <w:sz w:val="24"/>
                <w:szCs w:val="24"/>
              </w:rPr>
            </w:pPr>
            <w:r w:rsidRPr="000D756E">
              <w:rPr>
                <w:rFonts w:ascii="Arial" w:hAnsi="Arial" w:cs="Arial"/>
                <w:sz w:val="24"/>
                <w:szCs w:val="24"/>
              </w:rPr>
              <w:t>3,263</w:t>
            </w:r>
          </w:p>
        </w:tc>
        <w:tc>
          <w:tcPr>
            <w:tcW w:w="1701" w:type="dxa"/>
          </w:tcPr>
          <w:p w14:paraId="3375B981" w14:textId="21997AA7" w:rsidR="00E76231" w:rsidRPr="000D756E" w:rsidRDefault="00E76231" w:rsidP="00E76231">
            <w:pPr>
              <w:jc w:val="right"/>
              <w:rPr>
                <w:rFonts w:ascii="Arial" w:hAnsi="Arial" w:cs="Arial"/>
                <w:sz w:val="24"/>
                <w:szCs w:val="24"/>
              </w:rPr>
            </w:pPr>
            <w:r w:rsidRPr="000D756E">
              <w:rPr>
                <w:rFonts w:ascii="Arial" w:hAnsi="Arial" w:cs="Arial"/>
                <w:sz w:val="24"/>
                <w:szCs w:val="24"/>
              </w:rPr>
              <w:t>6,222</w:t>
            </w:r>
          </w:p>
        </w:tc>
        <w:tc>
          <w:tcPr>
            <w:tcW w:w="1560" w:type="dxa"/>
          </w:tcPr>
          <w:p w14:paraId="13F4EA79" w14:textId="47A25CDD" w:rsidR="00E76231" w:rsidRPr="000D756E" w:rsidRDefault="00E76231" w:rsidP="00E76231">
            <w:pPr>
              <w:jc w:val="right"/>
              <w:rPr>
                <w:rFonts w:ascii="Arial" w:hAnsi="Arial" w:cs="Arial"/>
                <w:sz w:val="24"/>
                <w:szCs w:val="24"/>
              </w:rPr>
            </w:pPr>
            <w:r w:rsidRPr="000D756E">
              <w:rPr>
                <w:rFonts w:ascii="Arial" w:hAnsi="Arial" w:cs="Arial"/>
                <w:sz w:val="24"/>
                <w:szCs w:val="24"/>
              </w:rPr>
              <w:t>4,894</w:t>
            </w:r>
          </w:p>
        </w:tc>
        <w:tc>
          <w:tcPr>
            <w:tcW w:w="1559" w:type="dxa"/>
          </w:tcPr>
          <w:p w14:paraId="1AD170F0" w14:textId="0E934A72" w:rsidR="00E76231" w:rsidRPr="000D756E" w:rsidRDefault="00E76231" w:rsidP="00E76231">
            <w:pPr>
              <w:jc w:val="right"/>
              <w:rPr>
                <w:rFonts w:ascii="Arial" w:hAnsi="Arial" w:cs="Arial"/>
                <w:sz w:val="24"/>
                <w:szCs w:val="24"/>
              </w:rPr>
            </w:pPr>
            <w:r w:rsidRPr="000D756E">
              <w:rPr>
                <w:rFonts w:ascii="Arial" w:hAnsi="Arial" w:cs="Arial"/>
                <w:sz w:val="24"/>
                <w:szCs w:val="24"/>
              </w:rPr>
              <w:t>11,116</w:t>
            </w:r>
          </w:p>
        </w:tc>
      </w:tr>
      <w:tr w:rsidR="006071DF" w:rsidRPr="000D756E" w14:paraId="1D8AAFA6" w14:textId="77777777" w:rsidTr="004E3575">
        <w:tc>
          <w:tcPr>
            <w:tcW w:w="1701" w:type="dxa"/>
          </w:tcPr>
          <w:p w14:paraId="76A375B9" w14:textId="53A018A3" w:rsidR="00E76231" w:rsidRPr="000D756E" w:rsidRDefault="00E76231" w:rsidP="00E76231">
            <w:pPr>
              <w:rPr>
                <w:rFonts w:ascii="Arial" w:hAnsi="Arial" w:cs="Arial"/>
                <w:sz w:val="24"/>
                <w:szCs w:val="24"/>
              </w:rPr>
            </w:pPr>
            <w:r w:rsidRPr="000D756E">
              <w:rPr>
                <w:rFonts w:ascii="Arial" w:hAnsi="Arial" w:cs="Arial"/>
                <w:sz w:val="24"/>
                <w:szCs w:val="24"/>
              </w:rPr>
              <w:t>Corporate Governance</w:t>
            </w:r>
          </w:p>
        </w:tc>
        <w:tc>
          <w:tcPr>
            <w:tcW w:w="1701" w:type="dxa"/>
          </w:tcPr>
          <w:p w14:paraId="2326DF1E" w14:textId="47A9CAF9" w:rsidR="00E76231" w:rsidRPr="000D756E" w:rsidRDefault="00E76231" w:rsidP="00E76231">
            <w:pPr>
              <w:jc w:val="right"/>
              <w:rPr>
                <w:rFonts w:ascii="Arial" w:hAnsi="Arial" w:cs="Arial"/>
                <w:sz w:val="24"/>
                <w:szCs w:val="24"/>
              </w:rPr>
            </w:pPr>
            <w:r w:rsidRPr="000D756E">
              <w:rPr>
                <w:rFonts w:ascii="Arial" w:hAnsi="Arial" w:cs="Arial"/>
                <w:sz w:val="24"/>
                <w:szCs w:val="24"/>
              </w:rPr>
              <w:t>4,752</w:t>
            </w:r>
          </w:p>
        </w:tc>
        <w:tc>
          <w:tcPr>
            <w:tcW w:w="1701" w:type="dxa"/>
          </w:tcPr>
          <w:p w14:paraId="2DF692A1" w14:textId="41A900AC" w:rsidR="00E76231" w:rsidRPr="000D756E" w:rsidRDefault="00E76231" w:rsidP="00E76231">
            <w:pPr>
              <w:jc w:val="right"/>
              <w:rPr>
                <w:rFonts w:ascii="Arial" w:hAnsi="Arial" w:cs="Arial"/>
                <w:sz w:val="24"/>
                <w:szCs w:val="24"/>
              </w:rPr>
            </w:pPr>
            <w:r w:rsidRPr="000D756E">
              <w:rPr>
                <w:rFonts w:ascii="Arial" w:hAnsi="Arial" w:cs="Arial"/>
                <w:sz w:val="24"/>
                <w:szCs w:val="24"/>
              </w:rPr>
              <w:t>0</w:t>
            </w:r>
          </w:p>
        </w:tc>
        <w:tc>
          <w:tcPr>
            <w:tcW w:w="1701" w:type="dxa"/>
          </w:tcPr>
          <w:p w14:paraId="02EFDD3A" w14:textId="054210F6" w:rsidR="00E76231" w:rsidRPr="000D756E" w:rsidRDefault="00E76231" w:rsidP="00E76231">
            <w:pPr>
              <w:jc w:val="right"/>
              <w:rPr>
                <w:rFonts w:ascii="Arial" w:hAnsi="Arial" w:cs="Arial"/>
                <w:sz w:val="24"/>
                <w:szCs w:val="24"/>
              </w:rPr>
            </w:pPr>
            <w:r w:rsidRPr="000D756E">
              <w:rPr>
                <w:rFonts w:ascii="Arial" w:hAnsi="Arial" w:cs="Arial"/>
                <w:sz w:val="24"/>
                <w:szCs w:val="24"/>
              </w:rPr>
              <w:t>4,752</w:t>
            </w:r>
          </w:p>
        </w:tc>
        <w:tc>
          <w:tcPr>
            <w:tcW w:w="1560" w:type="dxa"/>
          </w:tcPr>
          <w:p w14:paraId="655C6F9E" w14:textId="2BB08D80" w:rsidR="00E76231" w:rsidRPr="000D756E" w:rsidRDefault="00E76231" w:rsidP="00E76231">
            <w:pPr>
              <w:jc w:val="right"/>
              <w:rPr>
                <w:rFonts w:ascii="Arial" w:hAnsi="Arial" w:cs="Arial"/>
                <w:sz w:val="24"/>
                <w:szCs w:val="24"/>
              </w:rPr>
            </w:pPr>
            <w:r w:rsidRPr="000D756E">
              <w:rPr>
                <w:rFonts w:ascii="Arial" w:hAnsi="Arial" w:cs="Arial"/>
                <w:sz w:val="24"/>
                <w:szCs w:val="24"/>
              </w:rPr>
              <w:t>-554</w:t>
            </w:r>
          </w:p>
        </w:tc>
        <w:tc>
          <w:tcPr>
            <w:tcW w:w="1559" w:type="dxa"/>
          </w:tcPr>
          <w:p w14:paraId="0D7A07D2" w14:textId="0C09C1CB" w:rsidR="00E76231" w:rsidRPr="000D756E" w:rsidRDefault="00E76231" w:rsidP="00E76231">
            <w:pPr>
              <w:jc w:val="right"/>
              <w:rPr>
                <w:rFonts w:ascii="Arial" w:hAnsi="Arial" w:cs="Arial"/>
                <w:sz w:val="24"/>
                <w:szCs w:val="24"/>
              </w:rPr>
            </w:pPr>
            <w:r w:rsidRPr="000D756E">
              <w:rPr>
                <w:rFonts w:ascii="Arial" w:hAnsi="Arial" w:cs="Arial"/>
                <w:sz w:val="24"/>
                <w:szCs w:val="24"/>
              </w:rPr>
              <w:t>4,198</w:t>
            </w:r>
          </w:p>
        </w:tc>
      </w:tr>
      <w:tr w:rsidR="006071DF" w:rsidRPr="000D756E" w14:paraId="4BCBC581" w14:textId="77777777" w:rsidTr="004E3575">
        <w:tc>
          <w:tcPr>
            <w:tcW w:w="1701" w:type="dxa"/>
          </w:tcPr>
          <w:p w14:paraId="6C813B29" w14:textId="0F5701BA" w:rsidR="00E76231" w:rsidRPr="000D756E" w:rsidRDefault="00E76231" w:rsidP="00E76231">
            <w:pPr>
              <w:rPr>
                <w:rFonts w:ascii="Arial" w:hAnsi="Arial" w:cs="Arial"/>
                <w:sz w:val="24"/>
                <w:szCs w:val="24"/>
              </w:rPr>
            </w:pPr>
            <w:r w:rsidRPr="000D756E">
              <w:rPr>
                <w:rFonts w:ascii="Arial" w:hAnsi="Arial" w:cs="Arial"/>
                <w:sz w:val="24"/>
                <w:szCs w:val="24"/>
              </w:rPr>
              <w:t>Service Delivery</w:t>
            </w:r>
          </w:p>
        </w:tc>
        <w:tc>
          <w:tcPr>
            <w:tcW w:w="1701" w:type="dxa"/>
          </w:tcPr>
          <w:p w14:paraId="62E62A50" w14:textId="0933E937" w:rsidR="00E76231" w:rsidRPr="000D756E" w:rsidRDefault="00E76231" w:rsidP="00E76231">
            <w:pPr>
              <w:jc w:val="right"/>
              <w:rPr>
                <w:rFonts w:ascii="Arial" w:hAnsi="Arial" w:cs="Arial"/>
                <w:sz w:val="24"/>
                <w:szCs w:val="24"/>
              </w:rPr>
            </w:pPr>
            <w:r w:rsidRPr="000D756E">
              <w:rPr>
                <w:rFonts w:ascii="Arial" w:hAnsi="Arial" w:cs="Arial"/>
                <w:sz w:val="24"/>
                <w:szCs w:val="24"/>
              </w:rPr>
              <w:t>16,566</w:t>
            </w:r>
          </w:p>
        </w:tc>
        <w:tc>
          <w:tcPr>
            <w:tcW w:w="1701" w:type="dxa"/>
          </w:tcPr>
          <w:p w14:paraId="10D11821" w14:textId="71DC5173" w:rsidR="00E76231" w:rsidRPr="000D756E" w:rsidRDefault="00E76231" w:rsidP="00E76231">
            <w:pPr>
              <w:jc w:val="right"/>
              <w:rPr>
                <w:rFonts w:ascii="Arial" w:hAnsi="Arial" w:cs="Arial"/>
                <w:sz w:val="24"/>
                <w:szCs w:val="24"/>
              </w:rPr>
            </w:pPr>
            <w:r w:rsidRPr="000D756E">
              <w:rPr>
                <w:rFonts w:ascii="Arial" w:hAnsi="Arial" w:cs="Arial"/>
                <w:sz w:val="24"/>
                <w:szCs w:val="24"/>
              </w:rPr>
              <w:t>0</w:t>
            </w:r>
          </w:p>
        </w:tc>
        <w:tc>
          <w:tcPr>
            <w:tcW w:w="1701" w:type="dxa"/>
          </w:tcPr>
          <w:p w14:paraId="0D282A88" w14:textId="6B48DE80" w:rsidR="00E76231" w:rsidRPr="000D756E" w:rsidRDefault="00E76231" w:rsidP="00E76231">
            <w:pPr>
              <w:jc w:val="right"/>
              <w:rPr>
                <w:rFonts w:ascii="Arial" w:hAnsi="Arial" w:cs="Arial"/>
                <w:sz w:val="24"/>
                <w:szCs w:val="24"/>
              </w:rPr>
            </w:pPr>
            <w:r w:rsidRPr="000D756E">
              <w:rPr>
                <w:rFonts w:ascii="Arial" w:hAnsi="Arial" w:cs="Arial"/>
                <w:sz w:val="24"/>
                <w:szCs w:val="24"/>
              </w:rPr>
              <w:t>16,566</w:t>
            </w:r>
          </w:p>
        </w:tc>
        <w:tc>
          <w:tcPr>
            <w:tcW w:w="1560" w:type="dxa"/>
          </w:tcPr>
          <w:p w14:paraId="30629186" w14:textId="67052C58" w:rsidR="00E76231" w:rsidRPr="000D756E" w:rsidRDefault="00E76231" w:rsidP="00E76231">
            <w:pPr>
              <w:jc w:val="right"/>
              <w:rPr>
                <w:rFonts w:ascii="Arial" w:hAnsi="Arial" w:cs="Arial"/>
                <w:sz w:val="24"/>
                <w:szCs w:val="24"/>
              </w:rPr>
            </w:pPr>
            <w:r w:rsidRPr="000D756E">
              <w:rPr>
                <w:rFonts w:ascii="Arial" w:hAnsi="Arial" w:cs="Arial"/>
                <w:sz w:val="24"/>
                <w:szCs w:val="24"/>
              </w:rPr>
              <w:t>-1,868</w:t>
            </w:r>
          </w:p>
        </w:tc>
        <w:tc>
          <w:tcPr>
            <w:tcW w:w="1559" w:type="dxa"/>
          </w:tcPr>
          <w:p w14:paraId="4B746822" w14:textId="5DB8975F" w:rsidR="00E76231" w:rsidRPr="000D756E" w:rsidRDefault="00E76231" w:rsidP="00E76231">
            <w:pPr>
              <w:jc w:val="right"/>
              <w:rPr>
                <w:rFonts w:ascii="Arial" w:hAnsi="Arial" w:cs="Arial"/>
                <w:sz w:val="24"/>
                <w:szCs w:val="24"/>
              </w:rPr>
            </w:pPr>
            <w:r w:rsidRPr="000D756E">
              <w:rPr>
                <w:rFonts w:ascii="Arial" w:hAnsi="Arial" w:cs="Arial"/>
                <w:sz w:val="24"/>
                <w:szCs w:val="24"/>
              </w:rPr>
              <w:t>14,698</w:t>
            </w:r>
          </w:p>
        </w:tc>
      </w:tr>
      <w:tr w:rsidR="006071DF" w:rsidRPr="000D756E" w14:paraId="0143421D" w14:textId="77777777" w:rsidTr="004E3575">
        <w:tc>
          <w:tcPr>
            <w:tcW w:w="1701" w:type="dxa"/>
          </w:tcPr>
          <w:p w14:paraId="689A2373" w14:textId="77777777" w:rsidR="00E76231" w:rsidRPr="000D756E" w:rsidRDefault="00E76231" w:rsidP="00E76231">
            <w:pPr>
              <w:rPr>
                <w:rFonts w:ascii="Arial" w:hAnsi="Arial" w:cs="Arial"/>
                <w:b/>
                <w:sz w:val="24"/>
                <w:szCs w:val="24"/>
              </w:rPr>
            </w:pPr>
          </w:p>
          <w:p w14:paraId="2F04752D" w14:textId="7C4ED228" w:rsidR="00E76231" w:rsidRPr="000D756E" w:rsidRDefault="00E76231" w:rsidP="00E76231">
            <w:pPr>
              <w:rPr>
                <w:rFonts w:ascii="Arial" w:hAnsi="Arial" w:cs="Arial"/>
                <w:b/>
                <w:sz w:val="24"/>
                <w:szCs w:val="24"/>
              </w:rPr>
            </w:pPr>
            <w:r w:rsidRPr="000D756E">
              <w:rPr>
                <w:rFonts w:ascii="Arial" w:hAnsi="Arial" w:cs="Arial"/>
                <w:b/>
                <w:sz w:val="24"/>
                <w:szCs w:val="24"/>
              </w:rPr>
              <w:t>Net Cost of Services</w:t>
            </w:r>
          </w:p>
        </w:tc>
        <w:tc>
          <w:tcPr>
            <w:tcW w:w="1701" w:type="dxa"/>
          </w:tcPr>
          <w:p w14:paraId="03AC8CAF" w14:textId="77777777" w:rsidR="00E76231" w:rsidRPr="000D756E" w:rsidRDefault="00E76231" w:rsidP="00E76231">
            <w:pPr>
              <w:jc w:val="right"/>
              <w:rPr>
                <w:rFonts w:ascii="Arial" w:hAnsi="Arial" w:cs="Arial"/>
                <w:b/>
                <w:sz w:val="24"/>
                <w:szCs w:val="24"/>
              </w:rPr>
            </w:pPr>
          </w:p>
          <w:p w14:paraId="5852C73D" w14:textId="0D9DD112" w:rsidR="00E76231" w:rsidRPr="000D756E" w:rsidRDefault="00E76231" w:rsidP="00E76231">
            <w:pPr>
              <w:jc w:val="right"/>
              <w:rPr>
                <w:rFonts w:ascii="Arial" w:hAnsi="Arial" w:cs="Arial"/>
                <w:b/>
                <w:sz w:val="24"/>
                <w:szCs w:val="24"/>
              </w:rPr>
            </w:pPr>
            <w:r w:rsidRPr="000D756E">
              <w:rPr>
                <w:rFonts w:ascii="Arial" w:hAnsi="Arial" w:cs="Arial"/>
                <w:b/>
                <w:sz w:val="24"/>
                <w:szCs w:val="24"/>
              </w:rPr>
              <w:t>24,277</w:t>
            </w:r>
          </w:p>
        </w:tc>
        <w:tc>
          <w:tcPr>
            <w:tcW w:w="1701" w:type="dxa"/>
          </w:tcPr>
          <w:p w14:paraId="5D474361" w14:textId="77777777" w:rsidR="00E76231" w:rsidRPr="000D756E" w:rsidRDefault="00E76231" w:rsidP="00E76231">
            <w:pPr>
              <w:jc w:val="right"/>
              <w:rPr>
                <w:rFonts w:ascii="Arial" w:hAnsi="Arial" w:cs="Arial"/>
                <w:b/>
                <w:sz w:val="24"/>
                <w:szCs w:val="24"/>
              </w:rPr>
            </w:pPr>
          </w:p>
          <w:p w14:paraId="27DA91D1" w14:textId="11F0D68E" w:rsidR="00E76231" w:rsidRPr="000D756E" w:rsidRDefault="00E76231" w:rsidP="00E76231">
            <w:pPr>
              <w:jc w:val="right"/>
              <w:rPr>
                <w:rFonts w:ascii="Arial" w:hAnsi="Arial" w:cs="Arial"/>
                <w:b/>
                <w:sz w:val="24"/>
                <w:szCs w:val="24"/>
              </w:rPr>
            </w:pPr>
            <w:r w:rsidRPr="000D756E">
              <w:rPr>
                <w:rFonts w:ascii="Arial" w:hAnsi="Arial" w:cs="Arial"/>
                <w:b/>
                <w:sz w:val="24"/>
                <w:szCs w:val="24"/>
              </w:rPr>
              <w:t>3,263</w:t>
            </w:r>
          </w:p>
        </w:tc>
        <w:tc>
          <w:tcPr>
            <w:tcW w:w="1701" w:type="dxa"/>
          </w:tcPr>
          <w:p w14:paraId="0EA89908" w14:textId="77777777" w:rsidR="00E76231" w:rsidRPr="000D756E" w:rsidRDefault="00E76231" w:rsidP="00E76231">
            <w:pPr>
              <w:jc w:val="right"/>
              <w:rPr>
                <w:rFonts w:ascii="Arial" w:hAnsi="Arial" w:cs="Arial"/>
                <w:b/>
                <w:sz w:val="24"/>
                <w:szCs w:val="24"/>
              </w:rPr>
            </w:pPr>
          </w:p>
          <w:p w14:paraId="5BA8D242" w14:textId="75038B0A" w:rsidR="00E76231" w:rsidRPr="000D756E" w:rsidRDefault="00E76231" w:rsidP="00E76231">
            <w:pPr>
              <w:jc w:val="right"/>
              <w:rPr>
                <w:rFonts w:ascii="Arial" w:hAnsi="Arial" w:cs="Arial"/>
                <w:b/>
                <w:sz w:val="24"/>
                <w:szCs w:val="24"/>
              </w:rPr>
            </w:pPr>
            <w:r w:rsidRPr="000D756E">
              <w:rPr>
                <w:rFonts w:ascii="Arial" w:hAnsi="Arial" w:cs="Arial"/>
                <w:b/>
                <w:sz w:val="24"/>
                <w:szCs w:val="24"/>
              </w:rPr>
              <w:t>27,540</w:t>
            </w:r>
          </w:p>
        </w:tc>
        <w:tc>
          <w:tcPr>
            <w:tcW w:w="1560" w:type="dxa"/>
          </w:tcPr>
          <w:p w14:paraId="47423A0B" w14:textId="77777777" w:rsidR="00E76231" w:rsidRPr="000D756E" w:rsidRDefault="00E76231" w:rsidP="00E76231">
            <w:pPr>
              <w:jc w:val="right"/>
              <w:rPr>
                <w:rFonts w:ascii="Arial" w:hAnsi="Arial" w:cs="Arial"/>
                <w:b/>
                <w:sz w:val="24"/>
                <w:szCs w:val="24"/>
              </w:rPr>
            </w:pPr>
          </w:p>
          <w:p w14:paraId="1D2A568C" w14:textId="52B98EC3" w:rsidR="00E76231" w:rsidRPr="000D756E" w:rsidRDefault="00E76231" w:rsidP="00E76231">
            <w:pPr>
              <w:jc w:val="right"/>
              <w:rPr>
                <w:rFonts w:ascii="Arial" w:hAnsi="Arial" w:cs="Arial"/>
                <w:b/>
                <w:sz w:val="24"/>
                <w:szCs w:val="24"/>
              </w:rPr>
            </w:pPr>
            <w:r w:rsidRPr="000D756E">
              <w:rPr>
                <w:rFonts w:ascii="Arial" w:hAnsi="Arial" w:cs="Arial"/>
                <w:b/>
                <w:sz w:val="24"/>
                <w:szCs w:val="24"/>
              </w:rPr>
              <w:t>2,472</w:t>
            </w:r>
          </w:p>
        </w:tc>
        <w:tc>
          <w:tcPr>
            <w:tcW w:w="1559" w:type="dxa"/>
          </w:tcPr>
          <w:p w14:paraId="1D961662" w14:textId="77777777" w:rsidR="00E76231" w:rsidRPr="000D756E" w:rsidRDefault="00E76231" w:rsidP="00E76231">
            <w:pPr>
              <w:jc w:val="right"/>
              <w:rPr>
                <w:rFonts w:ascii="Arial" w:hAnsi="Arial" w:cs="Arial"/>
                <w:b/>
                <w:sz w:val="24"/>
                <w:szCs w:val="24"/>
              </w:rPr>
            </w:pPr>
          </w:p>
          <w:p w14:paraId="47F0F066" w14:textId="21E56C78" w:rsidR="00E76231" w:rsidRPr="000D756E" w:rsidRDefault="00E76231" w:rsidP="00E76231">
            <w:pPr>
              <w:jc w:val="right"/>
              <w:rPr>
                <w:rFonts w:ascii="Arial" w:hAnsi="Arial" w:cs="Arial"/>
                <w:b/>
                <w:sz w:val="24"/>
                <w:szCs w:val="24"/>
              </w:rPr>
            </w:pPr>
            <w:r w:rsidRPr="000D756E">
              <w:rPr>
                <w:rFonts w:ascii="Arial" w:hAnsi="Arial" w:cs="Arial"/>
                <w:b/>
                <w:sz w:val="24"/>
                <w:szCs w:val="24"/>
              </w:rPr>
              <w:t>30,012</w:t>
            </w:r>
          </w:p>
        </w:tc>
      </w:tr>
      <w:tr w:rsidR="006071DF" w:rsidRPr="000D756E" w14:paraId="36C4A124" w14:textId="77777777" w:rsidTr="004E3575">
        <w:tc>
          <w:tcPr>
            <w:tcW w:w="1701" w:type="dxa"/>
          </w:tcPr>
          <w:p w14:paraId="33BDDD0E" w14:textId="5096B950" w:rsidR="00E76231" w:rsidRPr="000D756E" w:rsidRDefault="00E76231" w:rsidP="00E76231">
            <w:pPr>
              <w:rPr>
                <w:rFonts w:ascii="Arial" w:hAnsi="Arial" w:cs="Arial"/>
                <w:sz w:val="24"/>
                <w:szCs w:val="24"/>
              </w:rPr>
            </w:pPr>
            <w:r w:rsidRPr="000D756E">
              <w:rPr>
                <w:rFonts w:ascii="Arial" w:hAnsi="Arial" w:cs="Arial"/>
                <w:sz w:val="24"/>
                <w:szCs w:val="24"/>
              </w:rPr>
              <w:t>Profit on disposal of non current assets</w:t>
            </w:r>
          </w:p>
        </w:tc>
        <w:tc>
          <w:tcPr>
            <w:tcW w:w="1701" w:type="dxa"/>
          </w:tcPr>
          <w:p w14:paraId="15D63E8D" w14:textId="77777777" w:rsidR="00E76231" w:rsidRPr="000D756E" w:rsidRDefault="00E76231" w:rsidP="00E76231">
            <w:pPr>
              <w:jc w:val="right"/>
              <w:rPr>
                <w:rFonts w:ascii="Arial" w:hAnsi="Arial" w:cs="Arial"/>
                <w:sz w:val="24"/>
                <w:szCs w:val="24"/>
              </w:rPr>
            </w:pPr>
          </w:p>
        </w:tc>
        <w:tc>
          <w:tcPr>
            <w:tcW w:w="1701" w:type="dxa"/>
          </w:tcPr>
          <w:p w14:paraId="175468F6" w14:textId="77777777" w:rsidR="00E76231" w:rsidRPr="000D756E" w:rsidRDefault="00E76231" w:rsidP="00E76231">
            <w:pPr>
              <w:jc w:val="right"/>
              <w:rPr>
                <w:rFonts w:ascii="Arial" w:hAnsi="Arial" w:cs="Arial"/>
                <w:sz w:val="24"/>
                <w:szCs w:val="24"/>
              </w:rPr>
            </w:pPr>
          </w:p>
          <w:p w14:paraId="572A603E" w14:textId="1C4B5FE4" w:rsidR="00E76231" w:rsidRPr="000D756E" w:rsidRDefault="00E76231" w:rsidP="00E76231">
            <w:pPr>
              <w:jc w:val="right"/>
              <w:rPr>
                <w:rFonts w:ascii="Arial" w:hAnsi="Arial" w:cs="Arial"/>
                <w:sz w:val="24"/>
                <w:szCs w:val="24"/>
              </w:rPr>
            </w:pPr>
            <w:r w:rsidRPr="000D756E">
              <w:rPr>
                <w:rFonts w:ascii="Arial" w:hAnsi="Arial" w:cs="Arial"/>
                <w:sz w:val="24"/>
                <w:szCs w:val="24"/>
              </w:rPr>
              <w:t>-135</w:t>
            </w:r>
          </w:p>
        </w:tc>
        <w:tc>
          <w:tcPr>
            <w:tcW w:w="1701" w:type="dxa"/>
          </w:tcPr>
          <w:p w14:paraId="2C97A831" w14:textId="77777777" w:rsidR="00E76231" w:rsidRPr="000D756E" w:rsidRDefault="00E76231" w:rsidP="00E76231">
            <w:pPr>
              <w:jc w:val="right"/>
              <w:rPr>
                <w:rFonts w:ascii="Arial" w:hAnsi="Arial" w:cs="Arial"/>
                <w:sz w:val="24"/>
                <w:szCs w:val="24"/>
              </w:rPr>
            </w:pPr>
          </w:p>
          <w:p w14:paraId="0FBB0D22" w14:textId="511C2AE1" w:rsidR="00E76231" w:rsidRPr="000D756E" w:rsidRDefault="00E76231" w:rsidP="00E76231">
            <w:pPr>
              <w:jc w:val="right"/>
              <w:rPr>
                <w:rFonts w:ascii="Arial" w:hAnsi="Arial" w:cs="Arial"/>
                <w:sz w:val="24"/>
                <w:szCs w:val="24"/>
              </w:rPr>
            </w:pPr>
            <w:r w:rsidRPr="000D756E">
              <w:rPr>
                <w:rFonts w:ascii="Arial" w:hAnsi="Arial" w:cs="Arial"/>
                <w:sz w:val="24"/>
                <w:szCs w:val="24"/>
              </w:rPr>
              <w:t>-135</w:t>
            </w:r>
          </w:p>
        </w:tc>
        <w:tc>
          <w:tcPr>
            <w:tcW w:w="1560" w:type="dxa"/>
          </w:tcPr>
          <w:p w14:paraId="34B8662E" w14:textId="77777777" w:rsidR="00E76231" w:rsidRPr="000D756E" w:rsidRDefault="00E76231" w:rsidP="00E76231">
            <w:pPr>
              <w:jc w:val="right"/>
              <w:rPr>
                <w:rFonts w:ascii="Arial" w:hAnsi="Arial" w:cs="Arial"/>
                <w:sz w:val="24"/>
                <w:szCs w:val="24"/>
              </w:rPr>
            </w:pPr>
          </w:p>
          <w:p w14:paraId="15F38654" w14:textId="2134C3DC" w:rsidR="00E76231" w:rsidRPr="000D756E" w:rsidRDefault="00E76231" w:rsidP="00E76231">
            <w:pPr>
              <w:jc w:val="right"/>
              <w:rPr>
                <w:rFonts w:ascii="Arial" w:hAnsi="Arial" w:cs="Arial"/>
                <w:sz w:val="24"/>
                <w:szCs w:val="24"/>
              </w:rPr>
            </w:pPr>
            <w:r w:rsidRPr="000D756E">
              <w:rPr>
                <w:rFonts w:ascii="Arial" w:hAnsi="Arial" w:cs="Arial"/>
                <w:sz w:val="24"/>
                <w:szCs w:val="24"/>
              </w:rPr>
              <w:t>93</w:t>
            </w:r>
          </w:p>
        </w:tc>
        <w:tc>
          <w:tcPr>
            <w:tcW w:w="1559" w:type="dxa"/>
          </w:tcPr>
          <w:p w14:paraId="49984544" w14:textId="77777777" w:rsidR="00E76231" w:rsidRPr="000D756E" w:rsidRDefault="00E76231" w:rsidP="00E76231">
            <w:pPr>
              <w:jc w:val="right"/>
              <w:rPr>
                <w:rFonts w:ascii="Arial" w:hAnsi="Arial" w:cs="Arial"/>
                <w:sz w:val="24"/>
                <w:szCs w:val="24"/>
              </w:rPr>
            </w:pPr>
          </w:p>
          <w:p w14:paraId="3A75081A" w14:textId="71A60AD5" w:rsidR="00E76231" w:rsidRPr="000D756E" w:rsidRDefault="00E76231" w:rsidP="00E76231">
            <w:pPr>
              <w:jc w:val="right"/>
              <w:rPr>
                <w:rFonts w:ascii="Arial" w:hAnsi="Arial" w:cs="Arial"/>
                <w:sz w:val="24"/>
                <w:szCs w:val="24"/>
              </w:rPr>
            </w:pPr>
            <w:r w:rsidRPr="000D756E">
              <w:rPr>
                <w:rFonts w:ascii="Arial" w:hAnsi="Arial" w:cs="Arial"/>
                <w:sz w:val="24"/>
                <w:szCs w:val="24"/>
              </w:rPr>
              <w:t>-42</w:t>
            </w:r>
          </w:p>
        </w:tc>
      </w:tr>
      <w:tr w:rsidR="006071DF" w:rsidRPr="000D756E" w14:paraId="101D4D54" w14:textId="77777777" w:rsidTr="004E3575">
        <w:tc>
          <w:tcPr>
            <w:tcW w:w="1701" w:type="dxa"/>
          </w:tcPr>
          <w:p w14:paraId="2A1C4E5C" w14:textId="2A1BB521" w:rsidR="00E76231" w:rsidRPr="000D756E" w:rsidRDefault="00E76231" w:rsidP="00E76231">
            <w:pPr>
              <w:rPr>
                <w:rFonts w:ascii="Arial" w:hAnsi="Arial" w:cs="Arial"/>
                <w:sz w:val="24"/>
                <w:szCs w:val="24"/>
              </w:rPr>
            </w:pPr>
            <w:r w:rsidRPr="000D756E">
              <w:rPr>
                <w:rFonts w:ascii="Arial" w:hAnsi="Arial" w:cs="Arial"/>
                <w:sz w:val="24"/>
                <w:szCs w:val="24"/>
              </w:rPr>
              <w:t>Financing and Investment Income</w:t>
            </w:r>
          </w:p>
        </w:tc>
        <w:tc>
          <w:tcPr>
            <w:tcW w:w="1701" w:type="dxa"/>
          </w:tcPr>
          <w:p w14:paraId="09FA8066" w14:textId="77777777" w:rsidR="00E76231" w:rsidRPr="000D756E" w:rsidRDefault="00E76231" w:rsidP="00E76231">
            <w:pPr>
              <w:jc w:val="right"/>
              <w:rPr>
                <w:rFonts w:ascii="Arial" w:hAnsi="Arial" w:cs="Arial"/>
                <w:sz w:val="24"/>
                <w:szCs w:val="24"/>
              </w:rPr>
            </w:pPr>
          </w:p>
          <w:p w14:paraId="6A1C75A3" w14:textId="77777777" w:rsidR="00E76231" w:rsidRPr="000D756E" w:rsidRDefault="00E76231" w:rsidP="00E76231">
            <w:pPr>
              <w:jc w:val="right"/>
              <w:rPr>
                <w:rFonts w:ascii="Arial" w:hAnsi="Arial" w:cs="Arial"/>
                <w:sz w:val="24"/>
                <w:szCs w:val="24"/>
              </w:rPr>
            </w:pPr>
            <w:r w:rsidRPr="000D756E">
              <w:rPr>
                <w:rFonts w:ascii="Arial" w:hAnsi="Arial" w:cs="Arial"/>
                <w:sz w:val="24"/>
                <w:szCs w:val="24"/>
              </w:rPr>
              <w:t>0</w:t>
            </w:r>
          </w:p>
          <w:p w14:paraId="0FA5B270" w14:textId="22CBE56C" w:rsidR="00E76231" w:rsidRPr="000D756E" w:rsidRDefault="00E76231" w:rsidP="00E76231">
            <w:pPr>
              <w:jc w:val="right"/>
              <w:rPr>
                <w:rFonts w:ascii="Arial" w:hAnsi="Arial" w:cs="Arial"/>
                <w:sz w:val="24"/>
                <w:szCs w:val="24"/>
              </w:rPr>
            </w:pPr>
          </w:p>
        </w:tc>
        <w:tc>
          <w:tcPr>
            <w:tcW w:w="1701" w:type="dxa"/>
          </w:tcPr>
          <w:p w14:paraId="1E4CADB7" w14:textId="77777777" w:rsidR="00E76231" w:rsidRPr="000D756E" w:rsidRDefault="00E76231" w:rsidP="00E76231">
            <w:pPr>
              <w:jc w:val="right"/>
              <w:rPr>
                <w:rFonts w:ascii="Arial" w:hAnsi="Arial" w:cs="Arial"/>
                <w:sz w:val="24"/>
                <w:szCs w:val="24"/>
              </w:rPr>
            </w:pPr>
          </w:p>
          <w:p w14:paraId="41ADFFAE" w14:textId="7EB11799" w:rsidR="00E76231" w:rsidRPr="000D756E" w:rsidRDefault="00E76231" w:rsidP="00E76231">
            <w:pPr>
              <w:jc w:val="right"/>
              <w:rPr>
                <w:rFonts w:ascii="Arial" w:hAnsi="Arial" w:cs="Arial"/>
                <w:sz w:val="24"/>
                <w:szCs w:val="24"/>
              </w:rPr>
            </w:pPr>
            <w:r w:rsidRPr="000D756E">
              <w:rPr>
                <w:rFonts w:ascii="Arial" w:hAnsi="Arial" w:cs="Arial"/>
                <w:sz w:val="24"/>
                <w:szCs w:val="24"/>
              </w:rPr>
              <w:t>-309</w:t>
            </w:r>
          </w:p>
        </w:tc>
        <w:tc>
          <w:tcPr>
            <w:tcW w:w="1701" w:type="dxa"/>
          </w:tcPr>
          <w:p w14:paraId="2CDF1398" w14:textId="77777777" w:rsidR="00E76231" w:rsidRPr="000D756E" w:rsidRDefault="00E76231" w:rsidP="00E76231">
            <w:pPr>
              <w:jc w:val="right"/>
              <w:rPr>
                <w:rFonts w:ascii="Arial" w:hAnsi="Arial" w:cs="Arial"/>
                <w:sz w:val="24"/>
                <w:szCs w:val="24"/>
              </w:rPr>
            </w:pPr>
          </w:p>
          <w:p w14:paraId="05330C11" w14:textId="04FF8344" w:rsidR="00E76231" w:rsidRPr="000D756E" w:rsidRDefault="00E76231" w:rsidP="00E76231">
            <w:pPr>
              <w:jc w:val="right"/>
              <w:rPr>
                <w:rFonts w:ascii="Arial" w:hAnsi="Arial" w:cs="Arial"/>
                <w:sz w:val="24"/>
                <w:szCs w:val="24"/>
              </w:rPr>
            </w:pPr>
            <w:r w:rsidRPr="000D756E">
              <w:rPr>
                <w:rFonts w:ascii="Arial" w:hAnsi="Arial" w:cs="Arial"/>
                <w:sz w:val="24"/>
                <w:szCs w:val="24"/>
              </w:rPr>
              <w:t>-309</w:t>
            </w:r>
          </w:p>
        </w:tc>
        <w:tc>
          <w:tcPr>
            <w:tcW w:w="1560" w:type="dxa"/>
          </w:tcPr>
          <w:p w14:paraId="267FFAA7" w14:textId="77777777" w:rsidR="00E76231" w:rsidRPr="000D756E" w:rsidRDefault="00E76231" w:rsidP="00E76231">
            <w:pPr>
              <w:jc w:val="right"/>
              <w:rPr>
                <w:rFonts w:ascii="Arial" w:hAnsi="Arial" w:cs="Arial"/>
                <w:sz w:val="24"/>
                <w:szCs w:val="24"/>
              </w:rPr>
            </w:pPr>
          </w:p>
          <w:p w14:paraId="69F1DEBF" w14:textId="16BF8EEB" w:rsidR="00E76231" w:rsidRPr="000D756E" w:rsidRDefault="00E76231" w:rsidP="00E76231">
            <w:pPr>
              <w:jc w:val="right"/>
              <w:rPr>
                <w:rFonts w:ascii="Arial" w:hAnsi="Arial" w:cs="Arial"/>
                <w:sz w:val="24"/>
                <w:szCs w:val="24"/>
              </w:rPr>
            </w:pPr>
            <w:r w:rsidRPr="000D756E">
              <w:rPr>
                <w:rFonts w:ascii="Arial" w:hAnsi="Arial" w:cs="Arial"/>
                <w:sz w:val="24"/>
                <w:szCs w:val="24"/>
              </w:rPr>
              <w:t>8,749</w:t>
            </w:r>
          </w:p>
        </w:tc>
        <w:tc>
          <w:tcPr>
            <w:tcW w:w="1559" w:type="dxa"/>
          </w:tcPr>
          <w:p w14:paraId="557934E1" w14:textId="77777777" w:rsidR="00E76231" w:rsidRPr="000D756E" w:rsidRDefault="00E76231" w:rsidP="00E76231">
            <w:pPr>
              <w:jc w:val="right"/>
              <w:rPr>
                <w:rFonts w:ascii="Arial" w:hAnsi="Arial" w:cs="Arial"/>
                <w:sz w:val="24"/>
                <w:szCs w:val="24"/>
              </w:rPr>
            </w:pPr>
          </w:p>
          <w:p w14:paraId="0565092A" w14:textId="25EE77D4" w:rsidR="00E76231" w:rsidRPr="000D756E" w:rsidRDefault="00E76231" w:rsidP="00E76231">
            <w:pPr>
              <w:jc w:val="right"/>
              <w:rPr>
                <w:rFonts w:ascii="Arial" w:hAnsi="Arial" w:cs="Arial"/>
                <w:sz w:val="24"/>
                <w:szCs w:val="24"/>
              </w:rPr>
            </w:pPr>
            <w:r w:rsidRPr="000D756E">
              <w:rPr>
                <w:rFonts w:ascii="Arial" w:hAnsi="Arial" w:cs="Arial"/>
                <w:sz w:val="24"/>
                <w:szCs w:val="24"/>
              </w:rPr>
              <w:t>8,440</w:t>
            </w:r>
          </w:p>
        </w:tc>
      </w:tr>
      <w:tr w:rsidR="006071DF" w:rsidRPr="000D756E" w14:paraId="5A2BA5AE" w14:textId="77777777" w:rsidTr="004E3575">
        <w:tc>
          <w:tcPr>
            <w:tcW w:w="1701" w:type="dxa"/>
          </w:tcPr>
          <w:p w14:paraId="7049797C" w14:textId="364C3BDD" w:rsidR="00E76231" w:rsidRPr="000D756E" w:rsidRDefault="00E76231" w:rsidP="00E76231">
            <w:pPr>
              <w:rPr>
                <w:rFonts w:ascii="Arial" w:hAnsi="Arial" w:cs="Arial"/>
                <w:sz w:val="24"/>
                <w:szCs w:val="24"/>
              </w:rPr>
            </w:pPr>
            <w:r w:rsidRPr="000D756E">
              <w:rPr>
                <w:rFonts w:ascii="Arial" w:hAnsi="Arial" w:cs="Arial"/>
                <w:sz w:val="24"/>
                <w:szCs w:val="24"/>
              </w:rPr>
              <w:t>Precepts and Grants</w:t>
            </w:r>
          </w:p>
        </w:tc>
        <w:tc>
          <w:tcPr>
            <w:tcW w:w="1701" w:type="dxa"/>
          </w:tcPr>
          <w:p w14:paraId="5464EE6A" w14:textId="4877BC8F" w:rsidR="00E76231" w:rsidRPr="000D756E" w:rsidRDefault="00E76231" w:rsidP="00E76231">
            <w:pPr>
              <w:jc w:val="right"/>
              <w:rPr>
                <w:rFonts w:ascii="Arial" w:hAnsi="Arial" w:cs="Arial"/>
                <w:sz w:val="24"/>
                <w:szCs w:val="24"/>
              </w:rPr>
            </w:pPr>
            <w:r w:rsidRPr="000D756E">
              <w:rPr>
                <w:rFonts w:ascii="Arial" w:hAnsi="Arial" w:cs="Arial"/>
                <w:sz w:val="24"/>
                <w:szCs w:val="24"/>
              </w:rPr>
              <w:t>0</w:t>
            </w:r>
          </w:p>
        </w:tc>
        <w:tc>
          <w:tcPr>
            <w:tcW w:w="1701" w:type="dxa"/>
          </w:tcPr>
          <w:p w14:paraId="10C37961" w14:textId="1B9E8D94" w:rsidR="00E76231" w:rsidRPr="000D756E" w:rsidRDefault="00E76231" w:rsidP="00E76231">
            <w:pPr>
              <w:jc w:val="right"/>
              <w:rPr>
                <w:rFonts w:ascii="Arial" w:hAnsi="Arial" w:cs="Arial"/>
                <w:sz w:val="24"/>
                <w:szCs w:val="24"/>
              </w:rPr>
            </w:pPr>
            <w:r w:rsidRPr="000D756E">
              <w:rPr>
                <w:rFonts w:ascii="Arial" w:hAnsi="Arial" w:cs="Arial"/>
                <w:sz w:val="24"/>
                <w:szCs w:val="24"/>
              </w:rPr>
              <w:t>-27,838</w:t>
            </w:r>
          </w:p>
        </w:tc>
        <w:tc>
          <w:tcPr>
            <w:tcW w:w="1701" w:type="dxa"/>
          </w:tcPr>
          <w:p w14:paraId="4067E3C8" w14:textId="140B5637" w:rsidR="00E76231" w:rsidRPr="000D756E" w:rsidRDefault="00E76231" w:rsidP="00E76231">
            <w:pPr>
              <w:jc w:val="right"/>
              <w:rPr>
                <w:rFonts w:ascii="Arial" w:hAnsi="Arial" w:cs="Arial"/>
                <w:sz w:val="24"/>
                <w:szCs w:val="24"/>
              </w:rPr>
            </w:pPr>
            <w:r w:rsidRPr="000D756E">
              <w:rPr>
                <w:rFonts w:ascii="Arial" w:hAnsi="Arial" w:cs="Arial"/>
                <w:sz w:val="24"/>
                <w:szCs w:val="24"/>
              </w:rPr>
              <w:t>-27,838</w:t>
            </w:r>
          </w:p>
        </w:tc>
        <w:tc>
          <w:tcPr>
            <w:tcW w:w="1560" w:type="dxa"/>
          </w:tcPr>
          <w:p w14:paraId="753C07BB" w14:textId="569EC23D" w:rsidR="00E76231" w:rsidRPr="000D756E" w:rsidRDefault="00E76231" w:rsidP="00E76231">
            <w:pPr>
              <w:jc w:val="right"/>
              <w:rPr>
                <w:rFonts w:ascii="Arial" w:hAnsi="Arial" w:cs="Arial"/>
                <w:sz w:val="24"/>
                <w:szCs w:val="24"/>
              </w:rPr>
            </w:pPr>
            <w:r w:rsidRPr="000D756E">
              <w:rPr>
                <w:rFonts w:ascii="Arial" w:hAnsi="Arial" w:cs="Arial"/>
                <w:sz w:val="24"/>
                <w:szCs w:val="24"/>
              </w:rPr>
              <w:t>109</w:t>
            </w:r>
          </w:p>
        </w:tc>
        <w:tc>
          <w:tcPr>
            <w:tcW w:w="1559" w:type="dxa"/>
          </w:tcPr>
          <w:p w14:paraId="22BA250A" w14:textId="2D7B9435" w:rsidR="00E76231" w:rsidRPr="000D756E" w:rsidRDefault="00E76231" w:rsidP="00E76231">
            <w:pPr>
              <w:jc w:val="right"/>
              <w:rPr>
                <w:rFonts w:ascii="Arial" w:hAnsi="Arial" w:cs="Arial"/>
                <w:sz w:val="24"/>
                <w:szCs w:val="24"/>
              </w:rPr>
            </w:pPr>
            <w:r w:rsidRPr="000D756E">
              <w:rPr>
                <w:rFonts w:ascii="Arial" w:hAnsi="Arial" w:cs="Arial"/>
                <w:sz w:val="24"/>
                <w:szCs w:val="24"/>
              </w:rPr>
              <w:t>-27,729</w:t>
            </w:r>
          </w:p>
        </w:tc>
      </w:tr>
      <w:tr w:rsidR="006071DF" w:rsidRPr="000D756E" w14:paraId="02F96DD7" w14:textId="77777777" w:rsidTr="00DB3B65">
        <w:trPr>
          <w:trHeight w:val="671"/>
        </w:trPr>
        <w:tc>
          <w:tcPr>
            <w:tcW w:w="1701" w:type="dxa"/>
          </w:tcPr>
          <w:p w14:paraId="577FF520" w14:textId="6DCFE71D" w:rsidR="00E76231" w:rsidRPr="000D756E" w:rsidRDefault="00E76231" w:rsidP="00E76231">
            <w:pPr>
              <w:rPr>
                <w:rFonts w:ascii="Arial" w:hAnsi="Arial" w:cs="Arial"/>
                <w:b/>
                <w:sz w:val="24"/>
                <w:szCs w:val="24"/>
              </w:rPr>
            </w:pPr>
            <w:r w:rsidRPr="000D756E">
              <w:rPr>
                <w:rFonts w:ascii="Arial" w:hAnsi="Arial" w:cs="Arial"/>
                <w:b/>
                <w:sz w:val="24"/>
                <w:szCs w:val="24"/>
              </w:rPr>
              <w:t>Surplus (-) or Deficit</w:t>
            </w:r>
          </w:p>
        </w:tc>
        <w:tc>
          <w:tcPr>
            <w:tcW w:w="1701" w:type="dxa"/>
          </w:tcPr>
          <w:p w14:paraId="61319542" w14:textId="77777777" w:rsidR="00E76231" w:rsidRPr="000D756E" w:rsidRDefault="00E76231" w:rsidP="00E76231">
            <w:pPr>
              <w:jc w:val="right"/>
              <w:rPr>
                <w:rFonts w:ascii="Arial" w:hAnsi="Arial" w:cs="Arial"/>
                <w:b/>
                <w:sz w:val="24"/>
                <w:szCs w:val="24"/>
              </w:rPr>
            </w:pPr>
          </w:p>
          <w:p w14:paraId="0993E469" w14:textId="4637EE1A" w:rsidR="00E76231" w:rsidRPr="000D756E" w:rsidRDefault="00E76231" w:rsidP="00E76231">
            <w:pPr>
              <w:jc w:val="right"/>
              <w:rPr>
                <w:rFonts w:ascii="Arial" w:hAnsi="Arial" w:cs="Arial"/>
                <w:b/>
                <w:sz w:val="24"/>
                <w:szCs w:val="24"/>
              </w:rPr>
            </w:pPr>
            <w:r w:rsidRPr="000D756E">
              <w:rPr>
                <w:rFonts w:ascii="Arial" w:hAnsi="Arial" w:cs="Arial"/>
                <w:b/>
                <w:sz w:val="24"/>
                <w:szCs w:val="24"/>
              </w:rPr>
              <w:t>24,277</w:t>
            </w:r>
          </w:p>
        </w:tc>
        <w:tc>
          <w:tcPr>
            <w:tcW w:w="1701" w:type="dxa"/>
          </w:tcPr>
          <w:p w14:paraId="6A3E2DAA" w14:textId="77777777" w:rsidR="00E76231" w:rsidRPr="000D756E" w:rsidRDefault="00E76231" w:rsidP="00E76231">
            <w:pPr>
              <w:jc w:val="right"/>
              <w:rPr>
                <w:rFonts w:ascii="Arial" w:hAnsi="Arial" w:cs="Arial"/>
                <w:b/>
                <w:sz w:val="24"/>
                <w:szCs w:val="24"/>
              </w:rPr>
            </w:pPr>
          </w:p>
          <w:p w14:paraId="7BB2EFF5" w14:textId="6E6AC70B" w:rsidR="00E76231" w:rsidRPr="000D756E" w:rsidRDefault="00E76231" w:rsidP="00E76231">
            <w:pPr>
              <w:jc w:val="right"/>
              <w:rPr>
                <w:rFonts w:ascii="Arial" w:hAnsi="Arial" w:cs="Arial"/>
                <w:b/>
                <w:sz w:val="24"/>
                <w:szCs w:val="24"/>
              </w:rPr>
            </w:pPr>
            <w:r w:rsidRPr="000D756E">
              <w:rPr>
                <w:rFonts w:ascii="Arial" w:hAnsi="Arial" w:cs="Arial"/>
                <w:b/>
                <w:sz w:val="24"/>
                <w:szCs w:val="24"/>
              </w:rPr>
              <w:t>-25,019</w:t>
            </w:r>
          </w:p>
        </w:tc>
        <w:tc>
          <w:tcPr>
            <w:tcW w:w="1701" w:type="dxa"/>
          </w:tcPr>
          <w:p w14:paraId="1B42097C" w14:textId="77777777" w:rsidR="00E76231" w:rsidRPr="000D756E" w:rsidRDefault="00E76231" w:rsidP="00E76231">
            <w:pPr>
              <w:jc w:val="right"/>
              <w:rPr>
                <w:rFonts w:ascii="Arial" w:hAnsi="Arial" w:cs="Arial"/>
                <w:b/>
                <w:sz w:val="24"/>
                <w:szCs w:val="24"/>
              </w:rPr>
            </w:pPr>
          </w:p>
          <w:p w14:paraId="6972773C" w14:textId="4F729A09" w:rsidR="00E76231" w:rsidRPr="000D756E" w:rsidRDefault="00E76231" w:rsidP="00E76231">
            <w:pPr>
              <w:jc w:val="right"/>
              <w:rPr>
                <w:rFonts w:ascii="Arial" w:hAnsi="Arial" w:cs="Arial"/>
                <w:b/>
                <w:sz w:val="24"/>
                <w:szCs w:val="24"/>
              </w:rPr>
            </w:pPr>
            <w:r w:rsidRPr="000D756E">
              <w:rPr>
                <w:rFonts w:ascii="Arial" w:hAnsi="Arial" w:cs="Arial"/>
                <w:b/>
                <w:sz w:val="24"/>
                <w:szCs w:val="24"/>
              </w:rPr>
              <w:t>-742</w:t>
            </w:r>
          </w:p>
        </w:tc>
        <w:tc>
          <w:tcPr>
            <w:tcW w:w="1560" w:type="dxa"/>
          </w:tcPr>
          <w:p w14:paraId="6E2AACD3" w14:textId="77777777" w:rsidR="00E76231" w:rsidRPr="000D756E" w:rsidRDefault="00E76231" w:rsidP="00E76231">
            <w:pPr>
              <w:jc w:val="right"/>
              <w:rPr>
                <w:rFonts w:ascii="Arial" w:hAnsi="Arial" w:cs="Arial"/>
                <w:b/>
                <w:sz w:val="24"/>
                <w:szCs w:val="24"/>
              </w:rPr>
            </w:pPr>
          </w:p>
          <w:p w14:paraId="4AA6B01D" w14:textId="76350114" w:rsidR="00E76231" w:rsidRPr="000D756E" w:rsidRDefault="00E76231" w:rsidP="00E76231">
            <w:pPr>
              <w:jc w:val="right"/>
              <w:rPr>
                <w:rFonts w:ascii="Arial" w:hAnsi="Arial" w:cs="Arial"/>
                <w:b/>
                <w:sz w:val="24"/>
                <w:szCs w:val="24"/>
              </w:rPr>
            </w:pPr>
            <w:r w:rsidRPr="000D756E">
              <w:rPr>
                <w:rFonts w:ascii="Arial" w:hAnsi="Arial" w:cs="Arial"/>
                <w:b/>
                <w:sz w:val="24"/>
                <w:szCs w:val="24"/>
              </w:rPr>
              <w:t>11,423</w:t>
            </w:r>
          </w:p>
        </w:tc>
        <w:tc>
          <w:tcPr>
            <w:tcW w:w="1559" w:type="dxa"/>
          </w:tcPr>
          <w:p w14:paraId="7C23E761" w14:textId="77777777" w:rsidR="00E76231" w:rsidRPr="000D756E" w:rsidRDefault="00E76231" w:rsidP="00E76231">
            <w:pPr>
              <w:jc w:val="right"/>
              <w:rPr>
                <w:rFonts w:ascii="Arial" w:hAnsi="Arial" w:cs="Arial"/>
                <w:b/>
                <w:sz w:val="24"/>
                <w:szCs w:val="24"/>
              </w:rPr>
            </w:pPr>
          </w:p>
          <w:p w14:paraId="799C79CC" w14:textId="08705DE4" w:rsidR="00E76231" w:rsidRPr="000D756E" w:rsidRDefault="00E76231" w:rsidP="00E76231">
            <w:pPr>
              <w:jc w:val="right"/>
              <w:rPr>
                <w:rFonts w:ascii="Arial" w:hAnsi="Arial" w:cs="Arial"/>
                <w:b/>
                <w:sz w:val="24"/>
                <w:szCs w:val="24"/>
              </w:rPr>
            </w:pPr>
            <w:r w:rsidRPr="000D756E">
              <w:rPr>
                <w:rFonts w:ascii="Arial" w:hAnsi="Arial" w:cs="Arial"/>
                <w:b/>
                <w:sz w:val="24"/>
                <w:szCs w:val="24"/>
              </w:rPr>
              <w:t>10,681</w:t>
            </w:r>
          </w:p>
        </w:tc>
      </w:tr>
      <w:tr w:rsidR="006071DF" w:rsidRPr="000D756E" w14:paraId="544513AD" w14:textId="77777777" w:rsidTr="00DB3B65">
        <w:trPr>
          <w:trHeight w:val="671"/>
        </w:trPr>
        <w:tc>
          <w:tcPr>
            <w:tcW w:w="1701" w:type="dxa"/>
          </w:tcPr>
          <w:p w14:paraId="35F785C8" w14:textId="29B49067" w:rsidR="00E76231" w:rsidRPr="000D756E" w:rsidRDefault="00E76231" w:rsidP="00E76231">
            <w:pPr>
              <w:rPr>
                <w:rFonts w:ascii="Arial" w:hAnsi="Arial" w:cs="Arial"/>
                <w:bCs/>
                <w:sz w:val="24"/>
                <w:szCs w:val="24"/>
              </w:rPr>
            </w:pPr>
            <w:r w:rsidRPr="000D756E">
              <w:rPr>
                <w:rFonts w:ascii="Arial" w:hAnsi="Arial" w:cs="Arial"/>
                <w:bCs/>
                <w:sz w:val="24"/>
                <w:szCs w:val="24"/>
              </w:rPr>
              <w:t>Opening General Fund balance</w:t>
            </w:r>
          </w:p>
        </w:tc>
        <w:tc>
          <w:tcPr>
            <w:tcW w:w="1701" w:type="dxa"/>
          </w:tcPr>
          <w:p w14:paraId="73D417BB" w14:textId="77777777" w:rsidR="00E76231" w:rsidRPr="000D756E" w:rsidRDefault="00E76231" w:rsidP="00E76231">
            <w:pPr>
              <w:jc w:val="right"/>
              <w:rPr>
                <w:rFonts w:ascii="Arial" w:hAnsi="Arial" w:cs="Arial"/>
                <w:b/>
                <w:sz w:val="24"/>
                <w:szCs w:val="24"/>
              </w:rPr>
            </w:pPr>
          </w:p>
        </w:tc>
        <w:tc>
          <w:tcPr>
            <w:tcW w:w="1701" w:type="dxa"/>
          </w:tcPr>
          <w:p w14:paraId="2A9F5C1E" w14:textId="77777777" w:rsidR="00E76231" w:rsidRPr="000D756E" w:rsidRDefault="00E76231" w:rsidP="00E76231">
            <w:pPr>
              <w:jc w:val="right"/>
              <w:rPr>
                <w:rFonts w:ascii="Arial" w:hAnsi="Arial" w:cs="Arial"/>
                <w:b/>
                <w:sz w:val="24"/>
                <w:szCs w:val="24"/>
              </w:rPr>
            </w:pPr>
          </w:p>
        </w:tc>
        <w:tc>
          <w:tcPr>
            <w:tcW w:w="1701" w:type="dxa"/>
          </w:tcPr>
          <w:p w14:paraId="68A1A53F" w14:textId="77777777" w:rsidR="00E76231" w:rsidRPr="000D756E" w:rsidRDefault="00E76231" w:rsidP="00E76231">
            <w:pPr>
              <w:jc w:val="right"/>
              <w:rPr>
                <w:rFonts w:ascii="Arial" w:hAnsi="Arial" w:cs="Arial"/>
                <w:bCs/>
                <w:sz w:val="24"/>
                <w:szCs w:val="24"/>
              </w:rPr>
            </w:pPr>
          </w:p>
          <w:p w14:paraId="435DF1AE" w14:textId="1C4D508F" w:rsidR="00E76231" w:rsidRPr="000D756E" w:rsidRDefault="00E76231" w:rsidP="00E76231">
            <w:pPr>
              <w:jc w:val="right"/>
              <w:rPr>
                <w:rFonts w:ascii="Arial" w:hAnsi="Arial" w:cs="Arial"/>
                <w:bCs/>
                <w:sz w:val="24"/>
                <w:szCs w:val="24"/>
              </w:rPr>
            </w:pPr>
            <w:r w:rsidRPr="000D756E">
              <w:rPr>
                <w:rFonts w:ascii="Arial" w:hAnsi="Arial" w:cs="Arial"/>
                <w:bCs/>
                <w:sz w:val="24"/>
                <w:szCs w:val="24"/>
              </w:rPr>
              <w:t>12,818</w:t>
            </w:r>
          </w:p>
        </w:tc>
        <w:tc>
          <w:tcPr>
            <w:tcW w:w="1560" w:type="dxa"/>
          </w:tcPr>
          <w:p w14:paraId="060D7BB4" w14:textId="77777777" w:rsidR="00E76231" w:rsidRPr="000D756E" w:rsidRDefault="00E76231" w:rsidP="00E76231">
            <w:pPr>
              <w:jc w:val="right"/>
              <w:rPr>
                <w:rFonts w:ascii="Arial" w:hAnsi="Arial" w:cs="Arial"/>
                <w:b/>
                <w:sz w:val="24"/>
                <w:szCs w:val="24"/>
              </w:rPr>
            </w:pPr>
          </w:p>
        </w:tc>
        <w:tc>
          <w:tcPr>
            <w:tcW w:w="1559" w:type="dxa"/>
          </w:tcPr>
          <w:p w14:paraId="4E4F538C" w14:textId="77777777" w:rsidR="00E76231" w:rsidRPr="000D756E" w:rsidRDefault="00E76231" w:rsidP="00E76231">
            <w:pPr>
              <w:jc w:val="right"/>
              <w:rPr>
                <w:rFonts w:ascii="Arial" w:hAnsi="Arial" w:cs="Arial"/>
                <w:b/>
                <w:sz w:val="24"/>
                <w:szCs w:val="24"/>
              </w:rPr>
            </w:pPr>
          </w:p>
        </w:tc>
      </w:tr>
      <w:tr w:rsidR="006071DF" w:rsidRPr="000D756E" w14:paraId="0C9259F4" w14:textId="77777777" w:rsidTr="00DB3B65">
        <w:trPr>
          <w:trHeight w:val="671"/>
        </w:trPr>
        <w:tc>
          <w:tcPr>
            <w:tcW w:w="1701" w:type="dxa"/>
          </w:tcPr>
          <w:p w14:paraId="7910AA50" w14:textId="55619D9C" w:rsidR="00E76231" w:rsidRPr="000D756E" w:rsidRDefault="00E76231" w:rsidP="00E76231">
            <w:pPr>
              <w:rPr>
                <w:rFonts w:ascii="Arial" w:hAnsi="Arial" w:cs="Arial"/>
                <w:bCs/>
                <w:sz w:val="24"/>
                <w:szCs w:val="24"/>
              </w:rPr>
            </w:pPr>
            <w:r w:rsidRPr="000D756E">
              <w:rPr>
                <w:rFonts w:ascii="Arial" w:hAnsi="Arial" w:cs="Arial"/>
                <w:bCs/>
                <w:sz w:val="24"/>
                <w:szCs w:val="24"/>
              </w:rPr>
              <w:t>Surplus / deficit on General Fund balance during year</w:t>
            </w:r>
          </w:p>
        </w:tc>
        <w:tc>
          <w:tcPr>
            <w:tcW w:w="1701" w:type="dxa"/>
          </w:tcPr>
          <w:p w14:paraId="0F62B06F" w14:textId="77777777" w:rsidR="00E76231" w:rsidRPr="000D756E" w:rsidRDefault="00E76231" w:rsidP="00E76231">
            <w:pPr>
              <w:jc w:val="right"/>
              <w:rPr>
                <w:rFonts w:ascii="Arial" w:hAnsi="Arial" w:cs="Arial"/>
                <w:b/>
                <w:sz w:val="24"/>
                <w:szCs w:val="24"/>
              </w:rPr>
            </w:pPr>
          </w:p>
        </w:tc>
        <w:tc>
          <w:tcPr>
            <w:tcW w:w="1701" w:type="dxa"/>
          </w:tcPr>
          <w:p w14:paraId="58173F0E" w14:textId="77777777" w:rsidR="00E76231" w:rsidRPr="000D756E" w:rsidRDefault="00E76231" w:rsidP="00E76231">
            <w:pPr>
              <w:jc w:val="right"/>
              <w:rPr>
                <w:rFonts w:ascii="Arial" w:hAnsi="Arial" w:cs="Arial"/>
                <w:b/>
                <w:sz w:val="24"/>
                <w:szCs w:val="24"/>
              </w:rPr>
            </w:pPr>
          </w:p>
        </w:tc>
        <w:tc>
          <w:tcPr>
            <w:tcW w:w="1701" w:type="dxa"/>
          </w:tcPr>
          <w:p w14:paraId="05CDC185" w14:textId="77777777" w:rsidR="00E76231" w:rsidRPr="000D756E" w:rsidRDefault="00E76231" w:rsidP="00E76231">
            <w:pPr>
              <w:jc w:val="right"/>
              <w:rPr>
                <w:rFonts w:ascii="Arial" w:hAnsi="Arial" w:cs="Arial"/>
                <w:bCs/>
                <w:sz w:val="24"/>
                <w:szCs w:val="24"/>
              </w:rPr>
            </w:pPr>
          </w:p>
          <w:p w14:paraId="7ED479AB" w14:textId="4185CE9A" w:rsidR="00E76231" w:rsidRPr="000D756E" w:rsidRDefault="00E76231" w:rsidP="00E76231">
            <w:pPr>
              <w:jc w:val="right"/>
              <w:rPr>
                <w:rFonts w:ascii="Arial" w:hAnsi="Arial" w:cs="Arial"/>
                <w:bCs/>
                <w:sz w:val="24"/>
                <w:szCs w:val="24"/>
              </w:rPr>
            </w:pPr>
            <w:r w:rsidRPr="000D756E">
              <w:rPr>
                <w:rFonts w:ascii="Arial" w:hAnsi="Arial" w:cs="Arial"/>
                <w:bCs/>
                <w:sz w:val="24"/>
                <w:szCs w:val="24"/>
              </w:rPr>
              <w:t>742</w:t>
            </w:r>
          </w:p>
        </w:tc>
        <w:tc>
          <w:tcPr>
            <w:tcW w:w="1560" w:type="dxa"/>
          </w:tcPr>
          <w:p w14:paraId="384C8E5B" w14:textId="77777777" w:rsidR="00E76231" w:rsidRPr="000D756E" w:rsidRDefault="00E76231" w:rsidP="00E76231">
            <w:pPr>
              <w:jc w:val="right"/>
              <w:rPr>
                <w:rFonts w:ascii="Arial" w:hAnsi="Arial" w:cs="Arial"/>
                <w:b/>
                <w:sz w:val="24"/>
                <w:szCs w:val="24"/>
              </w:rPr>
            </w:pPr>
          </w:p>
        </w:tc>
        <w:tc>
          <w:tcPr>
            <w:tcW w:w="1559" w:type="dxa"/>
          </w:tcPr>
          <w:p w14:paraId="6BFE0F00" w14:textId="77777777" w:rsidR="00E76231" w:rsidRPr="000D756E" w:rsidRDefault="00E76231" w:rsidP="00E76231">
            <w:pPr>
              <w:jc w:val="right"/>
              <w:rPr>
                <w:rFonts w:ascii="Arial" w:hAnsi="Arial" w:cs="Arial"/>
                <w:b/>
                <w:sz w:val="24"/>
                <w:szCs w:val="24"/>
              </w:rPr>
            </w:pPr>
          </w:p>
        </w:tc>
      </w:tr>
      <w:tr w:rsidR="006071DF" w:rsidRPr="000D756E" w14:paraId="328859FF" w14:textId="77777777" w:rsidTr="00DB3B65">
        <w:trPr>
          <w:trHeight w:val="671"/>
        </w:trPr>
        <w:tc>
          <w:tcPr>
            <w:tcW w:w="1701" w:type="dxa"/>
          </w:tcPr>
          <w:p w14:paraId="6591AF4B" w14:textId="50855B9E" w:rsidR="00E76231" w:rsidRPr="000D756E" w:rsidRDefault="00E76231" w:rsidP="00E76231">
            <w:pPr>
              <w:rPr>
                <w:rFonts w:ascii="Arial" w:hAnsi="Arial" w:cs="Arial"/>
                <w:bCs/>
                <w:sz w:val="24"/>
                <w:szCs w:val="24"/>
              </w:rPr>
            </w:pPr>
            <w:r w:rsidRPr="000D756E">
              <w:rPr>
                <w:rFonts w:ascii="Arial" w:hAnsi="Arial" w:cs="Arial"/>
                <w:bCs/>
                <w:sz w:val="24"/>
                <w:szCs w:val="24"/>
              </w:rPr>
              <w:t>Closing General Fund balance</w:t>
            </w:r>
          </w:p>
        </w:tc>
        <w:tc>
          <w:tcPr>
            <w:tcW w:w="1701" w:type="dxa"/>
          </w:tcPr>
          <w:p w14:paraId="20FEBF4B" w14:textId="77777777" w:rsidR="00E76231" w:rsidRPr="000D756E" w:rsidRDefault="00E76231" w:rsidP="00E76231">
            <w:pPr>
              <w:jc w:val="right"/>
              <w:rPr>
                <w:rFonts w:ascii="Arial" w:hAnsi="Arial" w:cs="Arial"/>
                <w:b/>
                <w:sz w:val="24"/>
                <w:szCs w:val="24"/>
              </w:rPr>
            </w:pPr>
          </w:p>
        </w:tc>
        <w:tc>
          <w:tcPr>
            <w:tcW w:w="1701" w:type="dxa"/>
          </w:tcPr>
          <w:p w14:paraId="67FD5B10" w14:textId="77777777" w:rsidR="00E76231" w:rsidRPr="000D756E" w:rsidRDefault="00E76231" w:rsidP="00E76231">
            <w:pPr>
              <w:jc w:val="right"/>
              <w:rPr>
                <w:rFonts w:ascii="Arial" w:hAnsi="Arial" w:cs="Arial"/>
                <w:b/>
                <w:sz w:val="24"/>
                <w:szCs w:val="24"/>
              </w:rPr>
            </w:pPr>
          </w:p>
        </w:tc>
        <w:tc>
          <w:tcPr>
            <w:tcW w:w="1701" w:type="dxa"/>
          </w:tcPr>
          <w:p w14:paraId="3A318031" w14:textId="77777777" w:rsidR="00E76231" w:rsidRPr="000D756E" w:rsidRDefault="00E76231" w:rsidP="00E76231">
            <w:pPr>
              <w:jc w:val="right"/>
              <w:rPr>
                <w:rFonts w:ascii="Arial" w:hAnsi="Arial" w:cs="Arial"/>
                <w:b/>
                <w:sz w:val="24"/>
                <w:szCs w:val="24"/>
              </w:rPr>
            </w:pPr>
          </w:p>
          <w:p w14:paraId="4D86676A" w14:textId="180FA85A" w:rsidR="00E76231" w:rsidRPr="000D756E" w:rsidRDefault="00E76231" w:rsidP="00E76231">
            <w:pPr>
              <w:jc w:val="right"/>
              <w:rPr>
                <w:rFonts w:ascii="Arial" w:hAnsi="Arial" w:cs="Arial"/>
                <w:b/>
                <w:sz w:val="24"/>
                <w:szCs w:val="24"/>
              </w:rPr>
            </w:pPr>
            <w:r w:rsidRPr="000D756E">
              <w:rPr>
                <w:rFonts w:ascii="Arial" w:hAnsi="Arial" w:cs="Arial"/>
                <w:b/>
                <w:sz w:val="24"/>
                <w:szCs w:val="24"/>
              </w:rPr>
              <w:t>13,560</w:t>
            </w:r>
          </w:p>
        </w:tc>
        <w:tc>
          <w:tcPr>
            <w:tcW w:w="1560" w:type="dxa"/>
          </w:tcPr>
          <w:p w14:paraId="383A1A29" w14:textId="77777777" w:rsidR="00E76231" w:rsidRPr="000D756E" w:rsidRDefault="00E76231" w:rsidP="00E76231">
            <w:pPr>
              <w:jc w:val="right"/>
              <w:rPr>
                <w:rFonts w:ascii="Arial" w:hAnsi="Arial" w:cs="Arial"/>
                <w:b/>
                <w:sz w:val="24"/>
                <w:szCs w:val="24"/>
              </w:rPr>
            </w:pPr>
          </w:p>
        </w:tc>
        <w:tc>
          <w:tcPr>
            <w:tcW w:w="1559" w:type="dxa"/>
          </w:tcPr>
          <w:p w14:paraId="280A69C4" w14:textId="77777777" w:rsidR="00E76231" w:rsidRPr="000D756E" w:rsidRDefault="00E76231" w:rsidP="00E76231">
            <w:pPr>
              <w:jc w:val="right"/>
              <w:rPr>
                <w:rFonts w:ascii="Arial" w:hAnsi="Arial" w:cs="Arial"/>
                <w:b/>
                <w:sz w:val="24"/>
                <w:szCs w:val="24"/>
              </w:rPr>
            </w:pPr>
          </w:p>
        </w:tc>
      </w:tr>
    </w:tbl>
    <w:p w14:paraId="23F98768" w14:textId="7B41BD9D" w:rsidR="0E6F239C" w:rsidRPr="000D756E" w:rsidRDefault="0E6F239C"/>
    <w:p w14:paraId="33F164A7" w14:textId="77777777" w:rsidR="00651F86" w:rsidRPr="000D756E" w:rsidRDefault="00651F86" w:rsidP="00651F86">
      <w:pPr>
        <w:rPr>
          <w:rFonts w:ascii="Arial" w:hAnsi="Arial" w:cs="Arial"/>
          <w:b/>
          <w:sz w:val="24"/>
          <w:szCs w:val="24"/>
        </w:rPr>
      </w:pPr>
      <w:r w:rsidRPr="000D756E">
        <w:rPr>
          <w:rFonts w:ascii="Arial" w:hAnsi="Arial" w:cs="Arial"/>
          <w:sz w:val="24"/>
          <w:szCs w:val="24"/>
        </w:rPr>
        <w:br w:type="page"/>
      </w:r>
    </w:p>
    <w:p w14:paraId="4EAF2C6A" w14:textId="498AD811" w:rsidR="00AE0DA2" w:rsidRPr="000D756E" w:rsidRDefault="002D7A49" w:rsidP="004D3F79">
      <w:pPr>
        <w:ind w:firstLine="360"/>
        <w:rPr>
          <w:rFonts w:ascii="Arial" w:hAnsi="Arial" w:cs="Arial"/>
          <w:b/>
          <w:sz w:val="26"/>
          <w:szCs w:val="26"/>
        </w:rPr>
      </w:pPr>
      <w:r>
        <w:rPr>
          <w:rFonts w:ascii="Arial" w:hAnsi="Arial" w:cs="Arial"/>
          <w:b/>
          <w:bCs/>
          <w:sz w:val="26"/>
          <w:szCs w:val="26"/>
        </w:rPr>
        <w:lastRenderedPageBreak/>
        <w:t>3</w:t>
      </w:r>
      <w:r w:rsidR="004D3F79" w:rsidRPr="000D756E">
        <w:rPr>
          <w:rFonts w:ascii="Arial" w:hAnsi="Arial" w:cs="Arial"/>
          <w:b/>
          <w:bCs/>
          <w:sz w:val="26"/>
          <w:szCs w:val="26"/>
        </w:rPr>
        <w:t>a</w:t>
      </w:r>
      <w:r w:rsidR="004D3F79" w:rsidRPr="000D756E">
        <w:rPr>
          <w:rFonts w:ascii="Arial" w:hAnsi="Arial" w:cs="Arial"/>
          <w:b/>
          <w:sz w:val="26"/>
          <w:szCs w:val="26"/>
        </w:rPr>
        <w:t xml:space="preserve"> Note to the Expenditure and Funding Analysis</w:t>
      </w:r>
    </w:p>
    <w:p w14:paraId="3147BEDE" w14:textId="77777777" w:rsidR="004D3F79" w:rsidRPr="000D756E" w:rsidRDefault="004D3F79" w:rsidP="004D3F79">
      <w:pPr>
        <w:ind w:firstLine="360"/>
        <w:rPr>
          <w:rFonts w:ascii="Arial" w:hAnsi="Arial" w:cs="Arial"/>
          <w:b/>
          <w:sz w:val="24"/>
          <w:szCs w:val="24"/>
        </w:rPr>
      </w:pPr>
    </w:p>
    <w:p w14:paraId="287214C1" w14:textId="74334305" w:rsidR="00651F86" w:rsidRPr="000D756E" w:rsidRDefault="00651F86" w:rsidP="004D3F79">
      <w:pPr>
        <w:ind w:firstLine="360"/>
        <w:rPr>
          <w:rFonts w:ascii="Arial" w:hAnsi="Arial" w:cs="Arial"/>
          <w:b/>
          <w:sz w:val="24"/>
          <w:szCs w:val="24"/>
        </w:rPr>
      </w:pPr>
      <w:r w:rsidRPr="000D756E">
        <w:rPr>
          <w:rFonts w:ascii="Arial" w:hAnsi="Arial" w:cs="Arial"/>
          <w:b/>
          <w:sz w:val="24"/>
          <w:szCs w:val="24"/>
        </w:rPr>
        <w:t>20</w:t>
      </w:r>
      <w:r w:rsidR="008B2442" w:rsidRPr="000D756E">
        <w:rPr>
          <w:rFonts w:ascii="Arial" w:hAnsi="Arial" w:cs="Arial"/>
          <w:b/>
          <w:sz w:val="24"/>
          <w:szCs w:val="24"/>
        </w:rPr>
        <w:t>2</w:t>
      </w:r>
      <w:r w:rsidR="00E76231">
        <w:rPr>
          <w:rFonts w:ascii="Arial" w:hAnsi="Arial" w:cs="Arial"/>
          <w:b/>
          <w:sz w:val="24"/>
          <w:szCs w:val="24"/>
        </w:rPr>
        <w:t>4/25</w:t>
      </w:r>
      <w:r w:rsidR="006F5D79" w:rsidRPr="000D756E">
        <w:rPr>
          <w:rFonts w:ascii="Arial" w:hAnsi="Arial" w:cs="Arial"/>
          <w:b/>
          <w:sz w:val="24"/>
          <w:szCs w:val="24"/>
        </w:rPr>
        <w:t xml:space="preserve">  </w:t>
      </w:r>
    </w:p>
    <w:p w14:paraId="3B92FC3E" w14:textId="77777777" w:rsidR="00651F86" w:rsidRPr="000D756E" w:rsidRDefault="00651F86" w:rsidP="004D3F79">
      <w:pPr>
        <w:ind w:firstLine="360"/>
        <w:rPr>
          <w:rFonts w:ascii="Arial" w:hAnsi="Arial" w:cs="Arial"/>
          <w:b/>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01"/>
        <w:gridCol w:w="1417"/>
        <w:gridCol w:w="1418"/>
        <w:gridCol w:w="1559"/>
        <w:gridCol w:w="1559"/>
      </w:tblGrid>
      <w:tr w:rsidR="006071DF" w:rsidRPr="000D756E" w14:paraId="1B91D2F9" w14:textId="77777777" w:rsidTr="00EF50B8">
        <w:tc>
          <w:tcPr>
            <w:tcW w:w="2269" w:type="dxa"/>
          </w:tcPr>
          <w:p w14:paraId="10E39EFB" w14:textId="77777777" w:rsidR="00EF50B8" w:rsidRPr="000D756E" w:rsidRDefault="00EF50B8" w:rsidP="004E3575">
            <w:pPr>
              <w:jc w:val="right"/>
              <w:rPr>
                <w:rFonts w:ascii="Arial" w:hAnsi="Arial" w:cs="Arial"/>
                <w:b/>
                <w:sz w:val="22"/>
                <w:szCs w:val="22"/>
              </w:rPr>
            </w:pPr>
          </w:p>
        </w:tc>
        <w:tc>
          <w:tcPr>
            <w:tcW w:w="1701" w:type="dxa"/>
          </w:tcPr>
          <w:p w14:paraId="0756CF77" w14:textId="77777777" w:rsidR="00EF50B8" w:rsidRPr="000D756E" w:rsidRDefault="00EF50B8" w:rsidP="00EF50B8">
            <w:pPr>
              <w:rPr>
                <w:rFonts w:ascii="Arial" w:hAnsi="Arial" w:cs="Arial"/>
                <w:b/>
                <w:sz w:val="22"/>
                <w:szCs w:val="22"/>
              </w:rPr>
            </w:pPr>
          </w:p>
          <w:p w14:paraId="2861B843" w14:textId="77777777" w:rsidR="00EF50B8" w:rsidRPr="000D756E" w:rsidRDefault="00EF50B8" w:rsidP="004E3575">
            <w:pPr>
              <w:jc w:val="right"/>
              <w:rPr>
                <w:rFonts w:ascii="Arial" w:hAnsi="Arial" w:cs="Arial"/>
                <w:b/>
                <w:sz w:val="22"/>
                <w:szCs w:val="22"/>
              </w:rPr>
            </w:pPr>
            <w:r w:rsidRPr="000D756E">
              <w:rPr>
                <w:rFonts w:ascii="Arial" w:hAnsi="Arial" w:cs="Arial"/>
                <w:b/>
                <w:sz w:val="22"/>
                <w:szCs w:val="22"/>
              </w:rPr>
              <w:t>Adjustments to arrive at amount chargeable to General Fund</w:t>
            </w:r>
          </w:p>
          <w:p w14:paraId="47E6A660" w14:textId="77777777" w:rsidR="00EF50B8" w:rsidRPr="000D756E" w:rsidRDefault="00EF50B8" w:rsidP="004E3575">
            <w:pPr>
              <w:jc w:val="right"/>
              <w:rPr>
                <w:rFonts w:ascii="Arial" w:hAnsi="Arial" w:cs="Arial"/>
                <w:b/>
                <w:sz w:val="22"/>
                <w:szCs w:val="22"/>
              </w:rPr>
            </w:pPr>
          </w:p>
          <w:p w14:paraId="76898803" w14:textId="77777777" w:rsidR="00EF50B8" w:rsidRPr="000D756E" w:rsidRDefault="00EF50B8" w:rsidP="004E3575">
            <w:pPr>
              <w:jc w:val="right"/>
              <w:rPr>
                <w:rFonts w:ascii="Arial" w:hAnsi="Arial" w:cs="Arial"/>
                <w:b/>
                <w:sz w:val="22"/>
                <w:szCs w:val="22"/>
              </w:rPr>
            </w:pPr>
            <w:r w:rsidRPr="000D756E">
              <w:rPr>
                <w:rFonts w:ascii="Arial" w:hAnsi="Arial" w:cs="Arial"/>
                <w:b/>
                <w:sz w:val="22"/>
                <w:szCs w:val="22"/>
              </w:rPr>
              <w:t>£’000</w:t>
            </w:r>
          </w:p>
        </w:tc>
        <w:tc>
          <w:tcPr>
            <w:tcW w:w="1417" w:type="dxa"/>
          </w:tcPr>
          <w:p w14:paraId="1533E4D0" w14:textId="77777777" w:rsidR="00EF50B8" w:rsidRPr="000D756E" w:rsidRDefault="00EF50B8" w:rsidP="00EF50B8">
            <w:pPr>
              <w:rPr>
                <w:rFonts w:ascii="Arial" w:hAnsi="Arial" w:cs="Arial"/>
                <w:b/>
                <w:sz w:val="22"/>
                <w:szCs w:val="22"/>
              </w:rPr>
            </w:pPr>
          </w:p>
          <w:p w14:paraId="02DDADA6" w14:textId="77777777" w:rsidR="00EF50B8" w:rsidRPr="000D756E" w:rsidRDefault="00EF50B8" w:rsidP="004E3575">
            <w:pPr>
              <w:jc w:val="right"/>
              <w:rPr>
                <w:rFonts w:ascii="Arial" w:hAnsi="Arial" w:cs="Arial"/>
                <w:b/>
                <w:sz w:val="22"/>
                <w:szCs w:val="22"/>
              </w:rPr>
            </w:pPr>
          </w:p>
          <w:p w14:paraId="0D5B619F" w14:textId="77777777" w:rsidR="00EF50B8" w:rsidRPr="000D756E" w:rsidRDefault="00EF50B8" w:rsidP="004E3575">
            <w:pPr>
              <w:jc w:val="right"/>
              <w:rPr>
                <w:rFonts w:ascii="Arial" w:hAnsi="Arial" w:cs="Arial"/>
                <w:b/>
                <w:sz w:val="22"/>
                <w:szCs w:val="22"/>
              </w:rPr>
            </w:pPr>
            <w:r w:rsidRPr="000D756E">
              <w:rPr>
                <w:rFonts w:ascii="Arial" w:hAnsi="Arial" w:cs="Arial"/>
                <w:b/>
                <w:sz w:val="22"/>
                <w:szCs w:val="22"/>
              </w:rPr>
              <w:t>Adjust-ment for capital purposes</w:t>
            </w:r>
          </w:p>
          <w:p w14:paraId="05BCB99B" w14:textId="77777777" w:rsidR="00EF50B8" w:rsidRPr="000D756E" w:rsidRDefault="00EF50B8" w:rsidP="004E3575">
            <w:pPr>
              <w:jc w:val="right"/>
              <w:rPr>
                <w:rFonts w:ascii="Arial" w:hAnsi="Arial" w:cs="Arial"/>
                <w:b/>
                <w:sz w:val="22"/>
                <w:szCs w:val="22"/>
              </w:rPr>
            </w:pPr>
          </w:p>
          <w:p w14:paraId="34291333" w14:textId="77777777" w:rsidR="00EF50B8" w:rsidRPr="000D756E" w:rsidRDefault="00EF50B8" w:rsidP="004E3575">
            <w:pPr>
              <w:jc w:val="right"/>
              <w:rPr>
                <w:rFonts w:ascii="Arial" w:hAnsi="Arial" w:cs="Arial"/>
                <w:b/>
                <w:sz w:val="22"/>
                <w:szCs w:val="22"/>
              </w:rPr>
            </w:pPr>
            <w:r w:rsidRPr="000D756E">
              <w:rPr>
                <w:rFonts w:ascii="Arial" w:hAnsi="Arial" w:cs="Arial"/>
                <w:b/>
                <w:sz w:val="22"/>
                <w:szCs w:val="22"/>
              </w:rPr>
              <w:t>£’000</w:t>
            </w:r>
          </w:p>
        </w:tc>
        <w:tc>
          <w:tcPr>
            <w:tcW w:w="1418" w:type="dxa"/>
          </w:tcPr>
          <w:p w14:paraId="26D26598" w14:textId="77777777" w:rsidR="00EF50B8" w:rsidRPr="000D756E" w:rsidRDefault="00EF50B8" w:rsidP="00EF50B8">
            <w:pPr>
              <w:rPr>
                <w:rFonts w:ascii="Arial" w:hAnsi="Arial" w:cs="Arial"/>
                <w:b/>
                <w:sz w:val="22"/>
                <w:szCs w:val="22"/>
              </w:rPr>
            </w:pPr>
          </w:p>
          <w:p w14:paraId="7090386E" w14:textId="77777777" w:rsidR="00EF50B8" w:rsidRPr="000D756E" w:rsidRDefault="00EF50B8" w:rsidP="004E3575">
            <w:pPr>
              <w:jc w:val="right"/>
              <w:rPr>
                <w:rFonts w:ascii="Arial" w:hAnsi="Arial" w:cs="Arial"/>
                <w:b/>
                <w:sz w:val="22"/>
                <w:szCs w:val="22"/>
              </w:rPr>
            </w:pPr>
          </w:p>
          <w:p w14:paraId="67D1C759" w14:textId="77777777" w:rsidR="00EF50B8" w:rsidRPr="000D756E" w:rsidRDefault="00EF50B8" w:rsidP="004E3575">
            <w:pPr>
              <w:jc w:val="right"/>
              <w:rPr>
                <w:rFonts w:ascii="Arial" w:hAnsi="Arial" w:cs="Arial"/>
                <w:b/>
                <w:sz w:val="22"/>
                <w:szCs w:val="22"/>
              </w:rPr>
            </w:pPr>
            <w:r w:rsidRPr="000D756E">
              <w:rPr>
                <w:rFonts w:ascii="Arial" w:hAnsi="Arial" w:cs="Arial"/>
                <w:b/>
                <w:sz w:val="22"/>
                <w:szCs w:val="22"/>
              </w:rPr>
              <w:t>Net change for the Pensions Account</w:t>
            </w:r>
          </w:p>
          <w:p w14:paraId="75D9970B" w14:textId="77777777" w:rsidR="00EF50B8" w:rsidRPr="000D756E" w:rsidRDefault="00EF50B8" w:rsidP="004E3575">
            <w:pPr>
              <w:jc w:val="right"/>
              <w:rPr>
                <w:rFonts w:ascii="Arial" w:hAnsi="Arial" w:cs="Arial"/>
                <w:b/>
                <w:sz w:val="22"/>
                <w:szCs w:val="22"/>
              </w:rPr>
            </w:pPr>
          </w:p>
          <w:p w14:paraId="3784688C" w14:textId="77777777" w:rsidR="00EF50B8" w:rsidRPr="000D756E" w:rsidRDefault="00EF50B8" w:rsidP="004E3575">
            <w:pPr>
              <w:jc w:val="right"/>
              <w:rPr>
                <w:rFonts w:ascii="Arial" w:hAnsi="Arial" w:cs="Arial"/>
                <w:b/>
                <w:sz w:val="22"/>
                <w:szCs w:val="22"/>
              </w:rPr>
            </w:pPr>
            <w:r w:rsidRPr="000D756E">
              <w:rPr>
                <w:rFonts w:ascii="Arial" w:hAnsi="Arial" w:cs="Arial"/>
                <w:b/>
                <w:sz w:val="22"/>
                <w:szCs w:val="22"/>
              </w:rPr>
              <w:t>£’000</w:t>
            </w:r>
          </w:p>
        </w:tc>
        <w:tc>
          <w:tcPr>
            <w:tcW w:w="1559" w:type="dxa"/>
          </w:tcPr>
          <w:p w14:paraId="6DAB9DE5" w14:textId="77777777" w:rsidR="00EF50B8" w:rsidRPr="000D756E" w:rsidRDefault="00EF50B8" w:rsidP="004E3575">
            <w:pPr>
              <w:jc w:val="right"/>
              <w:rPr>
                <w:rFonts w:ascii="Arial" w:hAnsi="Arial" w:cs="Arial"/>
                <w:b/>
                <w:sz w:val="22"/>
                <w:szCs w:val="22"/>
              </w:rPr>
            </w:pPr>
          </w:p>
          <w:p w14:paraId="6BD54EA1" w14:textId="77777777" w:rsidR="00EF50B8" w:rsidRPr="000D756E" w:rsidRDefault="00EF50B8" w:rsidP="00EF50B8">
            <w:pPr>
              <w:rPr>
                <w:rFonts w:ascii="Arial" w:hAnsi="Arial" w:cs="Arial"/>
                <w:b/>
                <w:sz w:val="22"/>
                <w:szCs w:val="22"/>
              </w:rPr>
            </w:pPr>
          </w:p>
          <w:p w14:paraId="71365AD1" w14:textId="77777777" w:rsidR="00EF50B8" w:rsidRPr="000D756E" w:rsidRDefault="00EF50B8" w:rsidP="004E3575">
            <w:pPr>
              <w:jc w:val="right"/>
              <w:rPr>
                <w:rFonts w:ascii="Arial" w:hAnsi="Arial" w:cs="Arial"/>
                <w:b/>
                <w:sz w:val="22"/>
                <w:szCs w:val="22"/>
              </w:rPr>
            </w:pPr>
          </w:p>
          <w:p w14:paraId="4D46E628" w14:textId="77777777" w:rsidR="00EF50B8" w:rsidRPr="000D756E" w:rsidRDefault="00EF50B8" w:rsidP="004E3575">
            <w:pPr>
              <w:jc w:val="right"/>
              <w:rPr>
                <w:rFonts w:ascii="Arial" w:hAnsi="Arial" w:cs="Arial"/>
                <w:b/>
                <w:sz w:val="22"/>
                <w:szCs w:val="22"/>
              </w:rPr>
            </w:pPr>
            <w:r w:rsidRPr="000D756E">
              <w:rPr>
                <w:rFonts w:ascii="Arial" w:hAnsi="Arial" w:cs="Arial"/>
                <w:b/>
                <w:sz w:val="22"/>
                <w:szCs w:val="22"/>
              </w:rPr>
              <w:t>Other differ-ences</w:t>
            </w:r>
          </w:p>
          <w:p w14:paraId="33F86B77" w14:textId="77777777" w:rsidR="00EF50B8" w:rsidRPr="000D756E" w:rsidRDefault="00EF50B8" w:rsidP="004E3575">
            <w:pPr>
              <w:jc w:val="right"/>
              <w:rPr>
                <w:rFonts w:ascii="Arial" w:hAnsi="Arial" w:cs="Arial"/>
                <w:b/>
                <w:sz w:val="22"/>
                <w:szCs w:val="22"/>
              </w:rPr>
            </w:pPr>
          </w:p>
          <w:p w14:paraId="65C7F81C" w14:textId="77777777" w:rsidR="00C368AA" w:rsidRPr="000D756E" w:rsidRDefault="00C368AA" w:rsidP="004E3575">
            <w:pPr>
              <w:jc w:val="right"/>
              <w:rPr>
                <w:rFonts w:ascii="Arial" w:hAnsi="Arial" w:cs="Arial"/>
                <w:b/>
                <w:sz w:val="22"/>
                <w:szCs w:val="22"/>
              </w:rPr>
            </w:pPr>
          </w:p>
          <w:p w14:paraId="5C3F9363" w14:textId="009EC3BE" w:rsidR="00EF50B8" w:rsidRPr="000D756E" w:rsidRDefault="00EF50B8" w:rsidP="004E3575">
            <w:pPr>
              <w:jc w:val="right"/>
              <w:rPr>
                <w:rFonts w:ascii="Arial" w:hAnsi="Arial" w:cs="Arial"/>
                <w:b/>
                <w:sz w:val="22"/>
                <w:szCs w:val="22"/>
              </w:rPr>
            </w:pPr>
            <w:r w:rsidRPr="000D756E">
              <w:rPr>
                <w:rFonts w:ascii="Arial" w:hAnsi="Arial" w:cs="Arial"/>
                <w:b/>
                <w:sz w:val="22"/>
                <w:szCs w:val="22"/>
              </w:rPr>
              <w:t>£’000</w:t>
            </w:r>
          </w:p>
        </w:tc>
        <w:tc>
          <w:tcPr>
            <w:tcW w:w="1559" w:type="dxa"/>
          </w:tcPr>
          <w:p w14:paraId="0E063108" w14:textId="77777777" w:rsidR="00EF50B8" w:rsidRPr="000D756E" w:rsidRDefault="00EF50B8" w:rsidP="00EF50B8">
            <w:pPr>
              <w:rPr>
                <w:rFonts w:ascii="Arial" w:hAnsi="Arial" w:cs="Arial"/>
                <w:b/>
                <w:sz w:val="22"/>
                <w:szCs w:val="22"/>
              </w:rPr>
            </w:pPr>
          </w:p>
          <w:p w14:paraId="1E93C13F" w14:textId="77777777" w:rsidR="00EF50B8" w:rsidRPr="000D756E" w:rsidRDefault="00EF50B8" w:rsidP="004E3575">
            <w:pPr>
              <w:jc w:val="right"/>
              <w:rPr>
                <w:rFonts w:ascii="Arial" w:hAnsi="Arial" w:cs="Arial"/>
                <w:b/>
                <w:sz w:val="22"/>
                <w:szCs w:val="22"/>
              </w:rPr>
            </w:pPr>
            <w:r w:rsidRPr="000D756E">
              <w:rPr>
                <w:rFonts w:ascii="Arial" w:hAnsi="Arial" w:cs="Arial"/>
                <w:b/>
                <w:sz w:val="22"/>
                <w:szCs w:val="22"/>
              </w:rPr>
              <w:t>Total</w:t>
            </w:r>
          </w:p>
          <w:p w14:paraId="2569505A" w14:textId="77777777" w:rsidR="00EF50B8" w:rsidRPr="000D756E" w:rsidRDefault="00EF50B8" w:rsidP="004E3575">
            <w:pPr>
              <w:jc w:val="right"/>
              <w:rPr>
                <w:rFonts w:ascii="Arial" w:hAnsi="Arial" w:cs="Arial"/>
                <w:b/>
                <w:sz w:val="22"/>
                <w:szCs w:val="22"/>
              </w:rPr>
            </w:pPr>
            <w:r w:rsidRPr="000D756E">
              <w:rPr>
                <w:rFonts w:ascii="Arial" w:hAnsi="Arial" w:cs="Arial"/>
                <w:b/>
                <w:sz w:val="22"/>
                <w:szCs w:val="22"/>
              </w:rPr>
              <w:t>adjustment between funding and accounting basis</w:t>
            </w:r>
          </w:p>
          <w:p w14:paraId="27204207" w14:textId="77777777" w:rsidR="00EF50B8" w:rsidRPr="000D756E" w:rsidRDefault="00EF50B8" w:rsidP="00C368AA">
            <w:pPr>
              <w:jc w:val="right"/>
              <w:rPr>
                <w:rFonts w:ascii="Arial" w:hAnsi="Arial" w:cs="Arial"/>
                <w:b/>
                <w:sz w:val="22"/>
                <w:szCs w:val="22"/>
              </w:rPr>
            </w:pPr>
            <w:r w:rsidRPr="000D756E">
              <w:rPr>
                <w:rFonts w:ascii="Arial" w:hAnsi="Arial" w:cs="Arial"/>
                <w:b/>
                <w:sz w:val="22"/>
                <w:szCs w:val="22"/>
              </w:rPr>
              <w:t>£’000</w:t>
            </w:r>
          </w:p>
        </w:tc>
      </w:tr>
      <w:tr w:rsidR="006071DF" w:rsidRPr="000D756E" w14:paraId="082FEA37" w14:textId="77777777" w:rsidTr="00EF50B8">
        <w:tc>
          <w:tcPr>
            <w:tcW w:w="2269" w:type="dxa"/>
          </w:tcPr>
          <w:p w14:paraId="4457586C" w14:textId="77777777" w:rsidR="00EF50B8" w:rsidRPr="000D756E" w:rsidRDefault="00EF50B8" w:rsidP="004D3F79">
            <w:pPr>
              <w:rPr>
                <w:rFonts w:ascii="Arial" w:hAnsi="Arial" w:cs="Arial"/>
                <w:sz w:val="22"/>
                <w:szCs w:val="22"/>
              </w:rPr>
            </w:pPr>
            <w:r w:rsidRPr="000D756E">
              <w:rPr>
                <w:rFonts w:ascii="Arial" w:hAnsi="Arial" w:cs="Arial"/>
                <w:sz w:val="22"/>
                <w:szCs w:val="22"/>
              </w:rPr>
              <w:t>Conts to reserves</w:t>
            </w:r>
          </w:p>
        </w:tc>
        <w:tc>
          <w:tcPr>
            <w:tcW w:w="1701" w:type="dxa"/>
          </w:tcPr>
          <w:p w14:paraId="65E80963" w14:textId="74AB4FBD" w:rsidR="00EF50B8" w:rsidRPr="000D756E" w:rsidRDefault="002031D6" w:rsidP="004E3575">
            <w:pPr>
              <w:jc w:val="right"/>
              <w:rPr>
                <w:rFonts w:ascii="Arial" w:hAnsi="Arial" w:cs="Arial"/>
                <w:sz w:val="22"/>
                <w:szCs w:val="22"/>
              </w:rPr>
            </w:pPr>
            <w:r>
              <w:rPr>
                <w:rFonts w:ascii="Arial" w:hAnsi="Arial" w:cs="Arial"/>
                <w:sz w:val="22"/>
                <w:szCs w:val="22"/>
              </w:rPr>
              <w:t>3,283</w:t>
            </w:r>
          </w:p>
        </w:tc>
        <w:tc>
          <w:tcPr>
            <w:tcW w:w="1417" w:type="dxa"/>
          </w:tcPr>
          <w:p w14:paraId="11BD1939" w14:textId="77777777" w:rsidR="00EF50B8" w:rsidRPr="000D756E" w:rsidRDefault="00EF50B8" w:rsidP="004E3575">
            <w:pPr>
              <w:jc w:val="right"/>
              <w:rPr>
                <w:rFonts w:ascii="Arial" w:hAnsi="Arial" w:cs="Arial"/>
                <w:sz w:val="22"/>
                <w:szCs w:val="22"/>
              </w:rPr>
            </w:pPr>
          </w:p>
        </w:tc>
        <w:tc>
          <w:tcPr>
            <w:tcW w:w="1418" w:type="dxa"/>
          </w:tcPr>
          <w:p w14:paraId="1E7D55A8" w14:textId="77777777" w:rsidR="00EF50B8" w:rsidRPr="000D756E" w:rsidRDefault="00EF50B8" w:rsidP="004E3575">
            <w:pPr>
              <w:jc w:val="right"/>
              <w:rPr>
                <w:rFonts w:ascii="Arial" w:hAnsi="Arial" w:cs="Arial"/>
                <w:sz w:val="22"/>
                <w:szCs w:val="22"/>
              </w:rPr>
            </w:pPr>
          </w:p>
        </w:tc>
        <w:tc>
          <w:tcPr>
            <w:tcW w:w="1559" w:type="dxa"/>
          </w:tcPr>
          <w:p w14:paraId="494BDF7A" w14:textId="77777777" w:rsidR="00EF50B8" w:rsidRPr="000D756E" w:rsidRDefault="00EF50B8" w:rsidP="004E3575">
            <w:pPr>
              <w:jc w:val="right"/>
              <w:rPr>
                <w:rFonts w:ascii="Arial" w:hAnsi="Arial" w:cs="Arial"/>
                <w:sz w:val="22"/>
                <w:szCs w:val="22"/>
              </w:rPr>
            </w:pPr>
          </w:p>
        </w:tc>
        <w:tc>
          <w:tcPr>
            <w:tcW w:w="1559" w:type="dxa"/>
          </w:tcPr>
          <w:p w14:paraId="7EC9362A" w14:textId="4B278520" w:rsidR="00EF50B8" w:rsidRPr="000D756E" w:rsidRDefault="00EF50B8" w:rsidP="004E3575">
            <w:pPr>
              <w:jc w:val="right"/>
              <w:rPr>
                <w:rFonts w:ascii="Arial" w:hAnsi="Arial" w:cs="Arial"/>
                <w:b/>
                <w:sz w:val="22"/>
                <w:szCs w:val="22"/>
              </w:rPr>
            </w:pPr>
          </w:p>
        </w:tc>
      </w:tr>
      <w:tr w:rsidR="006071DF" w:rsidRPr="000D756E" w14:paraId="4B2DF990" w14:textId="77777777" w:rsidTr="00EF50B8">
        <w:tc>
          <w:tcPr>
            <w:tcW w:w="2269" w:type="dxa"/>
          </w:tcPr>
          <w:p w14:paraId="3138E452" w14:textId="77777777" w:rsidR="00EF50B8" w:rsidRPr="000D756E" w:rsidRDefault="00EF50B8" w:rsidP="004D3F79">
            <w:pPr>
              <w:rPr>
                <w:rFonts w:ascii="Arial" w:hAnsi="Arial" w:cs="Arial"/>
                <w:sz w:val="22"/>
                <w:szCs w:val="22"/>
              </w:rPr>
            </w:pPr>
            <w:r w:rsidRPr="000D756E">
              <w:rPr>
                <w:rFonts w:ascii="Arial" w:hAnsi="Arial" w:cs="Arial"/>
                <w:sz w:val="22"/>
                <w:szCs w:val="22"/>
              </w:rPr>
              <w:t>External interest</w:t>
            </w:r>
          </w:p>
        </w:tc>
        <w:tc>
          <w:tcPr>
            <w:tcW w:w="1701" w:type="dxa"/>
          </w:tcPr>
          <w:p w14:paraId="6E9BFB4C" w14:textId="7D7D16C4" w:rsidR="00EF50B8" w:rsidRPr="000D756E" w:rsidRDefault="002031D6" w:rsidP="004E3575">
            <w:pPr>
              <w:jc w:val="right"/>
              <w:rPr>
                <w:rFonts w:ascii="Arial" w:hAnsi="Arial" w:cs="Arial"/>
                <w:sz w:val="22"/>
                <w:szCs w:val="22"/>
              </w:rPr>
            </w:pPr>
            <w:r>
              <w:rPr>
                <w:rFonts w:ascii="Arial" w:hAnsi="Arial" w:cs="Arial"/>
                <w:sz w:val="22"/>
                <w:szCs w:val="22"/>
              </w:rPr>
              <w:t>-232</w:t>
            </w:r>
          </w:p>
        </w:tc>
        <w:tc>
          <w:tcPr>
            <w:tcW w:w="1417" w:type="dxa"/>
          </w:tcPr>
          <w:p w14:paraId="710486D2" w14:textId="77777777" w:rsidR="00EF50B8" w:rsidRPr="000D756E" w:rsidRDefault="00EF50B8" w:rsidP="004E3575">
            <w:pPr>
              <w:jc w:val="right"/>
              <w:rPr>
                <w:rFonts w:ascii="Arial" w:hAnsi="Arial" w:cs="Arial"/>
                <w:sz w:val="22"/>
                <w:szCs w:val="22"/>
              </w:rPr>
            </w:pPr>
          </w:p>
        </w:tc>
        <w:tc>
          <w:tcPr>
            <w:tcW w:w="1418" w:type="dxa"/>
          </w:tcPr>
          <w:p w14:paraId="55B51C00" w14:textId="77777777" w:rsidR="00EF50B8" w:rsidRPr="000D756E" w:rsidRDefault="00EF50B8" w:rsidP="004E3575">
            <w:pPr>
              <w:jc w:val="right"/>
              <w:rPr>
                <w:rFonts w:ascii="Arial" w:hAnsi="Arial" w:cs="Arial"/>
                <w:sz w:val="22"/>
                <w:szCs w:val="22"/>
              </w:rPr>
            </w:pPr>
          </w:p>
        </w:tc>
        <w:tc>
          <w:tcPr>
            <w:tcW w:w="1559" w:type="dxa"/>
          </w:tcPr>
          <w:p w14:paraId="200013A1" w14:textId="77777777" w:rsidR="00EF50B8" w:rsidRPr="000D756E" w:rsidRDefault="00EF50B8" w:rsidP="004E3575">
            <w:pPr>
              <w:jc w:val="right"/>
              <w:rPr>
                <w:rFonts w:ascii="Arial" w:hAnsi="Arial" w:cs="Arial"/>
                <w:sz w:val="22"/>
                <w:szCs w:val="22"/>
              </w:rPr>
            </w:pPr>
          </w:p>
        </w:tc>
        <w:tc>
          <w:tcPr>
            <w:tcW w:w="1559" w:type="dxa"/>
          </w:tcPr>
          <w:p w14:paraId="3DFDC2FB" w14:textId="462B0B38" w:rsidR="00EF50B8" w:rsidRPr="000D756E" w:rsidRDefault="00EF50B8" w:rsidP="004E3575">
            <w:pPr>
              <w:jc w:val="right"/>
              <w:rPr>
                <w:rFonts w:ascii="Arial" w:hAnsi="Arial" w:cs="Arial"/>
                <w:b/>
                <w:sz w:val="22"/>
                <w:szCs w:val="22"/>
              </w:rPr>
            </w:pPr>
          </w:p>
        </w:tc>
      </w:tr>
      <w:tr w:rsidR="006071DF" w:rsidRPr="000D756E" w14:paraId="1810CE22" w14:textId="77777777" w:rsidTr="00EF50B8">
        <w:tc>
          <w:tcPr>
            <w:tcW w:w="2269" w:type="dxa"/>
          </w:tcPr>
          <w:p w14:paraId="3DCBF61C" w14:textId="77777777" w:rsidR="00EF50B8" w:rsidRPr="000D756E" w:rsidRDefault="00EF50B8" w:rsidP="004D3F79">
            <w:pPr>
              <w:rPr>
                <w:rFonts w:ascii="Arial" w:hAnsi="Arial" w:cs="Arial"/>
                <w:sz w:val="22"/>
                <w:szCs w:val="22"/>
              </w:rPr>
            </w:pPr>
            <w:r w:rsidRPr="000D756E">
              <w:rPr>
                <w:rFonts w:ascii="Arial" w:hAnsi="Arial" w:cs="Arial"/>
                <w:sz w:val="22"/>
                <w:szCs w:val="22"/>
              </w:rPr>
              <w:t>Invest income</w:t>
            </w:r>
          </w:p>
        </w:tc>
        <w:tc>
          <w:tcPr>
            <w:tcW w:w="1701" w:type="dxa"/>
          </w:tcPr>
          <w:p w14:paraId="54AD601F" w14:textId="1F22BE30" w:rsidR="00EF50B8" w:rsidRPr="000D756E" w:rsidRDefault="002031D6" w:rsidP="004E3575">
            <w:pPr>
              <w:jc w:val="right"/>
              <w:rPr>
                <w:rFonts w:ascii="Arial" w:hAnsi="Arial" w:cs="Arial"/>
                <w:sz w:val="22"/>
                <w:szCs w:val="22"/>
              </w:rPr>
            </w:pPr>
            <w:r>
              <w:rPr>
                <w:rFonts w:ascii="Arial" w:hAnsi="Arial" w:cs="Arial"/>
                <w:sz w:val="22"/>
                <w:szCs w:val="22"/>
              </w:rPr>
              <w:t>47</w:t>
            </w:r>
            <w:r w:rsidR="002D7A49">
              <w:rPr>
                <w:rFonts w:ascii="Arial" w:hAnsi="Arial" w:cs="Arial"/>
                <w:sz w:val="22"/>
                <w:szCs w:val="22"/>
              </w:rPr>
              <w:t>4</w:t>
            </w:r>
          </w:p>
        </w:tc>
        <w:tc>
          <w:tcPr>
            <w:tcW w:w="1417" w:type="dxa"/>
          </w:tcPr>
          <w:p w14:paraId="1A4D57D6" w14:textId="77777777" w:rsidR="00EF50B8" w:rsidRPr="000D756E" w:rsidRDefault="00EF50B8" w:rsidP="004E3575">
            <w:pPr>
              <w:jc w:val="right"/>
              <w:rPr>
                <w:rFonts w:ascii="Arial" w:hAnsi="Arial" w:cs="Arial"/>
                <w:sz w:val="22"/>
                <w:szCs w:val="22"/>
              </w:rPr>
            </w:pPr>
          </w:p>
        </w:tc>
        <w:tc>
          <w:tcPr>
            <w:tcW w:w="1418" w:type="dxa"/>
          </w:tcPr>
          <w:p w14:paraId="242F66AA" w14:textId="77777777" w:rsidR="00EF50B8" w:rsidRPr="000D756E" w:rsidRDefault="00EF50B8" w:rsidP="004E3575">
            <w:pPr>
              <w:jc w:val="right"/>
              <w:rPr>
                <w:rFonts w:ascii="Arial" w:hAnsi="Arial" w:cs="Arial"/>
                <w:sz w:val="22"/>
                <w:szCs w:val="22"/>
              </w:rPr>
            </w:pPr>
          </w:p>
        </w:tc>
        <w:tc>
          <w:tcPr>
            <w:tcW w:w="1559" w:type="dxa"/>
          </w:tcPr>
          <w:p w14:paraId="49824AE5" w14:textId="77777777" w:rsidR="00EF50B8" w:rsidRPr="000D756E" w:rsidRDefault="00EF50B8" w:rsidP="004E3575">
            <w:pPr>
              <w:jc w:val="right"/>
              <w:rPr>
                <w:rFonts w:ascii="Arial" w:hAnsi="Arial" w:cs="Arial"/>
                <w:sz w:val="22"/>
                <w:szCs w:val="22"/>
              </w:rPr>
            </w:pPr>
          </w:p>
        </w:tc>
        <w:tc>
          <w:tcPr>
            <w:tcW w:w="1559" w:type="dxa"/>
          </w:tcPr>
          <w:p w14:paraId="26800371" w14:textId="7C5A4113" w:rsidR="00EF50B8" w:rsidRPr="000D756E" w:rsidRDefault="00EF50B8" w:rsidP="004E3575">
            <w:pPr>
              <w:jc w:val="right"/>
              <w:rPr>
                <w:rFonts w:ascii="Arial" w:hAnsi="Arial" w:cs="Arial"/>
                <w:b/>
                <w:sz w:val="22"/>
                <w:szCs w:val="22"/>
              </w:rPr>
            </w:pPr>
          </w:p>
        </w:tc>
      </w:tr>
      <w:tr w:rsidR="006071DF" w:rsidRPr="000D756E" w14:paraId="00E6D056" w14:textId="77777777" w:rsidTr="00EF50B8">
        <w:tc>
          <w:tcPr>
            <w:tcW w:w="2269" w:type="dxa"/>
          </w:tcPr>
          <w:p w14:paraId="57C0BE26" w14:textId="77777777" w:rsidR="00031418" w:rsidRPr="000D756E" w:rsidRDefault="00031418" w:rsidP="004D3F79">
            <w:pPr>
              <w:rPr>
                <w:rFonts w:ascii="Arial" w:hAnsi="Arial" w:cs="Arial"/>
                <w:sz w:val="22"/>
                <w:szCs w:val="22"/>
              </w:rPr>
            </w:pPr>
            <w:r w:rsidRPr="000D756E">
              <w:rPr>
                <w:rFonts w:ascii="Arial" w:hAnsi="Arial" w:cs="Arial"/>
                <w:sz w:val="22"/>
                <w:szCs w:val="22"/>
              </w:rPr>
              <w:t>Government grant</w:t>
            </w:r>
          </w:p>
        </w:tc>
        <w:tc>
          <w:tcPr>
            <w:tcW w:w="1701" w:type="dxa"/>
          </w:tcPr>
          <w:p w14:paraId="184BA2CE" w14:textId="6244D7B5" w:rsidR="00923D8E" w:rsidRPr="000D756E" w:rsidRDefault="002031D6" w:rsidP="00923D8E">
            <w:pPr>
              <w:jc w:val="right"/>
              <w:rPr>
                <w:rFonts w:ascii="Arial" w:hAnsi="Arial" w:cs="Arial"/>
                <w:sz w:val="22"/>
                <w:szCs w:val="22"/>
              </w:rPr>
            </w:pPr>
            <w:r>
              <w:rPr>
                <w:rFonts w:ascii="Arial" w:hAnsi="Arial" w:cs="Arial"/>
                <w:sz w:val="22"/>
                <w:szCs w:val="22"/>
              </w:rPr>
              <w:t>1,055</w:t>
            </w:r>
          </w:p>
        </w:tc>
        <w:tc>
          <w:tcPr>
            <w:tcW w:w="1417" w:type="dxa"/>
          </w:tcPr>
          <w:p w14:paraId="28B17B00" w14:textId="77777777" w:rsidR="00031418" w:rsidRPr="000D756E" w:rsidRDefault="00031418" w:rsidP="004E3575">
            <w:pPr>
              <w:jc w:val="right"/>
              <w:rPr>
                <w:rFonts w:ascii="Arial" w:hAnsi="Arial" w:cs="Arial"/>
                <w:sz w:val="22"/>
                <w:szCs w:val="22"/>
              </w:rPr>
            </w:pPr>
          </w:p>
        </w:tc>
        <w:tc>
          <w:tcPr>
            <w:tcW w:w="1418" w:type="dxa"/>
          </w:tcPr>
          <w:p w14:paraId="3BC87163" w14:textId="77777777" w:rsidR="00031418" w:rsidRPr="000D756E" w:rsidRDefault="00031418" w:rsidP="004E3575">
            <w:pPr>
              <w:jc w:val="right"/>
              <w:rPr>
                <w:rFonts w:ascii="Arial" w:hAnsi="Arial" w:cs="Arial"/>
                <w:sz w:val="22"/>
                <w:szCs w:val="22"/>
              </w:rPr>
            </w:pPr>
          </w:p>
        </w:tc>
        <w:tc>
          <w:tcPr>
            <w:tcW w:w="1559" w:type="dxa"/>
          </w:tcPr>
          <w:p w14:paraId="13B2BA42" w14:textId="77777777" w:rsidR="00031418" w:rsidRPr="000D756E" w:rsidRDefault="00031418" w:rsidP="004E3575">
            <w:pPr>
              <w:jc w:val="right"/>
              <w:rPr>
                <w:rFonts w:ascii="Arial" w:hAnsi="Arial" w:cs="Arial"/>
                <w:sz w:val="22"/>
                <w:szCs w:val="22"/>
              </w:rPr>
            </w:pPr>
          </w:p>
        </w:tc>
        <w:tc>
          <w:tcPr>
            <w:tcW w:w="1559" w:type="dxa"/>
          </w:tcPr>
          <w:p w14:paraId="4AA040E8" w14:textId="3BC6B21E" w:rsidR="00031418" w:rsidRPr="000D756E" w:rsidRDefault="00031418" w:rsidP="004E3575">
            <w:pPr>
              <w:jc w:val="right"/>
              <w:rPr>
                <w:rFonts w:ascii="Arial" w:hAnsi="Arial" w:cs="Arial"/>
                <w:b/>
                <w:sz w:val="22"/>
                <w:szCs w:val="22"/>
              </w:rPr>
            </w:pPr>
          </w:p>
        </w:tc>
      </w:tr>
      <w:tr w:rsidR="006071DF" w:rsidRPr="000D756E" w14:paraId="2B8086DD" w14:textId="77777777" w:rsidTr="00EF50B8">
        <w:tc>
          <w:tcPr>
            <w:tcW w:w="2269" w:type="dxa"/>
          </w:tcPr>
          <w:p w14:paraId="7B21E36B" w14:textId="545CC1B2" w:rsidR="00795534" w:rsidRPr="000D756E" w:rsidRDefault="00795534" w:rsidP="004D3F79">
            <w:pPr>
              <w:rPr>
                <w:rFonts w:ascii="Arial" w:hAnsi="Arial" w:cs="Arial"/>
                <w:sz w:val="22"/>
                <w:szCs w:val="22"/>
              </w:rPr>
            </w:pPr>
            <w:r w:rsidRPr="000D756E">
              <w:rPr>
                <w:rFonts w:ascii="Arial" w:hAnsi="Arial" w:cs="Arial"/>
                <w:sz w:val="22"/>
                <w:szCs w:val="22"/>
              </w:rPr>
              <w:t>Disposals income</w:t>
            </w:r>
          </w:p>
        </w:tc>
        <w:tc>
          <w:tcPr>
            <w:tcW w:w="1701" w:type="dxa"/>
          </w:tcPr>
          <w:p w14:paraId="5E1E70F0" w14:textId="58F31C19" w:rsidR="00795534" w:rsidRPr="000D756E" w:rsidRDefault="002031D6" w:rsidP="004E3575">
            <w:pPr>
              <w:jc w:val="right"/>
              <w:rPr>
                <w:rFonts w:ascii="Arial" w:hAnsi="Arial" w:cs="Arial"/>
                <w:sz w:val="22"/>
                <w:szCs w:val="22"/>
              </w:rPr>
            </w:pPr>
            <w:r>
              <w:rPr>
                <w:rFonts w:ascii="Arial" w:hAnsi="Arial" w:cs="Arial"/>
                <w:sz w:val="22"/>
                <w:szCs w:val="22"/>
              </w:rPr>
              <w:t>141</w:t>
            </w:r>
          </w:p>
        </w:tc>
        <w:tc>
          <w:tcPr>
            <w:tcW w:w="1417" w:type="dxa"/>
          </w:tcPr>
          <w:p w14:paraId="50DF84C6" w14:textId="77777777" w:rsidR="00795534" w:rsidRPr="000D756E" w:rsidRDefault="00795534" w:rsidP="004E3575">
            <w:pPr>
              <w:jc w:val="right"/>
              <w:rPr>
                <w:rFonts w:ascii="Arial" w:hAnsi="Arial" w:cs="Arial"/>
                <w:sz w:val="22"/>
                <w:szCs w:val="22"/>
              </w:rPr>
            </w:pPr>
          </w:p>
        </w:tc>
        <w:tc>
          <w:tcPr>
            <w:tcW w:w="1418" w:type="dxa"/>
          </w:tcPr>
          <w:p w14:paraId="29F574C0" w14:textId="77777777" w:rsidR="00795534" w:rsidRPr="000D756E" w:rsidRDefault="00795534" w:rsidP="004E3575">
            <w:pPr>
              <w:jc w:val="right"/>
              <w:rPr>
                <w:rFonts w:ascii="Arial" w:hAnsi="Arial" w:cs="Arial"/>
                <w:sz w:val="22"/>
                <w:szCs w:val="22"/>
              </w:rPr>
            </w:pPr>
          </w:p>
        </w:tc>
        <w:tc>
          <w:tcPr>
            <w:tcW w:w="1559" w:type="dxa"/>
          </w:tcPr>
          <w:p w14:paraId="488CB4E7" w14:textId="77777777" w:rsidR="00795534" w:rsidRPr="000D756E" w:rsidRDefault="00795534" w:rsidP="004E3575">
            <w:pPr>
              <w:jc w:val="right"/>
              <w:rPr>
                <w:rFonts w:ascii="Arial" w:hAnsi="Arial" w:cs="Arial"/>
                <w:sz w:val="22"/>
                <w:szCs w:val="22"/>
              </w:rPr>
            </w:pPr>
          </w:p>
        </w:tc>
        <w:tc>
          <w:tcPr>
            <w:tcW w:w="1559" w:type="dxa"/>
          </w:tcPr>
          <w:p w14:paraId="5904E2E0" w14:textId="77777777" w:rsidR="00795534" w:rsidRPr="000D756E" w:rsidRDefault="00795534" w:rsidP="004E3575">
            <w:pPr>
              <w:jc w:val="right"/>
              <w:rPr>
                <w:rFonts w:ascii="Arial" w:hAnsi="Arial" w:cs="Arial"/>
                <w:b/>
                <w:sz w:val="22"/>
                <w:szCs w:val="22"/>
              </w:rPr>
            </w:pPr>
          </w:p>
        </w:tc>
      </w:tr>
      <w:tr w:rsidR="006071DF" w:rsidRPr="000D756E" w14:paraId="0ACC1453" w14:textId="77777777" w:rsidTr="00EF50B8">
        <w:tc>
          <w:tcPr>
            <w:tcW w:w="2269" w:type="dxa"/>
          </w:tcPr>
          <w:p w14:paraId="3B796520" w14:textId="77777777" w:rsidR="00EF50B8" w:rsidRPr="000D756E" w:rsidRDefault="00EF50B8" w:rsidP="004D3F79">
            <w:pPr>
              <w:rPr>
                <w:rFonts w:ascii="Arial" w:hAnsi="Arial" w:cs="Arial"/>
                <w:b/>
                <w:sz w:val="22"/>
                <w:szCs w:val="22"/>
              </w:rPr>
            </w:pPr>
          </w:p>
          <w:p w14:paraId="3B29545E" w14:textId="77777777" w:rsidR="00EF50B8" w:rsidRPr="000D756E" w:rsidRDefault="00EF50B8" w:rsidP="004D3F79">
            <w:pPr>
              <w:rPr>
                <w:rFonts w:ascii="Arial" w:hAnsi="Arial" w:cs="Arial"/>
                <w:b/>
                <w:sz w:val="22"/>
                <w:szCs w:val="22"/>
              </w:rPr>
            </w:pPr>
            <w:r w:rsidRPr="000D756E">
              <w:rPr>
                <w:rFonts w:ascii="Arial" w:hAnsi="Arial" w:cs="Arial"/>
                <w:b/>
                <w:sz w:val="22"/>
                <w:szCs w:val="22"/>
              </w:rPr>
              <w:t>Total</w:t>
            </w:r>
          </w:p>
        </w:tc>
        <w:tc>
          <w:tcPr>
            <w:tcW w:w="1701" w:type="dxa"/>
          </w:tcPr>
          <w:p w14:paraId="0A6A41D5" w14:textId="77777777" w:rsidR="007E758A" w:rsidRDefault="007E758A" w:rsidP="00031418">
            <w:pPr>
              <w:jc w:val="right"/>
              <w:rPr>
                <w:rFonts w:ascii="Arial" w:hAnsi="Arial" w:cs="Arial"/>
                <w:b/>
                <w:sz w:val="22"/>
                <w:szCs w:val="22"/>
              </w:rPr>
            </w:pPr>
          </w:p>
          <w:p w14:paraId="1434B65F" w14:textId="44A2ED12" w:rsidR="002031D6" w:rsidRPr="000D756E" w:rsidRDefault="00ED2A73" w:rsidP="00031418">
            <w:pPr>
              <w:jc w:val="right"/>
              <w:rPr>
                <w:rFonts w:ascii="Arial" w:hAnsi="Arial" w:cs="Arial"/>
                <w:b/>
                <w:sz w:val="22"/>
                <w:szCs w:val="22"/>
              </w:rPr>
            </w:pPr>
            <w:r>
              <w:rPr>
                <w:rFonts w:ascii="Arial" w:hAnsi="Arial" w:cs="Arial"/>
                <w:b/>
                <w:sz w:val="22"/>
                <w:szCs w:val="22"/>
              </w:rPr>
              <w:t>4,72</w:t>
            </w:r>
            <w:r w:rsidR="002D7A49">
              <w:rPr>
                <w:rFonts w:ascii="Arial" w:hAnsi="Arial" w:cs="Arial"/>
                <w:b/>
                <w:sz w:val="22"/>
                <w:szCs w:val="22"/>
              </w:rPr>
              <w:t>1</w:t>
            </w:r>
          </w:p>
        </w:tc>
        <w:tc>
          <w:tcPr>
            <w:tcW w:w="1417" w:type="dxa"/>
          </w:tcPr>
          <w:p w14:paraId="45451E3F" w14:textId="77777777" w:rsidR="00EF50B8" w:rsidRPr="000D756E" w:rsidRDefault="00EF50B8" w:rsidP="004E3575">
            <w:pPr>
              <w:jc w:val="right"/>
              <w:rPr>
                <w:rFonts w:ascii="Arial" w:hAnsi="Arial" w:cs="Arial"/>
                <w:sz w:val="22"/>
                <w:szCs w:val="22"/>
              </w:rPr>
            </w:pPr>
          </w:p>
        </w:tc>
        <w:tc>
          <w:tcPr>
            <w:tcW w:w="1418" w:type="dxa"/>
          </w:tcPr>
          <w:p w14:paraId="07A63886" w14:textId="77777777" w:rsidR="00EF50B8" w:rsidRPr="000D756E" w:rsidRDefault="00EF50B8" w:rsidP="004E3575">
            <w:pPr>
              <w:jc w:val="right"/>
              <w:rPr>
                <w:rFonts w:ascii="Arial" w:hAnsi="Arial" w:cs="Arial"/>
                <w:sz w:val="22"/>
                <w:szCs w:val="22"/>
              </w:rPr>
            </w:pPr>
          </w:p>
        </w:tc>
        <w:tc>
          <w:tcPr>
            <w:tcW w:w="1559" w:type="dxa"/>
          </w:tcPr>
          <w:p w14:paraId="0ED313CC" w14:textId="77777777" w:rsidR="00EF50B8" w:rsidRPr="000D756E" w:rsidRDefault="00EF50B8" w:rsidP="004E3575">
            <w:pPr>
              <w:jc w:val="right"/>
              <w:rPr>
                <w:rFonts w:ascii="Arial" w:hAnsi="Arial" w:cs="Arial"/>
                <w:sz w:val="22"/>
                <w:szCs w:val="22"/>
              </w:rPr>
            </w:pPr>
          </w:p>
        </w:tc>
        <w:tc>
          <w:tcPr>
            <w:tcW w:w="1559" w:type="dxa"/>
          </w:tcPr>
          <w:p w14:paraId="52AB258B" w14:textId="791C0075" w:rsidR="00EB1DF8" w:rsidRPr="000D756E" w:rsidRDefault="00EB1DF8" w:rsidP="004E3575">
            <w:pPr>
              <w:jc w:val="right"/>
              <w:rPr>
                <w:rFonts w:ascii="Arial" w:hAnsi="Arial" w:cs="Arial"/>
                <w:b/>
                <w:sz w:val="22"/>
                <w:szCs w:val="22"/>
              </w:rPr>
            </w:pPr>
          </w:p>
        </w:tc>
      </w:tr>
      <w:tr w:rsidR="006071DF" w:rsidRPr="000D756E" w14:paraId="1159FDC4" w14:textId="77777777" w:rsidTr="00EF50B8">
        <w:tc>
          <w:tcPr>
            <w:tcW w:w="2269" w:type="dxa"/>
          </w:tcPr>
          <w:p w14:paraId="52346AED" w14:textId="77777777" w:rsidR="00EF50B8" w:rsidRPr="000D756E" w:rsidRDefault="00EF50B8" w:rsidP="004D3F79">
            <w:pPr>
              <w:rPr>
                <w:rFonts w:ascii="Arial" w:hAnsi="Arial" w:cs="Arial"/>
                <w:sz w:val="22"/>
                <w:szCs w:val="22"/>
              </w:rPr>
            </w:pPr>
            <w:r w:rsidRPr="000D756E">
              <w:rPr>
                <w:rFonts w:ascii="Arial" w:hAnsi="Arial" w:cs="Arial"/>
                <w:sz w:val="22"/>
                <w:szCs w:val="22"/>
              </w:rPr>
              <w:t>External interest</w:t>
            </w:r>
          </w:p>
        </w:tc>
        <w:tc>
          <w:tcPr>
            <w:tcW w:w="1701" w:type="dxa"/>
          </w:tcPr>
          <w:p w14:paraId="3FF6D778" w14:textId="395C235B" w:rsidR="00EF50B8" w:rsidRPr="000D756E" w:rsidRDefault="006D3FEA" w:rsidP="004E3575">
            <w:pPr>
              <w:jc w:val="right"/>
              <w:rPr>
                <w:rFonts w:ascii="Arial" w:hAnsi="Arial" w:cs="Arial"/>
                <w:sz w:val="22"/>
                <w:szCs w:val="22"/>
              </w:rPr>
            </w:pPr>
            <w:r>
              <w:rPr>
                <w:rFonts w:ascii="Arial" w:hAnsi="Arial" w:cs="Arial"/>
                <w:sz w:val="22"/>
                <w:szCs w:val="22"/>
              </w:rPr>
              <w:t>232</w:t>
            </w:r>
          </w:p>
        </w:tc>
        <w:tc>
          <w:tcPr>
            <w:tcW w:w="1417" w:type="dxa"/>
          </w:tcPr>
          <w:p w14:paraId="7BB4FA78" w14:textId="77777777" w:rsidR="00EF50B8" w:rsidRPr="000D756E" w:rsidRDefault="00EF50B8" w:rsidP="004E3575">
            <w:pPr>
              <w:jc w:val="right"/>
              <w:rPr>
                <w:rFonts w:ascii="Arial" w:hAnsi="Arial" w:cs="Arial"/>
                <w:sz w:val="22"/>
                <w:szCs w:val="22"/>
              </w:rPr>
            </w:pPr>
          </w:p>
        </w:tc>
        <w:tc>
          <w:tcPr>
            <w:tcW w:w="1418" w:type="dxa"/>
          </w:tcPr>
          <w:p w14:paraId="68F9D2AA" w14:textId="77777777" w:rsidR="00EF50B8" w:rsidRPr="000D756E" w:rsidRDefault="00EF50B8" w:rsidP="004E3575">
            <w:pPr>
              <w:jc w:val="right"/>
              <w:rPr>
                <w:rFonts w:ascii="Arial" w:hAnsi="Arial" w:cs="Arial"/>
                <w:sz w:val="22"/>
                <w:szCs w:val="22"/>
              </w:rPr>
            </w:pPr>
          </w:p>
        </w:tc>
        <w:tc>
          <w:tcPr>
            <w:tcW w:w="1559" w:type="dxa"/>
          </w:tcPr>
          <w:p w14:paraId="5313B460" w14:textId="77777777" w:rsidR="00EF50B8" w:rsidRPr="000D756E" w:rsidRDefault="00EF50B8" w:rsidP="004E3575">
            <w:pPr>
              <w:jc w:val="right"/>
              <w:rPr>
                <w:rFonts w:ascii="Arial" w:hAnsi="Arial" w:cs="Arial"/>
                <w:sz w:val="22"/>
                <w:szCs w:val="22"/>
              </w:rPr>
            </w:pPr>
          </w:p>
        </w:tc>
        <w:tc>
          <w:tcPr>
            <w:tcW w:w="1559" w:type="dxa"/>
          </w:tcPr>
          <w:p w14:paraId="35FBA0F1" w14:textId="1F18695D" w:rsidR="00EF50B8" w:rsidRPr="000D756E" w:rsidRDefault="00EF50B8" w:rsidP="004E3575">
            <w:pPr>
              <w:jc w:val="right"/>
              <w:rPr>
                <w:rFonts w:ascii="Arial" w:hAnsi="Arial" w:cs="Arial"/>
                <w:b/>
                <w:sz w:val="22"/>
                <w:szCs w:val="22"/>
              </w:rPr>
            </w:pPr>
          </w:p>
        </w:tc>
      </w:tr>
      <w:tr w:rsidR="006071DF" w:rsidRPr="000D756E" w14:paraId="029AF0E9" w14:textId="77777777" w:rsidTr="00EF50B8">
        <w:tc>
          <w:tcPr>
            <w:tcW w:w="2269" w:type="dxa"/>
          </w:tcPr>
          <w:p w14:paraId="4469153B" w14:textId="77777777" w:rsidR="00EF50B8" w:rsidRPr="000D756E" w:rsidRDefault="00EF50B8" w:rsidP="004D3F79">
            <w:pPr>
              <w:rPr>
                <w:rFonts w:ascii="Arial" w:hAnsi="Arial" w:cs="Arial"/>
                <w:sz w:val="22"/>
                <w:szCs w:val="22"/>
              </w:rPr>
            </w:pPr>
            <w:r w:rsidRPr="000D756E">
              <w:rPr>
                <w:rFonts w:ascii="Arial" w:hAnsi="Arial" w:cs="Arial"/>
                <w:sz w:val="22"/>
                <w:szCs w:val="22"/>
              </w:rPr>
              <w:t>Investment income</w:t>
            </w:r>
          </w:p>
        </w:tc>
        <w:tc>
          <w:tcPr>
            <w:tcW w:w="1701" w:type="dxa"/>
          </w:tcPr>
          <w:p w14:paraId="0E6047C9" w14:textId="3D43595C" w:rsidR="00EF50B8" w:rsidRPr="000D756E" w:rsidRDefault="006D3FEA" w:rsidP="004E3575">
            <w:pPr>
              <w:jc w:val="right"/>
              <w:rPr>
                <w:rFonts w:ascii="Arial" w:hAnsi="Arial" w:cs="Arial"/>
                <w:sz w:val="22"/>
                <w:szCs w:val="22"/>
              </w:rPr>
            </w:pPr>
            <w:r>
              <w:rPr>
                <w:rFonts w:ascii="Arial" w:hAnsi="Arial" w:cs="Arial"/>
                <w:sz w:val="22"/>
                <w:szCs w:val="22"/>
              </w:rPr>
              <w:t>-47</w:t>
            </w:r>
            <w:r w:rsidR="002D7A49">
              <w:rPr>
                <w:rFonts w:ascii="Arial" w:hAnsi="Arial" w:cs="Arial"/>
                <w:sz w:val="22"/>
                <w:szCs w:val="22"/>
              </w:rPr>
              <w:t>4</w:t>
            </w:r>
          </w:p>
        </w:tc>
        <w:tc>
          <w:tcPr>
            <w:tcW w:w="1417" w:type="dxa"/>
          </w:tcPr>
          <w:p w14:paraId="1EAEAB36" w14:textId="77777777" w:rsidR="00EF50B8" w:rsidRPr="000D756E" w:rsidRDefault="00EF50B8" w:rsidP="004E3575">
            <w:pPr>
              <w:jc w:val="right"/>
              <w:rPr>
                <w:rFonts w:ascii="Arial" w:hAnsi="Arial" w:cs="Arial"/>
                <w:sz w:val="22"/>
                <w:szCs w:val="22"/>
              </w:rPr>
            </w:pPr>
          </w:p>
        </w:tc>
        <w:tc>
          <w:tcPr>
            <w:tcW w:w="1418" w:type="dxa"/>
          </w:tcPr>
          <w:p w14:paraId="2DEAEB25" w14:textId="77777777" w:rsidR="00EF50B8" w:rsidRPr="000D756E" w:rsidRDefault="00EF50B8" w:rsidP="004E3575">
            <w:pPr>
              <w:jc w:val="right"/>
              <w:rPr>
                <w:rFonts w:ascii="Arial" w:hAnsi="Arial" w:cs="Arial"/>
                <w:sz w:val="22"/>
                <w:szCs w:val="22"/>
              </w:rPr>
            </w:pPr>
          </w:p>
        </w:tc>
        <w:tc>
          <w:tcPr>
            <w:tcW w:w="1559" w:type="dxa"/>
          </w:tcPr>
          <w:p w14:paraId="284BAA95" w14:textId="77777777" w:rsidR="00EF50B8" w:rsidRPr="000D756E" w:rsidRDefault="00EF50B8" w:rsidP="004E3575">
            <w:pPr>
              <w:jc w:val="right"/>
              <w:rPr>
                <w:rFonts w:ascii="Arial" w:hAnsi="Arial" w:cs="Arial"/>
                <w:sz w:val="22"/>
                <w:szCs w:val="22"/>
              </w:rPr>
            </w:pPr>
          </w:p>
        </w:tc>
        <w:tc>
          <w:tcPr>
            <w:tcW w:w="1559" w:type="dxa"/>
          </w:tcPr>
          <w:p w14:paraId="79DBDC2F" w14:textId="068EE350" w:rsidR="00EF50B8" w:rsidRPr="000D756E" w:rsidRDefault="00EF50B8" w:rsidP="004E3575">
            <w:pPr>
              <w:jc w:val="right"/>
              <w:rPr>
                <w:rFonts w:ascii="Arial" w:hAnsi="Arial" w:cs="Arial"/>
                <w:b/>
                <w:sz w:val="22"/>
                <w:szCs w:val="22"/>
              </w:rPr>
            </w:pPr>
          </w:p>
        </w:tc>
      </w:tr>
      <w:tr w:rsidR="006071DF" w:rsidRPr="000D756E" w14:paraId="0256603C" w14:textId="77777777" w:rsidTr="00EF50B8">
        <w:tc>
          <w:tcPr>
            <w:tcW w:w="2269" w:type="dxa"/>
          </w:tcPr>
          <w:p w14:paraId="2ADDA3D8" w14:textId="77777777" w:rsidR="00EF50B8" w:rsidRPr="000D756E" w:rsidRDefault="00EF50B8" w:rsidP="004D3F79">
            <w:pPr>
              <w:rPr>
                <w:rFonts w:ascii="Arial" w:hAnsi="Arial" w:cs="Arial"/>
                <w:sz w:val="22"/>
                <w:szCs w:val="22"/>
              </w:rPr>
            </w:pPr>
            <w:r w:rsidRPr="000D756E">
              <w:rPr>
                <w:rFonts w:ascii="Arial" w:hAnsi="Arial" w:cs="Arial"/>
                <w:sz w:val="22"/>
                <w:szCs w:val="22"/>
              </w:rPr>
              <w:t>Precept and grants</w:t>
            </w:r>
          </w:p>
        </w:tc>
        <w:tc>
          <w:tcPr>
            <w:tcW w:w="1701" w:type="dxa"/>
          </w:tcPr>
          <w:p w14:paraId="13E3559C" w14:textId="274DA48A" w:rsidR="00EF50B8" w:rsidRPr="000D756E" w:rsidRDefault="005232FB" w:rsidP="00031418">
            <w:pPr>
              <w:jc w:val="right"/>
              <w:rPr>
                <w:rFonts w:ascii="Arial" w:hAnsi="Arial" w:cs="Arial"/>
                <w:sz w:val="22"/>
                <w:szCs w:val="22"/>
              </w:rPr>
            </w:pPr>
            <w:r>
              <w:rPr>
                <w:rFonts w:ascii="Arial" w:hAnsi="Arial" w:cs="Arial"/>
                <w:sz w:val="22"/>
                <w:szCs w:val="22"/>
              </w:rPr>
              <w:t>-30,384</w:t>
            </w:r>
          </w:p>
        </w:tc>
        <w:tc>
          <w:tcPr>
            <w:tcW w:w="1417" w:type="dxa"/>
          </w:tcPr>
          <w:p w14:paraId="135807BC" w14:textId="77777777" w:rsidR="00EF50B8" w:rsidRPr="000D756E" w:rsidRDefault="00EF50B8" w:rsidP="004E3575">
            <w:pPr>
              <w:jc w:val="right"/>
              <w:rPr>
                <w:rFonts w:ascii="Arial" w:hAnsi="Arial" w:cs="Arial"/>
                <w:sz w:val="22"/>
                <w:szCs w:val="22"/>
              </w:rPr>
            </w:pPr>
          </w:p>
        </w:tc>
        <w:tc>
          <w:tcPr>
            <w:tcW w:w="1418" w:type="dxa"/>
          </w:tcPr>
          <w:p w14:paraId="332D6468" w14:textId="77777777" w:rsidR="00EF50B8" w:rsidRPr="000D756E" w:rsidRDefault="00EF50B8" w:rsidP="004E3575">
            <w:pPr>
              <w:jc w:val="right"/>
              <w:rPr>
                <w:rFonts w:ascii="Arial" w:hAnsi="Arial" w:cs="Arial"/>
                <w:sz w:val="22"/>
                <w:szCs w:val="22"/>
              </w:rPr>
            </w:pPr>
          </w:p>
        </w:tc>
        <w:tc>
          <w:tcPr>
            <w:tcW w:w="1559" w:type="dxa"/>
          </w:tcPr>
          <w:p w14:paraId="6F71AA97" w14:textId="05AF6728" w:rsidR="00B53B93" w:rsidRPr="000D756E" w:rsidRDefault="00B53B93" w:rsidP="00B53B93">
            <w:pPr>
              <w:jc w:val="right"/>
              <w:rPr>
                <w:rFonts w:ascii="Arial" w:hAnsi="Arial" w:cs="Arial"/>
                <w:sz w:val="22"/>
                <w:szCs w:val="22"/>
              </w:rPr>
            </w:pPr>
          </w:p>
        </w:tc>
        <w:tc>
          <w:tcPr>
            <w:tcW w:w="1559" w:type="dxa"/>
          </w:tcPr>
          <w:p w14:paraId="76AA67A0" w14:textId="32B33554" w:rsidR="00EF50B8" w:rsidRPr="000D756E" w:rsidRDefault="00EF50B8" w:rsidP="004E3575">
            <w:pPr>
              <w:jc w:val="right"/>
              <w:rPr>
                <w:rFonts w:ascii="Arial" w:hAnsi="Arial" w:cs="Arial"/>
                <w:b/>
                <w:sz w:val="22"/>
                <w:szCs w:val="22"/>
              </w:rPr>
            </w:pPr>
          </w:p>
        </w:tc>
      </w:tr>
      <w:tr w:rsidR="006071DF" w:rsidRPr="000D756E" w14:paraId="501880F6" w14:textId="77777777" w:rsidTr="00EF50B8">
        <w:tc>
          <w:tcPr>
            <w:tcW w:w="2269" w:type="dxa"/>
          </w:tcPr>
          <w:p w14:paraId="46B6A20E" w14:textId="77777777" w:rsidR="00EF50B8" w:rsidRPr="000D756E" w:rsidRDefault="00EF50B8" w:rsidP="004D3F79">
            <w:pPr>
              <w:rPr>
                <w:rFonts w:ascii="Arial" w:hAnsi="Arial" w:cs="Arial"/>
                <w:sz w:val="22"/>
                <w:szCs w:val="22"/>
              </w:rPr>
            </w:pPr>
          </w:p>
        </w:tc>
        <w:tc>
          <w:tcPr>
            <w:tcW w:w="1701" w:type="dxa"/>
          </w:tcPr>
          <w:p w14:paraId="6773DF22" w14:textId="77777777" w:rsidR="00EF50B8" w:rsidRPr="000D756E" w:rsidRDefault="00EF50B8" w:rsidP="004E3575">
            <w:pPr>
              <w:jc w:val="right"/>
              <w:rPr>
                <w:rFonts w:ascii="Arial" w:hAnsi="Arial" w:cs="Arial"/>
                <w:sz w:val="22"/>
                <w:szCs w:val="22"/>
              </w:rPr>
            </w:pPr>
          </w:p>
        </w:tc>
        <w:tc>
          <w:tcPr>
            <w:tcW w:w="1417" w:type="dxa"/>
          </w:tcPr>
          <w:p w14:paraId="63440958" w14:textId="77777777" w:rsidR="00EF50B8" w:rsidRPr="000D756E" w:rsidRDefault="00EF50B8" w:rsidP="004E3575">
            <w:pPr>
              <w:jc w:val="right"/>
              <w:rPr>
                <w:rFonts w:ascii="Arial" w:hAnsi="Arial" w:cs="Arial"/>
                <w:sz w:val="22"/>
                <w:szCs w:val="22"/>
              </w:rPr>
            </w:pPr>
          </w:p>
        </w:tc>
        <w:tc>
          <w:tcPr>
            <w:tcW w:w="1418" w:type="dxa"/>
          </w:tcPr>
          <w:p w14:paraId="442767AF" w14:textId="77777777" w:rsidR="00EF50B8" w:rsidRPr="000D756E" w:rsidRDefault="00EF50B8" w:rsidP="004E3575">
            <w:pPr>
              <w:jc w:val="right"/>
              <w:rPr>
                <w:rFonts w:ascii="Arial" w:hAnsi="Arial" w:cs="Arial"/>
                <w:sz w:val="22"/>
                <w:szCs w:val="22"/>
              </w:rPr>
            </w:pPr>
          </w:p>
        </w:tc>
        <w:tc>
          <w:tcPr>
            <w:tcW w:w="1559" w:type="dxa"/>
          </w:tcPr>
          <w:p w14:paraId="36C181F0" w14:textId="77777777" w:rsidR="00EF50B8" w:rsidRPr="000D756E" w:rsidRDefault="00EF50B8" w:rsidP="004E3575">
            <w:pPr>
              <w:jc w:val="right"/>
              <w:rPr>
                <w:rFonts w:ascii="Arial" w:hAnsi="Arial" w:cs="Arial"/>
                <w:sz w:val="22"/>
                <w:szCs w:val="22"/>
              </w:rPr>
            </w:pPr>
          </w:p>
        </w:tc>
        <w:tc>
          <w:tcPr>
            <w:tcW w:w="1559" w:type="dxa"/>
          </w:tcPr>
          <w:p w14:paraId="38A2941A" w14:textId="77777777" w:rsidR="00EF50B8" w:rsidRPr="000D756E" w:rsidRDefault="00EF50B8" w:rsidP="004E3575">
            <w:pPr>
              <w:jc w:val="right"/>
              <w:rPr>
                <w:rFonts w:ascii="Arial" w:hAnsi="Arial" w:cs="Arial"/>
                <w:b/>
                <w:sz w:val="22"/>
                <w:szCs w:val="22"/>
              </w:rPr>
            </w:pPr>
          </w:p>
        </w:tc>
      </w:tr>
      <w:tr w:rsidR="006071DF" w:rsidRPr="000D756E" w14:paraId="3B1368A6" w14:textId="77777777" w:rsidTr="00EF50B8">
        <w:tc>
          <w:tcPr>
            <w:tcW w:w="2269" w:type="dxa"/>
          </w:tcPr>
          <w:p w14:paraId="57183D33" w14:textId="77777777" w:rsidR="00EF50B8" w:rsidRPr="000D756E" w:rsidRDefault="00EF50B8" w:rsidP="004D3F79">
            <w:pPr>
              <w:rPr>
                <w:rFonts w:ascii="Arial" w:hAnsi="Arial" w:cs="Arial"/>
                <w:sz w:val="22"/>
                <w:szCs w:val="22"/>
              </w:rPr>
            </w:pPr>
            <w:r w:rsidRPr="000D756E">
              <w:rPr>
                <w:rFonts w:ascii="Arial" w:hAnsi="Arial" w:cs="Arial"/>
                <w:sz w:val="22"/>
                <w:szCs w:val="22"/>
              </w:rPr>
              <w:t>MRP</w:t>
            </w:r>
          </w:p>
        </w:tc>
        <w:tc>
          <w:tcPr>
            <w:tcW w:w="1701" w:type="dxa"/>
          </w:tcPr>
          <w:p w14:paraId="57F0B394" w14:textId="77777777" w:rsidR="00EF50B8" w:rsidRPr="000D756E" w:rsidRDefault="00EF50B8" w:rsidP="004E3575">
            <w:pPr>
              <w:jc w:val="right"/>
              <w:rPr>
                <w:rFonts w:ascii="Arial" w:hAnsi="Arial" w:cs="Arial"/>
                <w:b/>
                <w:sz w:val="22"/>
                <w:szCs w:val="22"/>
              </w:rPr>
            </w:pPr>
          </w:p>
        </w:tc>
        <w:tc>
          <w:tcPr>
            <w:tcW w:w="1417" w:type="dxa"/>
          </w:tcPr>
          <w:p w14:paraId="48261DBD" w14:textId="0ABE56B6" w:rsidR="00EF50B8" w:rsidRPr="000D756E" w:rsidRDefault="005232FB" w:rsidP="004E3575">
            <w:pPr>
              <w:jc w:val="right"/>
              <w:rPr>
                <w:rFonts w:ascii="Arial" w:hAnsi="Arial" w:cs="Arial"/>
                <w:sz w:val="22"/>
                <w:szCs w:val="22"/>
              </w:rPr>
            </w:pPr>
            <w:r>
              <w:rPr>
                <w:rFonts w:ascii="Arial" w:hAnsi="Arial" w:cs="Arial"/>
                <w:sz w:val="22"/>
                <w:szCs w:val="22"/>
              </w:rPr>
              <w:t>-387</w:t>
            </w:r>
          </w:p>
        </w:tc>
        <w:tc>
          <w:tcPr>
            <w:tcW w:w="1418" w:type="dxa"/>
          </w:tcPr>
          <w:p w14:paraId="794FC7DA" w14:textId="77777777" w:rsidR="00EF50B8" w:rsidRPr="000D756E" w:rsidRDefault="00EF50B8" w:rsidP="004E3575">
            <w:pPr>
              <w:jc w:val="right"/>
              <w:rPr>
                <w:rFonts w:ascii="Arial" w:hAnsi="Arial" w:cs="Arial"/>
                <w:sz w:val="22"/>
                <w:szCs w:val="22"/>
              </w:rPr>
            </w:pPr>
          </w:p>
        </w:tc>
        <w:tc>
          <w:tcPr>
            <w:tcW w:w="1559" w:type="dxa"/>
          </w:tcPr>
          <w:p w14:paraId="04B3017E" w14:textId="77777777" w:rsidR="00EF50B8" w:rsidRPr="000D756E" w:rsidRDefault="00EF50B8" w:rsidP="004E3575">
            <w:pPr>
              <w:jc w:val="right"/>
              <w:rPr>
                <w:rFonts w:ascii="Arial" w:hAnsi="Arial" w:cs="Arial"/>
                <w:sz w:val="22"/>
                <w:szCs w:val="22"/>
              </w:rPr>
            </w:pPr>
          </w:p>
        </w:tc>
        <w:tc>
          <w:tcPr>
            <w:tcW w:w="1559" w:type="dxa"/>
          </w:tcPr>
          <w:p w14:paraId="624CE5A9" w14:textId="3A3B4728" w:rsidR="00EF50B8" w:rsidRPr="000D756E" w:rsidRDefault="0046640C" w:rsidP="004E3575">
            <w:pPr>
              <w:jc w:val="right"/>
              <w:rPr>
                <w:rFonts w:ascii="Arial" w:hAnsi="Arial" w:cs="Arial"/>
                <w:b/>
                <w:sz w:val="22"/>
                <w:szCs w:val="22"/>
              </w:rPr>
            </w:pPr>
            <w:r>
              <w:rPr>
                <w:rFonts w:ascii="Arial" w:hAnsi="Arial" w:cs="Arial"/>
                <w:b/>
                <w:sz w:val="22"/>
                <w:szCs w:val="22"/>
              </w:rPr>
              <w:t>-387</w:t>
            </w:r>
          </w:p>
        </w:tc>
      </w:tr>
      <w:tr w:rsidR="006071DF" w:rsidRPr="000D756E" w14:paraId="281E50A4" w14:textId="77777777" w:rsidTr="00EF50B8">
        <w:tc>
          <w:tcPr>
            <w:tcW w:w="2269" w:type="dxa"/>
          </w:tcPr>
          <w:p w14:paraId="72A2837D" w14:textId="77777777" w:rsidR="00EF50B8" w:rsidRPr="000D756E" w:rsidRDefault="00EF50B8" w:rsidP="004D3F79">
            <w:pPr>
              <w:rPr>
                <w:rFonts w:ascii="Arial" w:hAnsi="Arial" w:cs="Arial"/>
                <w:sz w:val="22"/>
                <w:szCs w:val="22"/>
              </w:rPr>
            </w:pPr>
            <w:r w:rsidRPr="000D756E">
              <w:rPr>
                <w:rFonts w:ascii="Arial" w:hAnsi="Arial" w:cs="Arial"/>
                <w:sz w:val="22"/>
                <w:szCs w:val="22"/>
              </w:rPr>
              <w:t>Depreciation</w:t>
            </w:r>
          </w:p>
        </w:tc>
        <w:tc>
          <w:tcPr>
            <w:tcW w:w="1701" w:type="dxa"/>
          </w:tcPr>
          <w:p w14:paraId="5F9B54C9" w14:textId="77777777" w:rsidR="00EF50B8" w:rsidRPr="000D756E" w:rsidRDefault="00EF50B8" w:rsidP="004E3575">
            <w:pPr>
              <w:jc w:val="right"/>
              <w:rPr>
                <w:rFonts w:ascii="Arial" w:hAnsi="Arial" w:cs="Arial"/>
                <w:b/>
                <w:sz w:val="22"/>
                <w:szCs w:val="22"/>
              </w:rPr>
            </w:pPr>
          </w:p>
        </w:tc>
        <w:tc>
          <w:tcPr>
            <w:tcW w:w="1417" w:type="dxa"/>
          </w:tcPr>
          <w:p w14:paraId="65107EF4" w14:textId="6AC506A8" w:rsidR="00EF50B8" w:rsidRPr="000D756E" w:rsidRDefault="005232FB" w:rsidP="004E3575">
            <w:pPr>
              <w:jc w:val="right"/>
              <w:rPr>
                <w:rFonts w:ascii="Arial" w:hAnsi="Arial" w:cs="Arial"/>
                <w:sz w:val="22"/>
                <w:szCs w:val="22"/>
              </w:rPr>
            </w:pPr>
            <w:r>
              <w:rPr>
                <w:rFonts w:ascii="Arial" w:hAnsi="Arial" w:cs="Arial"/>
                <w:sz w:val="22"/>
                <w:szCs w:val="22"/>
              </w:rPr>
              <w:t>2,903</w:t>
            </w:r>
          </w:p>
        </w:tc>
        <w:tc>
          <w:tcPr>
            <w:tcW w:w="1418" w:type="dxa"/>
          </w:tcPr>
          <w:p w14:paraId="44E351F9" w14:textId="77777777" w:rsidR="00EF50B8" w:rsidRPr="000D756E" w:rsidRDefault="00EF50B8" w:rsidP="004E3575">
            <w:pPr>
              <w:jc w:val="right"/>
              <w:rPr>
                <w:rFonts w:ascii="Arial" w:hAnsi="Arial" w:cs="Arial"/>
                <w:sz w:val="22"/>
                <w:szCs w:val="22"/>
              </w:rPr>
            </w:pPr>
          </w:p>
        </w:tc>
        <w:tc>
          <w:tcPr>
            <w:tcW w:w="1559" w:type="dxa"/>
          </w:tcPr>
          <w:p w14:paraId="5FCC968C" w14:textId="77777777" w:rsidR="00EF50B8" w:rsidRPr="000D756E" w:rsidRDefault="00EF50B8" w:rsidP="004E3575">
            <w:pPr>
              <w:jc w:val="right"/>
              <w:rPr>
                <w:rFonts w:ascii="Arial" w:hAnsi="Arial" w:cs="Arial"/>
                <w:sz w:val="22"/>
                <w:szCs w:val="22"/>
              </w:rPr>
            </w:pPr>
          </w:p>
        </w:tc>
        <w:tc>
          <w:tcPr>
            <w:tcW w:w="1559" w:type="dxa"/>
          </w:tcPr>
          <w:p w14:paraId="46B85193" w14:textId="055289CC" w:rsidR="00EF50B8" w:rsidRPr="000D756E" w:rsidRDefault="0046640C" w:rsidP="004E3575">
            <w:pPr>
              <w:jc w:val="right"/>
              <w:rPr>
                <w:rFonts w:ascii="Arial" w:hAnsi="Arial" w:cs="Arial"/>
                <w:b/>
                <w:sz w:val="22"/>
                <w:szCs w:val="22"/>
              </w:rPr>
            </w:pPr>
            <w:r>
              <w:rPr>
                <w:rFonts w:ascii="Arial" w:hAnsi="Arial" w:cs="Arial"/>
                <w:b/>
                <w:sz w:val="22"/>
                <w:szCs w:val="22"/>
              </w:rPr>
              <w:t>2,903</w:t>
            </w:r>
          </w:p>
        </w:tc>
      </w:tr>
      <w:tr w:rsidR="006071DF" w:rsidRPr="000D756E" w14:paraId="6D875807" w14:textId="77777777" w:rsidTr="00EF50B8">
        <w:tc>
          <w:tcPr>
            <w:tcW w:w="2269" w:type="dxa"/>
          </w:tcPr>
          <w:p w14:paraId="2E086E0F" w14:textId="77777777" w:rsidR="00EF50B8" w:rsidRPr="000D756E" w:rsidRDefault="00EF50B8" w:rsidP="004D3F79">
            <w:pPr>
              <w:rPr>
                <w:rFonts w:ascii="Arial" w:hAnsi="Arial" w:cs="Arial"/>
                <w:sz w:val="22"/>
                <w:szCs w:val="22"/>
              </w:rPr>
            </w:pPr>
            <w:r w:rsidRPr="000D756E">
              <w:rPr>
                <w:rFonts w:ascii="Arial" w:hAnsi="Arial" w:cs="Arial"/>
                <w:sz w:val="22"/>
                <w:szCs w:val="22"/>
              </w:rPr>
              <w:t>Impairment</w:t>
            </w:r>
          </w:p>
        </w:tc>
        <w:tc>
          <w:tcPr>
            <w:tcW w:w="1701" w:type="dxa"/>
          </w:tcPr>
          <w:p w14:paraId="1472FE0F" w14:textId="77777777" w:rsidR="00EF50B8" w:rsidRPr="000D756E" w:rsidRDefault="00EF50B8" w:rsidP="004E3575">
            <w:pPr>
              <w:jc w:val="right"/>
              <w:rPr>
                <w:rFonts w:ascii="Arial" w:hAnsi="Arial" w:cs="Arial"/>
                <w:b/>
                <w:sz w:val="22"/>
                <w:szCs w:val="22"/>
              </w:rPr>
            </w:pPr>
          </w:p>
        </w:tc>
        <w:tc>
          <w:tcPr>
            <w:tcW w:w="1417" w:type="dxa"/>
          </w:tcPr>
          <w:p w14:paraId="1A89394D" w14:textId="239D49B4" w:rsidR="00EF50B8" w:rsidRPr="000D756E" w:rsidRDefault="005232FB" w:rsidP="004E3575">
            <w:pPr>
              <w:jc w:val="right"/>
              <w:rPr>
                <w:rFonts w:ascii="Arial" w:hAnsi="Arial" w:cs="Arial"/>
                <w:sz w:val="22"/>
                <w:szCs w:val="22"/>
              </w:rPr>
            </w:pPr>
            <w:r>
              <w:rPr>
                <w:rFonts w:ascii="Arial" w:hAnsi="Arial" w:cs="Arial"/>
                <w:sz w:val="22"/>
                <w:szCs w:val="22"/>
              </w:rPr>
              <w:t>0</w:t>
            </w:r>
          </w:p>
        </w:tc>
        <w:tc>
          <w:tcPr>
            <w:tcW w:w="1418" w:type="dxa"/>
          </w:tcPr>
          <w:p w14:paraId="1D680D20" w14:textId="77777777" w:rsidR="00EF50B8" w:rsidRPr="000D756E" w:rsidRDefault="00EF50B8" w:rsidP="004E3575">
            <w:pPr>
              <w:jc w:val="right"/>
              <w:rPr>
                <w:rFonts w:ascii="Arial" w:hAnsi="Arial" w:cs="Arial"/>
                <w:sz w:val="22"/>
                <w:szCs w:val="22"/>
              </w:rPr>
            </w:pPr>
          </w:p>
        </w:tc>
        <w:tc>
          <w:tcPr>
            <w:tcW w:w="1559" w:type="dxa"/>
          </w:tcPr>
          <w:p w14:paraId="3BCC4969" w14:textId="77777777" w:rsidR="00EF50B8" w:rsidRPr="000D756E" w:rsidRDefault="00EF50B8" w:rsidP="004E3575">
            <w:pPr>
              <w:jc w:val="right"/>
              <w:rPr>
                <w:rFonts w:ascii="Arial" w:hAnsi="Arial" w:cs="Arial"/>
                <w:sz w:val="22"/>
                <w:szCs w:val="22"/>
              </w:rPr>
            </w:pPr>
          </w:p>
        </w:tc>
        <w:tc>
          <w:tcPr>
            <w:tcW w:w="1559" w:type="dxa"/>
          </w:tcPr>
          <w:p w14:paraId="2729113F" w14:textId="4A7D0FE8" w:rsidR="00EF50B8" w:rsidRPr="000D756E" w:rsidRDefault="0046640C" w:rsidP="004E3575">
            <w:pPr>
              <w:jc w:val="right"/>
              <w:rPr>
                <w:rFonts w:ascii="Arial" w:hAnsi="Arial" w:cs="Arial"/>
                <w:b/>
                <w:sz w:val="22"/>
                <w:szCs w:val="22"/>
              </w:rPr>
            </w:pPr>
            <w:r>
              <w:rPr>
                <w:rFonts w:ascii="Arial" w:hAnsi="Arial" w:cs="Arial"/>
                <w:b/>
                <w:sz w:val="22"/>
                <w:szCs w:val="22"/>
              </w:rPr>
              <w:t>0</w:t>
            </w:r>
          </w:p>
        </w:tc>
      </w:tr>
      <w:tr w:rsidR="006071DF" w:rsidRPr="000D756E" w14:paraId="78CDCA79" w14:textId="77777777" w:rsidTr="00EF50B8">
        <w:tc>
          <w:tcPr>
            <w:tcW w:w="2269" w:type="dxa"/>
          </w:tcPr>
          <w:p w14:paraId="7C4902F2" w14:textId="3F451AF0" w:rsidR="00745DFE" w:rsidRPr="000D756E" w:rsidRDefault="00C81C35" w:rsidP="004D3F79">
            <w:pPr>
              <w:rPr>
                <w:rFonts w:ascii="Arial" w:hAnsi="Arial" w:cs="Arial"/>
                <w:sz w:val="22"/>
                <w:szCs w:val="22"/>
              </w:rPr>
            </w:pPr>
            <w:r w:rsidRPr="000D756E">
              <w:rPr>
                <w:rFonts w:ascii="Arial" w:hAnsi="Arial" w:cs="Arial"/>
                <w:sz w:val="22"/>
                <w:szCs w:val="22"/>
              </w:rPr>
              <w:t>Profit</w:t>
            </w:r>
            <w:r w:rsidR="00745DFE" w:rsidRPr="000D756E">
              <w:rPr>
                <w:rFonts w:ascii="Arial" w:hAnsi="Arial" w:cs="Arial"/>
                <w:sz w:val="22"/>
                <w:szCs w:val="22"/>
              </w:rPr>
              <w:t xml:space="preserve"> on disposal</w:t>
            </w:r>
            <w:r w:rsidR="00FE20D2" w:rsidRPr="000D756E">
              <w:rPr>
                <w:rFonts w:ascii="Arial" w:hAnsi="Arial" w:cs="Arial"/>
                <w:sz w:val="22"/>
                <w:szCs w:val="22"/>
              </w:rPr>
              <w:t xml:space="preserve"> of non current assets</w:t>
            </w:r>
          </w:p>
        </w:tc>
        <w:tc>
          <w:tcPr>
            <w:tcW w:w="1701" w:type="dxa"/>
          </w:tcPr>
          <w:p w14:paraId="1802E83D" w14:textId="77777777" w:rsidR="00745DFE" w:rsidRPr="000D756E" w:rsidRDefault="00745DFE" w:rsidP="004E3575">
            <w:pPr>
              <w:jc w:val="right"/>
              <w:rPr>
                <w:rFonts w:ascii="Arial" w:hAnsi="Arial" w:cs="Arial"/>
                <w:b/>
                <w:sz w:val="22"/>
                <w:szCs w:val="22"/>
              </w:rPr>
            </w:pPr>
          </w:p>
        </w:tc>
        <w:tc>
          <w:tcPr>
            <w:tcW w:w="1417" w:type="dxa"/>
          </w:tcPr>
          <w:p w14:paraId="6A269070" w14:textId="77777777" w:rsidR="004E3248" w:rsidRDefault="004E3248" w:rsidP="004E3575">
            <w:pPr>
              <w:jc w:val="right"/>
              <w:rPr>
                <w:rFonts w:ascii="Arial" w:hAnsi="Arial" w:cs="Arial"/>
                <w:sz w:val="22"/>
                <w:szCs w:val="22"/>
              </w:rPr>
            </w:pPr>
          </w:p>
          <w:p w14:paraId="4BDE503A" w14:textId="10FBDDA5" w:rsidR="005232FB" w:rsidRPr="000D756E" w:rsidRDefault="00545894" w:rsidP="004E3575">
            <w:pPr>
              <w:jc w:val="right"/>
              <w:rPr>
                <w:rFonts w:ascii="Arial" w:hAnsi="Arial" w:cs="Arial"/>
                <w:sz w:val="22"/>
                <w:szCs w:val="22"/>
              </w:rPr>
            </w:pPr>
            <w:r>
              <w:rPr>
                <w:rFonts w:ascii="Arial" w:hAnsi="Arial" w:cs="Arial"/>
                <w:sz w:val="22"/>
                <w:szCs w:val="22"/>
              </w:rPr>
              <w:t>117</w:t>
            </w:r>
          </w:p>
        </w:tc>
        <w:tc>
          <w:tcPr>
            <w:tcW w:w="1418" w:type="dxa"/>
          </w:tcPr>
          <w:p w14:paraId="2AB890DF" w14:textId="77777777" w:rsidR="00745DFE" w:rsidRPr="000D756E" w:rsidRDefault="00745DFE" w:rsidP="004E3575">
            <w:pPr>
              <w:jc w:val="right"/>
              <w:rPr>
                <w:rFonts w:ascii="Arial" w:hAnsi="Arial" w:cs="Arial"/>
                <w:sz w:val="22"/>
                <w:szCs w:val="22"/>
              </w:rPr>
            </w:pPr>
          </w:p>
        </w:tc>
        <w:tc>
          <w:tcPr>
            <w:tcW w:w="1559" w:type="dxa"/>
          </w:tcPr>
          <w:p w14:paraId="059A7FA6" w14:textId="77777777" w:rsidR="00745DFE" w:rsidRPr="000D756E" w:rsidRDefault="00745DFE" w:rsidP="004E3575">
            <w:pPr>
              <w:jc w:val="right"/>
              <w:rPr>
                <w:rFonts w:ascii="Arial" w:hAnsi="Arial" w:cs="Arial"/>
                <w:sz w:val="22"/>
                <w:szCs w:val="22"/>
              </w:rPr>
            </w:pPr>
          </w:p>
        </w:tc>
        <w:tc>
          <w:tcPr>
            <w:tcW w:w="1559" w:type="dxa"/>
          </w:tcPr>
          <w:p w14:paraId="0C43F8E3" w14:textId="77777777" w:rsidR="00DE70BA" w:rsidRDefault="00DE70BA" w:rsidP="004E3575">
            <w:pPr>
              <w:jc w:val="right"/>
              <w:rPr>
                <w:rFonts w:ascii="Arial" w:hAnsi="Arial" w:cs="Arial"/>
                <w:b/>
                <w:sz w:val="22"/>
                <w:szCs w:val="22"/>
              </w:rPr>
            </w:pPr>
          </w:p>
          <w:p w14:paraId="44E74EFB" w14:textId="441DCC13" w:rsidR="0046640C" w:rsidRPr="000D756E" w:rsidRDefault="0046640C" w:rsidP="004E3575">
            <w:pPr>
              <w:jc w:val="right"/>
              <w:rPr>
                <w:rFonts w:ascii="Arial" w:hAnsi="Arial" w:cs="Arial"/>
                <w:b/>
                <w:sz w:val="22"/>
                <w:szCs w:val="22"/>
              </w:rPr>
            </w:pPr>
            <w:r>
              <w:rPr>
                <w:rFonts w:ascii="Arial" w:hAnsi="Arial" w:cs="Arial"/>
                <w:b/>
                <w:sz w:val="22"/>
                <w:szCs w:val="22"/>
              </w:rPr>
              <w:t>117</w:t>
            </w:r>
          </w:p>
        </w:tc>
      </w:tr>
      <w:tr w:rsidR="006071DF" w:rsidRPr="000D756E" w14:paraId="19BA772E" w14:textId="77777777" w:rsidTr="00EF50B8">
        <w:tc>
          <w:tcPr>
            <w:tcW w:w="2269" w:type="dxa"/>
          </w:tcPr>
          <w:p w14:paraId="51354012" w14:textId="77777777" w:rsidR="00EF50B8" w:rsidRPr="000D756E" w:rsidRDefault="00EF50B8" w:rsidP="004D3F79">
            <w:pPr>
              <w:rPr>
                <w:rFonts w:ascii="Arial" w:hAnsi="Arial" w:cs="Arial"/>
                <w:sz w:val="22"/>
                <w:szCs w:val="22"/>
              </w:rPr>
            </w:pPr>
            <w:r w:rsidRPr="000D756E">
              <w:rPr>
                <w:rFonts w:ascii="Arial" w:hAnsi="Arial" w:cs="Arial"/>
                <w:sz w:val="22"/>
                <w:szCs w:val="22"/>
              </w:rPr>
              <w:t>Capital from revenue</w:t>
            </w:r>
          </w:p>
        </w:tc>
        <w:tc>
          <w:tcPr>
            <w:tcW w:w="1701" w:type="dxa"/>
          </w:tcPr>
          <w:p w14:paraId="02E7D872" w14:textId="77777777" w:rsidR="00EF50B8" w:rsidRPr="000D756E" w:rsidRDefault="00EF50B8" w:rsidP="004E3575">
            <w:pPr>
              <w:jc w:val="right"/>
              <w:rPr>
                <w:rFonts w:ascii="Arial" w:hAnsi="Arial" w:cs="Arial"/>
                <w:b/>
                <w:sz w:val="22"/>
                <w:szCs w:val="22"/>
              </w:rPr>
            </w:pPr>
          </w:p>
        </w:tc>
        <w:tc>
          <w:tcPr>
            <w:tcW w:w="1417" w:type="dxa"/>
          </w:tcPr>
          <w:p w14:paraId="13674217" w14:textId="48F4BE28" w:rsidR="00EF50B8" w:rsidRPr="000D756E" w:rsidRDefault="00545894" w:rsidP="004E3575">
            <w:pPr>
              <w:jc w:val="right"/>
              <w:rPr>
                <w:rFonts w:ascii="Arial" w:hAnsi="Arial" w:cs="Arial"/>
                <w:sz w:val="22"/>
                <w:szCs w:val="22"/>
              </w:rPr>
            </w:pPr>
            <w:r>
              <w:rPr>
                <w:rFonts w:ascii="Arial" w:hAnsi="Arial" w:cs="Arial"/>
                <w:sz w:val="22"/>
                <w:szCs w:val="22"/>
              </w:rPr>
              <w:t>-3,</w:t>
            </w:r>
            <w:r w:rsidR="009451A9">
              <w:rPr>
                <w:rFonts w:ascii="Arial" w:hAnsi="Arial" w:cs="Arial"/>
                <w:sz w:val="22"/>
                <w:szCs w:val="22"/>
              </w:rPr>
              <w:t>969</w:t>
            </w:r>
          </w:p>
        </w:tc>
        <w:tc>
          <w:tcPr>
            <w:tcW w:w="1418" w:type="dxa"/>
          </w:tcPr>
          <w:p w14:paraId="7B5F3A6E" w14:textId="77777777" w:rsidR="00EF50B8" w:rsidRPr="000D756E" w:rsidRDefault="00EF50B8" w:rsidP="004E3575">
            <w:pPr>
              <w:jc w:val="right"/>
              <w:rPr>
                <w:rFonts w:ascii="Arial" w:hAnsi="Arial" w:cs="Arial"/>
                <w:sz w:val="22"/>
                <w:szCs w:val="22"/>
              </w:rPr>
            </w:pPr>
          </w:p>
        </w:tc>
        <w:tc>
          <w:tcPr>
            <w:tcW w:w="1559" w:type="dxa"/>
          </w:tcPr>
          <w:p w14:paraId="0F518925" w14:textId="77777777" w:rsidR="00EF50B8" w:rsidRPr="000D756E" w:rsidRDefault="00EF50B8" w:rsidP="004E3575">
            <w:pPr>
              <w:jc w:val="right"/>
              <w:rPr>
                <w:rFonts w:ascii="Arial" w:hAnsi="Arial" w:cs="Arial"/>
                <w:sz w:val="22"/>
                <w:szCs w:val="22"/>
              </w:rPr>
            </w:pPr>
          </w:p>
        </w:tc>
        <w:tc>
          <w:tcPr>
            <w:tcW w:w="1559" w:type="dxa"/>
          </w:tcPr>
          <w:p w14:paraId="46071B98" w14:textId="4D04CF9E" w:rsidR="00EF50B8" w:rsidRPr="000D756E" w:rsidRDefault="0046640C" w:rsidP="004E3575">
            <w:pPr>
              <w:jc w:val="right"/>
              <w:rPr>
                <w:rFonts w:ascii="Arial" w:hAnsi="Arial" w:cs="Arial"/>
                <w:b/>
                <w:sz w:val="22"/>
                <w:szCs w:val="22"/>
              </w:rPr>
            </w:pPr>
            <w:r>
              <w:rPr>
                <w:rFonts w:ascii="Arial" w:hAnsi="Arial" w:cs="Arial"/>
                <w:b/>
                <w:sz w:val="22"/>
                <w:szCs w:val="22"/>
              </w:rPr>
              <w:t>-3,969</w:t>
            </w:r>
          </w:p>
        </w:tc>
      </w:tr>
      <w:tr w:rsidR="006071DF" w:rsidRPr="000D756E" w14:paraId="7CF09656" w14:textId="77777777" w:rsidTr="00EF50B8">
        <w:tc>
          <w:tcPr>
            <w:tcW w:w="2269" w:type="dxa"/>
          </w:tcPr>
          <w:p w14:paraId="217AD4D6" w14:textId="77777777" w:rsidR="00324027" w:rsidRPr="000D756E" w:rsidRDefault="00324027" w:rsidP="00324027">
            <w:pPr>
              <w:rPr>
                <w:rFonts w:ascii="Arial" w:hAnsi="Arial" w:cs="Arial"/>
                <w:sz w:val="22"/>
                <w:szCs w:val="22"/>
              </w:rPr>
            </w:pPr>
            <w:r w:rsidRPr="000D756E">
              <w:rPr>
                <w:rFonts w:ascii="Arial" w:hAnsi="Arial" w:cs="Arial"/>
                <w:sz w:val="22"/>
                <w:szCs w:val="22"/>
              </w:rPr>
              <w:t>Pensions</w:t>
            </w:r>
          </w:p>
        </w:tc>
        <w:tc>
          <w:tcPr>
            <w:tcW w:w="1701" w:type="dxa"/>
          </w:tcPr>
          <w:p w14:paraId="0043E745" w14:textId="77777777" w:rsidR="00324027" w:rsidRPr="000D756E" w:rsidRDefault="00324027" w:rsidP="00324027">
            <w:pPr>
              <w:jc w:val="right"/>
              <w:rPr>
                <w:rFonts w:ascii="Arial" w:hAnsi="Arial" w:cs="Arial"/>
                <w:b/>
                <w:sz w:val="22"/>
                <w:szCs w:val="22"/>
              </w:rPr>
            </w:pPr>
          </w:p>
        </w:tc>
        <w:tc>
          <w:tcPr>
            <w:tcW w:w="1417" w:type="dxa"/>
          </w:tcPr>
          <w:p w14:paraId="480BE728" w14:textId="77777777" w:rsidR="00324027" w:rsidRPr="000D756E" w:rsidRDefault="00324027" w:rsidP="00324027">
            <w:pPr>
              <w:jc w:val="right"/>
              <w:rPr>
                <w:rFonts w:ascii="Arial" w:hAnsi="Arial" w:cs="Arial"/>
                <w:sz w:val="22"/>
                <w:szCs w:val="22"/>
              </w:rPr>
            </w:pPr>
          </w:p>
        </w:tc>
        <w:tc>
          <w:tcPr>
            <w:tcW w:w="1418" w:type="dxa"/>
          </w:tcPr>
          <w:p w14:paraId="0BAFC001" w14:textId="28B56175" w:rsidR="00324027" w:rsidRPr="000D756E" w:rsidRDefault="00A47C5E" w:rsidP="00324027">
            <w:pPr>
              <w:jc w:val="right"/>
              <w:rPr>
                <w:rFonts w:ascii="Arial" w:hAnsi="Arial" w:cs="Arial"/>
                <w:sz w:val="22"/>
                <w:szCs w:val="22"/>
              </w:rPr>
            </w:pPr>
            <w:r>
              <w:rPr>
                <w:rFonts w:ascii="Arial" w:hAnsi="Arial" w:cs="Arial"/>
                <w:sz w:val="22"/>
                <w:szCs w:val="22"/>
              </w:rPr>
              <w:t>8,747</w:t>
            </w:r>
          </w:p>
        </w:tc>
        <w:tc>
          <w:tcPr>
            <w:tcW w:w="1559" w:type="dxa"/>
          </w:tcPr>
          <w:p w14:paraId="70659963" w14:textId="00420216" w:rsidR="00324027" w:rsidRPr="000D756E" w:rsidRDefault="00324027" w:rsidP="00324027">
            <w:pPr>
              <w:jc w:val="right"/>
              <w:rPr>
                <w:rFonts w:ascii="Arial" w:hAnsi="Arial" w:cs="Arial"/>
                <w:sz w:val="22"/>
                <w:szCs w:val="22"/>
              </w:rPr>
            </w:pPr>
          </w:p>
        </w:tc>
        <w:tc>
          <w:tcPr>
            <w:tcW w:w="1559" w:type="dxa"/>
          </w:tcPr>
          <w:p w14:paraId="04BA5F8F" w14:textId="0DC06336" w:rsidR="00324027" w:rsidRPr="000D756E" w:rsidRDefault="0046640C" w:rsidP="00324027">
            <w:pPr>
              <w:jc w:val="right"/>
              <w:rPr>
                <w:rFonts w:ascii="Arial" w:hAnsi="Arial" w:cs="Arial"/>
                <w:b/>
                <w:sz w:val="22"/>
                <w:szCs w:val="22"/>
              </w:rPr>
            </w:pPr>
            <w:r>
              <w:rPr>
                <w:rFonts w:ascii="Arial" w:hAnsi="Arial" w:cs="Arial"/>
                <w:b/>
                <w:sz w:val="22"/>
                <w:szCs w:val="22"/>
              </w:rPr>
              <w:t>8,747</w:t>
            </w:r>
          </w:p>
        </w:tc>
      </w:tr>
      <w:tr w:rsidR="006071DF" w:rsidRPr="000D756E" w14:paraId="6E16BFC8" w14:textId="77777777" w:rsidTr="00EF50B8">
        <w:tc>
          <w:tcPr>
            <w:tcW w:w="2269" w:type="dxa"/>
          </w:tcPr>
          <w:p w14:paraId="34C45395" w14:textId="77777777" w:rsidR="00324027" w:rsidRPr="000D756E" w:rsidRDefault="00324027" w:rsidP="00324027">
            <w:pPr>
              <w:rPr>
                <w:rFonts w:ascii="Arial" w:hAnsi="Arial" w:cs="Arial"/>
                <w:sz w:val="22"/>
                <w:szCs w:val="22"/>
              </w:rPr>
            </w:pPr>
            <w:r w:rsidRPr="000D756E">
              <w:rPr>
                <w:rFonts w:ascii="Arial" w:hAnsi="Arial" w:cs="Arial"/>
                <w:sz w:val="22"/>
                <w:szCs w:val="22"/>
              </w:rPr>
              <w:t>Collection fund</w:t>
            </w:r>
          </w:p>
        </w:tc>
        <w:tc>
          <w:tcPr>
            <w:tcW w:w="1701" w:type="dxa"/>
          </w:tcPr>
          <w:p w14:paraId="6AC75C29" w14:textId="77777777" w:rsidR="00324027" w:rsidRPr="000D756E" w:rsidRDefault="00324027" w:rsidP="00324027">
            <w:pPr>
              <w:jc w:val="right"/>
              <w:rPr>
                <w:rFonts w:ascii="Arial" w:hAnsi="Arial" w:cs="Arial"/>
                <w:b/>
                <w:sz w:val="22"/>
                <w:szCs w:val="22"/>
              </w:rPr>
            </w:pPr>
          </w:p>
        </w:tc>
        <w:tc>
          <w:tcPr>
            <w:tcW w:w="1417" w:type="dxa"/>
          </w:tcPr>
          <w:p w14:paraId="7D277359" w14:textId="77777777" w:rsidR="00324027" w:rsidRPr="000D756E" w:rsidRDefault="00324027" w:rsidP="00324027">
            <w:pPr>
              <w:jc w:val="right"/>
              <w:rPr>
                <w:rFonts w:ascii="Arial" w:hAnsi="Arial" w:cs="Arial"/>
                <w:sz w:val="22"/>
                <w:szCs w:val="22"/>
              </w:rPr>
            </w:pPr>
          </w:p>
        </w:tc>
        <w:tc>
          <w:tcPr>
            <w:tcW w:w="1418" w:type="dxa"/>
          </w:tcPr>
          <w:p w14:paraId="6D81113E" w14:textId="77777777" w:rsidR="00324027" w:rsidRPr="000D756E" w:rsidRDefault="00324027" w:rsidP="00324027">
            <w:pPr>
              <w:jc w:val="right"/>
              <w:rPr>
                <w:rFonts w:ascii="Arial" w:hAnsi="Arial" w:cs="Arial"/>
                <w:sz w:val="22"/>
                <w:szCs w:val="22"/>
              </w:rPr>
            </w:pPr>
          </w:p>
        </w:tc>
        <w:tc>
          <w:tcPr>
            <w:tcW w:w="1559" w:type="dxa"/>
          </w:tcPr>
          <w:p w14:paraId="0B7F77BB" w14:textId="0E961140" w:rsidR="00324027" w:rsidRPr="000D756E" w:rsidRDefault="009451A9" w:rsidP="00324027">
            <w:pPr>
              <w:jc w:val="right"/>
              <w:rPr>
                <w:rFonts w:ascii="Arial" w:hAnsi="Arial" w:cs="Arial"/>
                <w:sz w:val="22"/>
                <w:szCs w:val="22"/>
              </w:rPr>
            </w:pPr>
            <w:r>
              <w:rPr>
                <w:rFonts w:ascii="Arial" w:hAnsi="Arial" w:cs="Arial"/>
                <w:sz w:val="22"/>
                <w:szCs w:val="22"/>
              </w:rPr>
              <w:t>-266</w:t>
            </w:r>
          </w:p>
        </w:tc>
        <w:tc>
          <w:tcPr>
            <w:tcW w:w="1559" w:type="dxa"/>
          </w:tcPr>
          <w:p w14:paraId="3420EC51" w14:textId="445DE757" w:rsidR="00324027" w:rsidRPr="000D756E" w:rsidRDefault="0046640C" w:rsidP="00324027">
            <w:pPr>
              <w:jc w:val="right"/>
              <w:rPr>
                <w:rFonts w:ascii="Arial" w:hAnsi="Arial" w:cs="Arial"/>
                <w:b/>
                <w:sz w:val="22"/>
                <w:szCs w:val="22"/>
              </w:rPr>
            </w:pPr>
            <w:r>
              <w:rPr>
                <w:rFonts w:ascii="Arial" w:hAnsi="Arial" w:cs="Arial"/>
                <w:b/>
                <w:sz w:val="22"/>
                <w:szCs w:val="22"/>
              </w:rPr>
              <w:t>-266</w:t>
            </w:r>
          </w:p>
        </w:tc>
      </w:tr>
      <w:tr w:rsidR="006071DF" w:rsidRPr="000D756E" w14:paraId="73466584" w14:textId="77777777" w:rsidTr="00EF50B8">
        <w:tc>
          <w:tcPr>
            <w:tcW w:w="2269" w:type="dxa"/>
          </w:tcPr>
          <w:p w14:paraId="79C84C1F" w14:textId="77777777" w:rsidR="00324027" w:rsidRPr="000D756E" w:rsidRDefault="00324027" w:rsidP="00324027">
            <w:pPr>
              <w:rPr>
                <w:rFonts w:ascii="Arial" w:hAnsi="Arial" w:cs="Arial"/>
                <w:sz w:val="22"/>
                <w:szCs w:val="22"/>
              </w:rPr>
            </w:pPr>
            <w:r w:rsidRPr="000D756E">
              <w:rPr>
                <w:rFonts w:ascii="Arial" w:hAnsi="Arial" w:cs="Arial"/>
                <w:sz w:val="22"/>
                <w:szCs w:val="22"/>
              </w:rPr>
              <w:t>Accumulated Absences</w:t>
            </w:r>
          </w:p>
        </w:tc>
        <w:tc>
          <w:tcPr>
            <w:tcW w:w="1701" w:type="dxa"/>
          </w:tcPr>
          <w:p w14:paraId="141D33D5" w14:textId="77777777" w:rsidR="00324027" w:rsidRPr="000D756E" w:rsidRDefault="00324027" w:rsidP="00324027">
            <w:pPr>
              <w:jc w:val="right"/>
              <w:rPr>
                <w:rFonts w:ascii="Arial" w:hAnsi="Arial" w:cs="Arial"/>
                <w:b/>
                <w:sz w:val="22"/>
                <w:szCs w:val="22"/>
              </w:rPr>
            </w:pPr>
          </w:p>
        </w:tc>
        <w:tc>
          <w:tcPr>
            <w:tcW w:w="1417" w:type="dxa"/>
          </w:tcPr>
          <w:p w14:paraId="3F5A1B84" w14:textId="77777777" w:rsidR="00324027" w:rsidRPr="000D756E" w:rsidRDefault="00324027" w:rsidP="00324027">
            <w:pPr>
              <w:jc w:val="right"/>
              <w:rPr>
                <w:rFonts w:ascii="Arial" w:hAnsi="Arial" w:cs="Arial"/>
                <w:sz w:val="22"/>
                <w:szCs w:val="22"/>
              </w:rPr>
            </w:pPr>
          </w:p>
        </w:tc>
        <w:tc>
          <w:tcPr>
            <w:tcW w:w="1418" w:type="dxa"/>
          </w:tcPr>
          <w:p w14:paraId="7EDE6613" w14:textId="77777777" w:rsidR="00324027" w:rsidRPr="000D756E" w:rsidRDefault="00324027" w:rsidP="00324027">
            <w:pPr>
              <w:jc w:val="right"/>
              <w:rPr>
                <w:rFonts w:ascii="Arial" w:hAnsi="Arial" w:cs="Arial"/>
                <w:sz w:val="22"/>
                <w:szCs w:val="22"/>
              </w:rPr>
            </w:pPr>
          </w:p>
        </w:tc>
        <w:tc>
          <w:tcPr>
            <w:tcW w:w="1559" w:type="dxa"/>
          </w:tcPr>
          <w:p w14:paraId="4A013744" w14:textId="77777777" w:rsidR="009451A9" w:rsidRDefault="009451A9" w:rsidP="00324027">
            <w:pPr>
              <w:jc w:val="right"/>
              <w:rPr>
                <w:rFonts w:ascii="Arial" w:hAnsi="Arial" w:cs="Arial"/>
                <w:sz w:val="22"/>
                <w:szCs w:val="22"/>
              </w:rPr>
            </w:pPr>
          </w:p>
          <w:p w14:paraId="30E0D4F9" w14:textId="30E7DC75" w:rsidR="000B36F7" w:rsidRPr="000D756E" w:rsidRDefault="009451A9" w:rsidP="00324027">
            <w:pPr>
              <w:jc w:val="right"/>
              <w:rPr>
                <w:rFonts w:ascii="Arial" w:hAnsi="Arial" w:cs="Arial"/>
                <w:sz w:val="22"/>
                <w:szCs w:val="22"/>
              </w:rPr>
            </w:pPr>
            <w:r>
              <w:rPr>
                <w:rFonts w:ascii="Arial" w:hAnsi="Arial" w:cs="Arial"/>
                <w:sz w:val="22"/>
                <w:szCs w:val="22"/>
              </w:rPr>
              <w:t>12</w:t>
            </w:r>
          </w:p>
        </w:tc>
        <w:tc>
          <w:tcPr>
            <w:tcW w:w="1559" w:type="dxa"/>
          </w:tcPr>
          <w:p w14:paraId="275CC77E" w14:textId="77777777" w:rsidR="00F4248C" w:rsidRDefault="00F4248C" w:rsidP="00324027">
            <w:pPr>
              <w:jc w:val="right"/>
              <w:rPr>
                <w:rFonts w:ascii="Arial" w:hAnsi="Arial" w:cs="Arial"/>
                <w:b/>
                <w:sz w:val="22"/>
                <w:szCs w:val="22"/>
              </w:rPr>
            </w:pPr>
          </w:p>
          <w:p w14:paraId="749E2D8D" w14:textId="05B8A5B1" w:rsidR="0046640C" w:rsidRPr="000D756E" w:rsidRDefault="0046640C" w:rsidP="00324027">
            <w:pPr>
              <w:jc w:val="right"/>
              <w:rPr>
                <w:rFonts w:ascii="Arial" w:hAnsi="Arial" w:cs="Arial"/>
                <w:b/>
                <w:sz w:val="22"/>
                <w:szCs w:val="22"/>
              </w:rPr>
            </w:pPr>
            <w:r>
              <w:rPr>
                <w:rFonts w:ascii="Arial" w:hAnsi="Arial" w:cs="Arial"/>
                <w:b/>
                <w:sz w:val="22"/>
                <w:szCs w:val="22"/>
              </w:rPr>
              <w:t>12</w:t>
            </w:r>
          </w:p>
        </w:tc>
      </w:tr>
      <w:tr w:rsidR="006071DF" w:rsidRPr="000D756E" w14:paraId="27E51BD0" w14:textId="77777777" w:rsidTr="00EF50B8">
        <w:tc>
          <w:tcPr>
            <w:tcW w:w="2269" w:type="dxa"/>
          </w:tcPr>
          <w:p w14:paraId="6EB17D59" w14:textId="77777777" w:rsidR="00324027" w:rsidRPr="000D756E" w:rsidRDefault="00324027" w:rsidP="00324027">
            <w:pPr>
              <w:rPr>
                <w:rFonts w:ascii="Arial" w:hAnsi="Arial" w:cs="Arial"/>
                <w:b/>
                <w:sz w:val="22"/>
                <w:szCs w:val="22"/>
              </w:rPr>
            </w:pPr>
          </w:p>
          <w:p w14:paraId="2A22BE0A" w14:textId="77777777" w:rsidR="00324027" w:rsidRPr="000D756E" w:rsidRDefault="00324027" w:rsidP="00324027">
            <w:pPr>
              <w:rPr>
                <w:rFonts w:ascii="Arial" w:hAnsi="Arial" w:cs="Arial"/>
                <w:b/>
                <w:sz w:val="22"/>
                <w:szCs w:val="22"/>
              </w:rPr>
            </w:pPr>
            <w:r w:rsidRPr="000D756E">
              <w:rPr>
                <w:rFonts w:ascii="Arial" w:hAnsi="Arial" w:cs="Arial"/>
                <w:b/>
                <w:sz w:val="22"/>
                <w:szCs w:val="22"/>
              </w:rPr>
              <w:t>Total</w:t>
            </w:r>
          </w:p>
        </w:tc>
        <w:tc>
          <w:tcPr>
            <w:tcW w:w="1701" w:type="dxa"/>
          </w:tcPr>
          <w:p w14:paraId="17830123" w14:textId="77777777" w:rsidR="00FE0A84" w:rsidRDefault="00FE0A84" w:rsidP="00DF6168">
            <w:pPr>
              <w:jc w:val="right"/>
              <w:rPr>
                <w:rFonts w:ascii="Arial" w:hAnsi="Arial" w:cs="Arial"/>
                <w:b/>
                <w:sz w:val="22"/>
                <w:szCs w:val="22"/>
              </w:rPr>
            </w:pPr>
          </w:p>
          <w:p w14:paraId="093EAE80" w14:textId="39D6B678" w:rsidR="009840F0" w:rsidRPr="000D756E" w:rsidRDefault="009840F0" w:rsidP="00DF6168">
            <w:pPr>
              <w:jc w:val="right"/>
              <w:rPr>
                <w:rFonts w:ascii="Arial" w:hAnsi="Arial" w:cs="Arial"/>
                <w:b/>
                <w:sz w:val="22"/>
                <w:szCs w:val="22"/>
              </w:rPr>
            </w:pPr>
            <w:r>
              <w:rPr>
                <w:rFonts w:ascii="Arial" w:hAnsi="Arial" w:cs="Arial"/>
                <w:b/>
                <w:sz w:val="22"/>
                <w:szCs w:val="22"/>
              </w:rPr>
              <w:t>-25,905</w:t>
            </w:r>
          </w:p>
        </w:tc>
        <w:tc>
          <w:tcPr>
            <w:tcW w:w="1417" w:type="dxa"/>
          </w:tcPr>
          <w:p w14:paraId="42A506B1" w14:textId="77777777" w:rsidR="00CF36B0" w:rsidRDefault="00CF36B0" w:rsidP="00A86650">
            <w:pPr>
              <w:jc w:val="right"/>
              <w:rPr>
                <w:rFonts w:ascii="Arial" w:hAnsi="Arial" w:cs="Arial"/>
                <w:b/>
                <w:sz w:val="22"/>
                <w:szCs w:val="22"/>
              </w:rPr>
            </w:pPr>
          </w:p>
          <w:p w14:paraId="0E1E495F" w14:textId="7F65243E" w:rsidR="009840F0" w:rsidRPr="000D756E" w:rsidRDefault="00662EF2" w:rsidP="00A86650">
            <w:pPr>
              <w:jc w:val="right"/>
              <w:rPr>
                <w:rFonts w:ascii="Arial" w:hAnsi="Arial" w:cs="Arial"/>
                <w:b/>
                <w:sz w:val="22"/>
                <w:szCs w:val="22"/>
              </w:rPr>
            </w:pPr>
            <w:r>
              <w:rPr>
                <w:rFonts w:ascii="Arial" w:hAnsi="Arial" w:cs="Arial"/>
                <w:b/>
                <w:sz w:val="22"/>
                <w:szCs w:val="22"/>
              </w:rPr>
              <w:t>-1,336</w:t>
            </w:r>
          </w:p>
        </w:tc>
        <w:tc>
          <w:tcPr>
            <w:tcW w:w="1418" w:type="dxa"/>
          </w:tcPr>
          <w:p w14:paraId="4C9D1586" w14:textId="77777777" w:rsidR="00CF36B0" w:rsidRDefault="00CF36B0" w:rsidP="003B364C">
            <w:pPr>
              <w:jc w:val="right"/>
              <w:rPr>
                <w:rFonts w:ascii="Arial" w:hAnsi="Arial" w:cs="Arial"/>
                <w:b/>
                <w:sz w:val="22"/>
                <w:szCs w:val="22"/>
              </w:rPr>
            </w:pPr>
          </w:p>
          <w:p w14:paraId="5DCB4C71" w14:textId="2CAB0A3C" w:rsidR="00662EF2" w:rsidRPr="000D756E" w:rsidRDefault="00662EF2" w:rsidP="003B364C">
            <w:pPr>
              <w:jc w:val="right"/>
              <w:rPr>
                <w:rFonts w:ascii="Arial" w:hAnsi="Arial" w:cs="Arial"/>
                <w:b/>
                <w:sz w:val="22"/>
                <w:szCs w:val="22"/>
              </w:rPr>
            </w:pPr>
            <w:r>
              <w:rPr>
                <w:rFonts w:ascii="Arial" w:hAnsi="Arial" w:cs="Arial"/>
                <w:b/>
                <w:sz w:val="22"/>
                <w:szCs w:val="22"/>
              </w:rPr>
              <w:t>8,747</w:t>
            </w:r>
          </w:p>
        </w:tc>
        <w:tc>
          <w:tcPr>
            <w:tcW w:w="1559" w:type="dxa"/>
          </w:tcPr>
          <w:p w14:paraId="7E1B7A59" w14:textId="77777777" w:rsidR="00CF36B0" w:rsidRDefault="00CF36B0" w:rsidP="00324027">
            <w:pPr>
              <w:jc w:val="right"/>
              <w:rPr>
                <w:rFonts w:ascii="Arial" w:hAnsi="Arial" w:cs="Arial"/>
                <w:b/>
                <w:sz w:val="22"/>
                <w:szCs w:val="22"/>
              </w:rPr>
            </w:pPr>
          </w:p>
          <w:p w14:paraId="50EF8A8D" w14:textId="3FDE7D59" w:rsidR="00662EF2" w:rsidRPr="000D756E" w:rsidRDefault="00662EF2" w:rsidP="00324027">
            <w:pPr>
              <w:jc w:val="right"/>
              <w:rPr>
                <w:rFonts w:ascii="Arial" w:hAnsi="Arial" w:cs="Arial"/>
                <w:b/>
                <w:sz w:val="22"/>
                <w:szCs w:val="22"/>
              </w:rPr>
            </w:pPr>
            <w:r>
              <w:rPr>
                <w:rFonts w:ascii="Arial" w:hAnsi="Arial" w:cs="Arial"/>
                <w:b/>
                <w:sz w:val="22"/>
                <w:szCs w:val="22"/>
              </w:rPr>
              <w:t>-254</w:t>
            </w:r>
          </w:p>
        </w:tc>
        <w:tc>
          <w:tcPr>
            <w:tcW w:w="1559" w:type="dxa"/>
          </w:tcPr>
          <w:p w14:paraId="398CE394" w14:textId="77777777" w:rsidR="00F4248C" w:rsidRDefault="00F4248C" w:rsidP="00324027">
            <w:pPr>
              <w:jc w:val="right"/>
              <w:rPr>
                <w:rFonts w:ascii="Arial" w:hAnsi="Arial" w:cs="Arial"/>
                <w:b/>
                <w:sz w:val="22"/>
                <w:szCs w:val="22"/>
              </w:rPr>
            </w:pPr>
          </w:p>
          <w:p w14:paraId="5CE3BD61" w14:textId="775C70E5" w:rsidR="008B0E1E" w:rsidRPr="000D756E" w:rsidRDefault="008B0E1E" w:rsidP="00324027">
            <w:pPr>
              <w:jc w:val="right"/>
              <w:rPr>
                <w:rFonts w:ascii="Arial" w:hAnsi="Arial" w:cs="Arial"/>
                <w:b/>
                <w:sz w:val="22"/>
                <w:szCs w:val="22"/>
              </w:rPr>
            </w:pPr>
            <w:r>
              <w:rPr>
                <w:rFonts w:ascii="Arial" w:hAnsi="Arial" w:cs="Arial"/>
                <w:b/>
                <w:sz w:val="22"/>
                <w:szCs w:val="22"/>
              </w:rPr>
              <w:t>7,157</w:t>
            </w:r>
          </w:p>
        </w:tc>
      </w:tr>
    </w:tbl>
    <w:p w14:paraId="6AD0B4F1" w14:textId="65CB3002" w:rsidR="0E6F239C" w:rsidRPr="000D756E" w:rsidRDefault="0E6F239C"/>
    <w:p w14:paraId="1B68D1C8" w14:textId="77777777" w:rsidR="009232F8" w:rsidRPr="000D756E" w:rsidRDefault="009232F8" w:rsidP="009232F8">
      <w:pPr>
        <w:rPr>
          <w:rFonts w:ascii="Arial" w:hAnsi="Arial" w:cs="Arial"/>
          <w:b/>
          <w:sz w:val="24"/>
          <w:szCs w:val="24"/>
        </w:rPr>
      </w:pPr>
    </w:p>
    <w:p w14:paraId="1F44A99E" w14:textId="77777777" w:rsidR="009232F8" w:rsidRPr="000D756E" w:rsidRDefault="009232F8" w:rsidP="009232F8">
      <w:pPr>
        <w:rPr>
          <w:rFonts w:ascii="Arial" w:hAnsi="Arial" w:cs="Arial"/>
          <w:b/>
          <w:sz w:val="24"/>
          <w:szCs w:val="24"/>
        </w:rPr>
      </w:pPr>
      <w:r w:rsidRPr="000D756E">
        <w:rPr>
          <w:rFonts w:ascii="Arial" w:hAnsi="Arial" w:cs="Arial"/>
          <w:b/>
          <w:sz w:val="24"/>
          <w:szCs w:val="24"/>
        </w:rPr>
        <w:br w:type="page"/>
      </w:r>
    </w:p>
    <w:p w14:paraId="282BE293" w14:textId="4927071C" w:rsidR="009232F8" w:rsidRPr="000D756E" w:rsidRDefault="009232F8" w:rsidP="009232F8">
      <w:pPr>
        <w:rPr>
          <w:rFonts w:ascii="Arial" w:hAnsi="Arial" w:cs="Arial"/>
          <w:b/>
          <w:sz w:val="24"/>
          <w:szCs w:val="24"/>
        </w:rPr>
      </w:pPr>
      <w:r w:rsidRPr="000D756E">
        <w:rPr>
          <w:rFonts w:ascii="Arial" w:hAnsi="Arial" w:cs="Arial"/>
          <w:b/>
          <w:sz w:val="24"/>
          <w:szCs w:val="24"/>
        </w:rPr>
        <w:lastRenderedPageBreak/>
        <w:t>20</w:t>
      </w:r>
      <w:r w:rsidR="00A86357" w:rsidRPr="000D756E">
        <w:rPr>
          <w:rFonts w:ascii="Arial" w:hAnsi="Arial" w:cs="Arial"/>
          <w:b/>
          <w:sz w:val="24"/>
          <w:szCs w:val="24"/>
        </w:rPr>
        <w:t>2</w:t>
      </w:r>
      <w:r w:rsidR="00440488">
        <w:rPr>
          <w:rFonts w:ascii="Arial" w:hAnsi="Arial" w:cs="Arial"/>
          <w:b/>
          <w:sz w:val="24"/>
          <w:szCs w:val="24"/>
        </w:rPr>
        <w:t>3/24</w:t>
      </w:r>
    </w:p>
    <w:p w14:paraId="369FE284" w14:textId="77777777" w:rsidR="00FC60E9" w:rsidRPr="000D756E" w:rsidRDefault="00FC60E9" w:rsidP="009232F8">
      <w:pPr>
        <w:rPr>
          <w:rFonts w:ascii="Arial" w:hAnsi="Arial" w:cs="Arial"/>
          <w:b/>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01"/>
        <w:gridCol w:w="1417"/>
        <w:gridCol w:w="1418"/>
        <w:gridCol w:w="1559"/>
        <w:gridCol w:w="1559"/>
      </w:tblGrid>
      <w:tr w:rsidR="006071DF" w:rsidRPr="000D756E" w14:paraId="6F2BD378" w14:textId="77777777" w:rsidTr="005D6499">
        <w:tc>
          <w:tcPr>
            <w:tcW w:w="2269" w:type="dxa"/>
          </w:tcPr>
          <w:p w14:paraId="2EC1B5E0" w14:textId="77777777" w:rsidR="00E709E5" w:rsidRPr="000D756E" w:rsidRDefault="00E709E5" w:rsidP="00E709E5">
            <w:pPr>
              <w:jc w:val="right"/>
              <w:rPr>
                <w:rFonts w:ascii="Arial" w:hAnsi="Arial" w:cs="Arial"/>
                <w:b/>
                <w:sz w:val="22"/>
                <w:szCs w:val="22"/>
              </w:rPr>
            </w:pPr>
          </w:p>
        </w:tc>
        <w:tc>
          <w:tcPr>
            <w:tcW w:w="1701" w:type="dxa"/>
          </w:tcPr>
          <w:p w14:paraId="75D7493E" w14:textId="77777777" w:rsidR="00E709E5" w:rsidRPr="000D756E" w:rsidRDefault="00E709E5" w:rsidP="00E709E5">
            <w:pPr>
              <w:rPr>
                <w:rFonts w:ascii="Arial" w:hAnsi="Arial" w:cs="Arial"/>
                <w:b/>
                <w:sz w:val="22"/>
                <w:szCs w:val="22"/>
              </w:rPr>
            </w:pPr>
          </w:p>
          <w:p w14:paraId="5F21C4DC" w14:textId="77777777" w:rsidR="00E709E5" w:rsidRPr="000D756E" w:rsidRDefault="00E709E5" w:rsidP="00E709E5">
            <w:pPr>
              <w:jc w:val="right"/>
              <w:rPr>
                <w:rFonts w:ascii="Arial" w:hAnsi="Arial" w:cs="Arial"/>
                <w:b/>
                <w:sz w:val="22"/>
                <w:szCs w:val="22"/>
              </w:rPr>
            </w:pPr>
            <w:r w:rsidRPr="000D756E">
              <w:rPr>
                <w:rFonts w:ascii="Arial" w:hAnsi="Arial" w:cs="Arial"/>
                <w:b/>
                <w:sz w:val="22"/>
                <w:szCs w:val="22"/>
              </w:rPr>
              <w:t>Adjustments to arrive at amount chargeable to General Fund</w:t>
            </w:r>
          </w:p>
          <w:p w14:paraId="2D8A1725" w14:textId="77777777" w:rsidR="00E709E5" w:rsidRPr="000D756E" w:rsidRDefault="00E709E5" w:rsidP="00E709E5">
            <w:pPr>
              <w:jc w:val="right"/>
              <w:rPr>
                <w:rFonts w:ascii="Arial" w:hAnsi="Arial" w:cs="Arial"/>
                <w:b/>
                <w:sz w:val="22"/>
                <w:szCs w:val="22"/>
              </w:rPr>
            </w:pPr>
          </w:p>
          <w:p w14:paraId="1A4AD648" w14:textId="25A6BD83" w:rsidR="00E709E5" w:rsidRPr="000D756E" w:rsidRDefault="00E709E5" w:rsidP="00E709E5">
            <w:pPr>
              <w:jc w:val="right"/>
              <w:rPr>
                <w:rFonts w:ascii="Arial" w:hAnsi="Arial" w:cs="Arial"/>
                <w:b/>
                <w:sz w:val="22"/>
                <w:szCs w:val="22"/>
              </w:rPr>
            </w:pPr>
            <w:r w:rsidRPr="000D756E">
              <w:rPr>
                <w:rFonts w:ascii="Arial" w:hAnsi="Arial" w:cs="Arial"/>
                <w:b/>
                <w:sz w:val="22"/>
                <w:szCs w:val="22"/>
              </w:rPr>
              <w:t>£’000</w:t>
            </w:r>
          </w:p>
        </w:tc>
        <w:tc>
          <w:tcPr>
            <w:tcW w:w="1417" w:type="dxa"/>
          </w:tcPr>
          <w:p w14:paraId="6F415F73" w14:textId="77777777" w:rsidR="00E709E5" w:rsidRPr="000D756E" w:rsidRDefault="00E709E5" w:rsidP="00E709E5">
            <w:pPr>
              <w:rPr>
                <w:rFonts w:ascii="Arial" w:hAnsi="Arial" w:cs="Arial"/>
                <w:b/>
                <w:sz w:val="22"/>
                <w:szCs w:val="22"/>
              </w:rPr>
            </w:pPr>
          </w:p>
          <w:p w14:paraId="39F7A581" w14:textId="77777777" w:rsidR="00E709E5" w:rsidRPr="000D756E" w:rsidRDefault="00E709E5" w:rsidP="00E709E5">
            <w:pPr>
              <w:jc w:val="right"/>
              <w:rPr>
                <w:rFonts w:ascii="Arial" w:hAnsi="Arial" w:cs="Arial"/>
                <w:b/>
                <w:sz w:val="22"/>
                <w:szCs w:val="22"/>
              </w:rPr>
            </w:pPr>
          </w:p>
          <w:p w14:paraId="6C9520E6" w14:textId="77777777" w:rsidR="00E709E5" w:rsidRPr="000D756E" w:rsidRDefault="00E709E5" w:rsidP="00E709E5">
            <w:pPr>
              <w:jc w:val="right"/>
              <w:rPr>
                <w:rFonts w:ascii="Arial" w:hAnsi="Arial" w:cs="Arial"/>
                <w:b/>
                <w:sz w:val="22"/>
                <w:szCs w:val="22"/>
              </w:rPr>
            </w:pPr>
            <w:r w:rsidRPr="000D756E">
              <w:rPr>
                <w:rFonts w:ascii="Arial" w:hAnsi="Arial" w:cs="Arial"/>
                <w:b/>
                <w:sz w:val="22"/>
                <w:szCs w:val="22"/>
              </w:rPr>
              <w:t>Adjust-ment for capital purposes</w:t>
            </w:r>
          </w:p>
          <w:p w14:paraId="301C0BFF" w14:textId="77777777" w:rsidR="00E709E5" w:rsidRPr="000D756E" w:rsidRDefault="00E709E5" w:rsidP="00E709E5">
            <w:pPr>
              <w:jc w:val="right"/>
              <w:rPr>
                <w:rFonts w:ascii="Arial" w:hAnsi="Arial" w:cs="Arial"/>
                <w:b/>
                <w:sz w:val="22"/>
                <w:szCs w:val="22"/>
              </w:rPr>
            </w:pPr>
          </w:p>
          <w:p w14:paraId="165F551D" w14:textId="3F04F39A" w:rsidR="00E709E5" w:rsidRPr="000D756E" w:rsidRDefault="00E709E5" w:rsidP="00E709E5">
            <w:pPr>
              <w:jc w:val="right"/>
              <w:rPr>
                <w:rFonts w:ascii="Arial" w:hAnsi="Arial" w:cs="Arial"/>
                <w:b/>
                <w:sz w:val="22"/>
                <w:szCs w:val="22"/>
              </w:rPr>
            </w:pPr>
            <w:r w:rsidRPr="000D756E">
              <w:rPr>
                <w:rFonts w:ascii="Arial" w:hAnsi="Arial" w:cs="Arial"/>
                <w:b/>
                <w:sz w:val="22"/>
                <w:szCs w:val="22"/>
              </w:rPr>
              <w:t>£’000</w:t>
            </w:r>
          </w:p>
        </w:tc>
        <w:tc>
          <w:tcPr>
            <w:tcW w:w="1418" w:type="dxa"/>
          </w:tcPr>
          <w:p w14:paraId="3CEEE656" w14:textId="77777777" w:rsidR="00E709E5" w:rsidRPr="000D756E" w:rsidRDefault="00E709E5" w:rsidP="00E709E5">
            <w:pPr>
              <w:rPr>
                <w:rFonts w:ascii="Arial" w:hAnsi="Arial" w:cs="Arial"/>
                <w:b/>
                <w:sz w:val="22"/>
                <w:szCs w:val="22"/>
              </w:rPr>
            </w:pPr>
          </w:p>
          <w:p w14:paraId="34074D8E" w14:textId="77777777" w:rsidR="00E709E5" w:rsidRPr="000D756E" w:rsidRDefault="00E709E5" w:rsidP="00E709E5">
            <w:pPr>
              <w:jc w:val="right"/>
              <w:rPr>
                <w:rFonts w:ascii="Arial" w:hAnsi="Arial" w:cs="Arial"/>
                <w:b/>
                <w:sz w:val="22"/>
                <w:szCs w:val="22"/>
              </w:rPr>
            </w:pPr>
          </w:p>
          <w:p w14:paraId="17371209" w14:textId="77777777" w:rsidR="00E709E5" w:rsidRPr="000D756E" w:rsidRDefault="00E709E5" w:rsidP="00E709E5">
            <w:pPr>
              <w:jc w:val="right"/>
              <w:rPr>
                <w:rFonts w:ascii="Arial" w:hAnsi="Arial" w:cs="Arial"/>
                <w:b/>
                <w:sz w:val="22"/>
                <w:szCs w:val="22"/>
              </w:rPr>
            </w:pPr>
            <w:r w:rsidRPr="000D756E">
              <w:rPr>
                <w:rFonts w:ascii="Arial" w:hAnsi="Arial" w:cs="Arial"/>
                <w:b/>
                <w:sz w:val="22"/>
                <w:szCs w:val="22"/>
              </w:rPr>
              <w:t>Net change for the Pensions Account</w:t>
            </w:r>
          </w:p>
          <w:p w14:paraId="36BBA7C1" w14:textId="77777777" w:rsidR="00E709E5" w:rsidRPr="000D756E" w:rsidRDefault="00E709E5" w:rsidP="00E709E5">
            <w:pPr>
              <w:jc w:val="right"/>
              <w:rPr>
                <w:rFonts w:ascii="Arial" w:hAnsi="Arial" w:cs="Arial"/>
                <w:b/>
                <w:sz w:val="22"/>
                <w:szCs w:val="22"/>
              </w:rPr>
            </w:pPr>
          </w:p>
          <w:p w14:paraId="7476240B" w14:textId="581F71B3" w:rsidR="00E709E5" w:rsidRPr="000D756E" w:rsidRDefault="00E709E5" w:rsidP="00E709E5">
            <w:pPr>
              <w:jc w:val="right"/>
              <w:rPr>
                <w:rFonts w:ascii="Arial" w:hAnsi="Arial" w:cs="Arial"/>
                <w:b/>
                <w:sz w:val="22"/>
                <w:szCs w:val="22"/>
              </w:rPr>
            </w:pPr>
            <w:r w:rsidRPr="000D756E">
              <w:rPr>
                <w:rFonts w:ascii="Arial" w:hAnsi="Arial" w:cs="Arial"/>
                <w:b/>
                <w:sz w:val="22"/>
                <w:szCs w:val="22"/>
              </w:rPr>
              <w:t>£’000</w:t>
            </w:r>
          </w:p>
        </w:tc>
        <w:tc>
          <w:tcPr>
            <w:tcW w:w="1559" w:type="dxa"/>
          </w:tcPr>
          <w:p w14:paraId="15B4835D" w14:textId="77777777" w:rsidR="00E709E5" w:rsidRPr="000D756E" w:rsidRDefault="00E709E5" w:rsidP="00E709E5">
            <w:pPr>
              <w:jc w:val="right"/>
              <w:rPr>
                <w:rFonts w:ascii="Arial" w:hAnsi="Arial" w:cs="Arial"/>
                <w:b/>
                <w:sz w:val="22"/>
                <w:szCs w:val="22"/>
              </w:rPr>
            </w:pPr>
          </w:p>
          <w:p w14:paraId="49203265" w14:textId="77777777" w:rsidR="00E709E5" w:rsidRPr="000D756E" w:rsidRDefault="00E709E5" w:rsidP="00E709E5">
            <w:pPr>
              <w:rPr>
                <w:rFonts w:ascii="Arial" w:hAnsi="Arial" w:cs="Arial"/>
                <w:b/>
                <w:sz w:val="22"/>
                <w:szCs w:val="22"/>
              </w:rPr>
            </w:pPr>
          </w:p>
          <w:p w14:paraId="733A1B97" w14:textId="77777777" w:rsidR="00E709E5" w:rsidRPr="000D756E" w:rsidRDefault="00E709E5" w:rsidP="00E709E5">
            <w:pPr>
              <w:jc w:val="right"/>
              <w:rPr>
                <w:rFonts w:ascii="Arial" w:hAnsi="Arial" w:cs="Arial"/>
                <w:b/>
                <w:sz w:val="22"/>
                <w:szCs w:val="22"/>
              </w:rPr>
            </w:pPr>
          </w:p>
          <w:p w14:paraId="174153F6" w14:textId="77777777" w:rsidR="00E709E5" w:rsidRPr="000D756E" w:rsidRDefault="00E709E5" w:rsidP="00E709E5">
            <w:pPr>
              <w:jc w:val="right"/>
              <w:rPr>
                <w:rFonts w:ascii="Arial" w:hAnsi="Arial" w:cs="Arial"/>
                <w:b/>
                <w:sz w:val="22"/>
                <w:szCs w:val="22"/>
              </w:rPr>
            </w:pPr>
            <w:r w:rsidRPr="000D756E">
              <w:rPr>
                <w:rFonts w:ascii="Arial" w:hAnsi="Arial" w:cs="Arial"/>
                <w:b/>
                <w:sz w:val="22"/>
                <w:szCs w:val="22"/>
              </w:rPr>
              <w:t>Other differ-ences</w:t>
            </w:r>
          </w:p>
          <w:p w14:paraId="403ED19E" w14:textId="77777777" w:rsidR="00E709E5" w:rsidRPr="000D756E" w:rsidRDefault="00E709E5" w:rsidP="00E709E5">
            <w:pPr>
              <w:jc w:val="right"/>
              <w:rPr>
                <w:rFonts w:ascii="Arial" w:hAnsi="Arial" w:cs="Arial"/>
                <w:b/>
                <w:sz w:val="22"/>
                <w:szCs w:val="22"/>
              </w:rPr>
            </w:pPr>
          </w:p>
          <w:p w14:paraId="5A9D1361" w14:textId="77777777" w:rsidR="00C368AA" w:rsidRPr="000D756E" w:rsidRDefault="00C368AA" w:rsidP="00E709E5">
            <w:pPr>
              <w:jc w:val="right"/>
              <w:rPr>
                <w:rFonts w:ascii="Arial" w:hAnsi="Arial" w:cs="Arial"/>
                <w:b/>
                <w:sz w:val="22"/>
                <w:szCs w:val="22"/>
              </w:rPr>
            </w:pPr>
          </w:p>
          <w:p w14:paraId="40331D9F" w14:textId="04B97A7F" w:rsidR="00E709E5" w:rsidRPr="000D756E" w:rsidRDefault="00E709E5" w:rsidP="00E709E5">
            <w:pPr>
              <w:jc w:val="right"/>
              <w:rPr>
                <w:rFonts w:ascii="Arial" w:hAnsi="Arial" w:cs="Arial"/>
                <w:b/>
                <w:sz w:val="22"/>
                <w:szCs w:val="22"/>
              </w:rPr>
            </w:pPr>
            <w:r w:rsidRPr="000D756E">
              <w:rPr>
                <w:rFonts w:ascii="Arial" w:hAnsi="Arial" w:cs="Arial"/>
                <w:b/>
                <w:sz w:val="22"/>
                <w:szCs w:val="22"/>
              </w:rPr>
              <w:t>£’000</w:t>
            </w:r>
          </w:p>
        </w:tc>
        <w:tc>
          <w:tcPr>
            <w:tcW w:w="1559" w:type="dxa"/>
          </w:tcPr>
          <w:p w14:paraId="2C9B5892" w14:textId="77777777" w:rsidR="00E709E5" w:rsidRPr="000D756E" w:rsidRDefault="00E709E5" w:rsidP="00E709E5">
            <w:pPr>
              <w:rPr>
                <w:rFonts w:ascii="Arial" w:hAnsi="Arial" w:cs="Arial"/>
                <w:b/>
                <w:sz w:val="22"/>
                <w:szCs w:val="22"/>
              </w:rPr>
            </w:pPr>
          </w:p>
          <w:p w14:paraId="5EA1B4F9" w14:textId="77777777" w:rsidR="00E709E5" w:rsidRPr="000D756E" w:rsidRDefault="00E709E5" w:rsidP="00E709E5">
            <w:pPr>
              <w:jc w:val="right"/>
              <w:rPr>
                <w:rFonts w:ascii="Arial" w:hAnsi="Arial" w:cs="Arial"/>
                <w:b/>
                <w:sz w:val="22"/>
                <w:szCs w:val="22"/>
              </w:rPr>
            </w:pPr>
            <w:r w:rsidRPr="000D756E">
              <w:rPr>
                <w:rFonts w:ascii="Arial" w:hAnsi="Arial" w:cs="Arial"/>
                <w:b/>
                <w:sz w:val="22"/>
                <w:szCs w:val="22"/>
              </w:rPr>
              <w:t>Total</w:t>
            </w:r>
          </w:p>
          <w:p w14:paraId="6E6CB178" w14:textId="603C4747" w:rsidR="00E709E5" w:rsidRPr="000D756E" w:rsidRDefault="00E709E5" w:rsidP="00C368AA">
            <w:pPr>
              <w:jc w:val="right"/>
              <w:rPr>
                <w:rFonts w:ascii="Arial" w:hAnsi="Arial" w:cs="Arial"/>
                <w:b/>
                <w:sz w:val="22"/>
                <w:szCs w:val="22"/>
              </w:rPr>
            </w:pPr>
            <w:r w:rsidRPr="000D756E">
              <w:rPr>
                <w:rFonts w:ascii="Arial" w:hAnsi="Arial" w:cs="Arial"/>
                <w:b/>
                <w:sz w:val="22"/>
                <w:szCs w:val="22"/>
              </w:rPr>
              <w:t>adjustment between funding and accounting basis</w:t>
            </w:r>
          </w:p>
          <w:p w14:paraId="75D7B446" w14:textId="5AE147BF" w:rsidR="00E709E5" w:rsidRPr="000D756E" w:rsidRDefault="00E709E5" w:rsidP="00E709E5">
            <w:pPr>
              <w:jc w:val="right"/>
              <w:rPr>
                <w:rFonts w:ascii="Arial" w:hAnsi="Arial" w:cs="Arial"/>
                <w:b/>
                <w:sz w:val="22"/>
                <w:szCs w:val="22"/>
              </w:rPr>
            </w:pPr>
            <w:r w:rsidRPr="000D756E">
              <w:rPr>
                <w:rFonts w:ascii="Arial" w:hAnsi="Arial" w:cs="Arial"/>
                <w:b/>
                <w:sz w:val="22"/>
                <w:szCs w:val="22"/>
              </w:rPr>
              <w:t>£’000</w:t>
            </w:r>
          </w:p>
        </w:tc>
      </w:tr>
      <w:tr w:rsidR="006071DF" w:rsidRPr="000D756E" w14:paraId="20C89DD1" w14:textId="77777777" w:rsidTr="005D6499">
        <w:tc>
          <w:tcPr>
            <w:tcW w:w="2269" w:type="dxa"/>
          </w:tcPr>
          <w:p w14:paraId="7F5C8E1D" w14:textId="47D26672" w:rsidR="00AC73B4" w:rsidRPr="000D756E" w:rsidRDefault="00AC73B4" w:rsidP="00AC73B4">
            <w:pPr>
              <w:rPr>
                <w:rFonts w:ascii="Arial" w:hAnsi="Arial" w:cs="Arial"/>
                <w:sz w:val="22"/>
                <w:szCs w:val="22"/>
              </w:rPr>
            </w:pPr>
            <w:r w:rsidRPr="000D756E">
              <w:rPr>
                <w:rFonts w:ascii="Arial" w:hAnsi="Arial" w:cs="Arial"/>
                <w:sz w:val="22"/>
                <w:szCs w:val="22"/>
              </w:rPr>
              <w:t>Conts to reserves</w:t>
            </w:r>
          </w:p>
        </w:tc>
        <w:tc>
          <w:tcPr>
            <w:tcW w:w="1701" w:type="dxa"/>
          </w:tcPr>
          <w:p w14:paraId="1CC4E18D" w14:textId="0D47CD56" w:rsidR="00AC73B4" w:rsidRPr="000D756E" w:rsidRDefault="00AC73B4" w:rsidP="00AC73B4">
            <w:pPr>
              <w:jc w:val="right"/>
              <w:rPr>
                <w:rFonts w:ascii="Arial" w:hAnsi="Arial" w:cs="Arial"/>
                <w:sz w:val="22"/>
                <w:szCs w:val="22"/>
              </w:rPr>
            </w:pPr>
            <w:r w:rsidRPr="000D756E">
              <w:rPr>
                <w:rFonts w:ascii="Arial" w:hAnsi="Arial" w:cs="Arial"/>
                <w:sz w:val="22"/>
                <w:szCs w:val="22"/>
              </w:rPr>
              <w:t>1,691</w:t>
            </w:r>
          </w:p>
        </w:tc>
        <w:tc>
          <w:tcPr>
            <w:tcW w:w="1417" w:type="dxa"/>
          </w:tcPr>
          <w:p w14:paraId="480DB12B" w14:textId="77777777" w:rsidR="00AC73B4" w:rsidRPr="000D756E" w:rsidRDefault="00AC73B4" w:rsidP="00AC73B4">
            <w:pPr>
              <w:jc w:val="right"/>
              <w:rPr>
                <w:rFonts w:ascii="Arial" w:hAnsi="Arial" w:cs="Arial"/>
                <w:sz w:val="22"/>
                <w:szCs w:val="22"/>
              </w:rPr>
            </w:pPr>
          </w:p>
        </w:tc>
        <w:tc>
          <w:tcPr>
            <w:tcW w:w="1418" w:type="dxa"/>
          </w:tcPr>
          <w:p w14:paraId="50529B62" w14:textId="77777777" w:rsidR="00AC73B4" w:rsidRPr="000D756E" w:rsidRDefault="00AC73B4" w:rsidP="00AC73B4">
            <w:pPr>
              <w:jc w:val="right"/>
              <w:rPr>
                <w:rFonts w:ascii="Arial" w:hAnsi="Arial" w:cs="Arial"/>
                <w:sz w:val="22"/>
                <w:szCs w:val="22"/>
              </w:rPr>
            </w:pPr>
          </w:p>
        </w:tc>
        <w:tc>
          <w:tcPr>
            <w:tcW w:w="1559" w:type="dxa"/>
          </w:tcPr>
          <w:p w14:paraId="0C1FD380" w14:textId="77777777" w:rsidR="00AC73B4" w:rsidRPr="000D756E" w:rsidRDefault="00AC73B4" w:rsidP="00AC73B4">
            <w:pPr>
              <w:jc w:val="right"/>
              <w:rPr>
                <w:rFonts w:ascii="Arial" w:hAnsi="Arial" w:cs="Arial"/>
                <w:sz w:val="22"/>
                <w:szCs w:val="22"/>
              </w:rPr>
            </w:pPr>
          </w:p>
        </w:tc>
        <w:tc>
          <w:tcPr>
            <w:tcW w:w="1559" w:type="dxa"/>
          </w:tcPr>
          <w:p w14:paraId="3C018142" w14:textId="77777777" w:rsidR="00AC73B4" w:rsidRPr="000D756E" w:rsidRDefault="00AC73B4" w:rsidP="00AC73B4">
            <w:pPr>
              <w:jc w:val="right"/>
              <w:rPr>
                <w:rFonts w:ascii="Arial" w:hAnsi="Arial" w:cs="Arial"/>
                <w:b/>
                <w:sz w:val="22"/>
                <w:szCs w:val="22"/>
              </w:rPr>
            </w:pPr>
          </w:p>
        </w:tc>
      </w:tr>
      <w:tr w:rsidR="006071DF" w:rsidRPr="000D756E" w14:paraId="0E242438" w14:textId="77777777" w:rsidTr="005D6499">
        <w:tc>
          <w:tcPr>
            <w:tcW w:w="2269" w:type="dxa"/>
          </w:tcPr>
          <w:p w14:paraId="4B5B106D" w14:textId="063E64A8" w:rsidR="00AC73B4" w:rsidRPr="000D756E" w:rsidRDefault="00AC73B4" w:rsidP="00AC73B4">
            <w:pPr>
              <w:rPr>
                <w:rFonts w:ascii="Arial" w:hAnsi="Arial" w:cs="Arial"/>
                <w:sz w:val="22"/>
                <w:szCs w:val="22"/>
              </w:rPr>
            </w:pPr>
            <w:r w:rsidRPr="000D756E">
              <w:rPr>
                <w:rFonts w:ascii="Arial" w:hAnsi="Arial" w:cs="Arial"/>
                <w:sz w:val="22"/>
                <w:szCs w:val="22"/>
              </w:rPr>
              <w:t>External interest</w:t>
            </w:r>
          </w:p>
        </w:tc>
        <w:tc>
          <w:tcPr>
            <w:tcW w:w="1701" w:type="dxa"/>
          </w:tcPr>
          <w:p w14:paraId="7F91F398" w14:textId="24F4BA8C" w:rsidR="00AC73B4" w:rsidRPr="000D756E" w:rsidRDefault="00AC73B4" w:rsidP="00AC73B4">
            <w:pPr>
              <w:jc w:val="right"/>
              <w:rPr>
                <w:rFonts w:ascii="Arial" w:hAnsi="Arial" w:cs="Arial"/>
                <w:sz w:val="22"/>
                <w:szCs w:val="22"/>
              </w:rPr>
            </w:pPr>
            <w:r w:rsidRPr="000D756E">
              <w:rPr>
                <w:rFonts w:ascii="Arial" w:hAnsi="Arial" w:cs="Arial"/>
                <w:sz w:val="22"/>
                <w:szCs w:val="22"/>
              </w:rPr>
              <w:t>-234</w:t>
            </w:r>
          </w:p>
        </w:tc>
        <w:tc>
          <w:tcPr>
            <w:tcW w:w="1417" w:type="dxa"/>
          </w:tcPr>
          <w:p w14:paraId="1D3B11CC" w14:textId="77777777" w:rsidR="00AC73B4" w:rsidRPr="000D756E" w:rsidRDefault="00AC73B4" w:rsidP="00AC73B4">
            <w:pPr>
              <w:jc w:val="right"/>
              <w:rPr>
                <w:rFonts w:ascii="Arial" w:hAnsi="Arial" w:cs="Arial"/>
                <w:sz w:val="22"/>
                <w:szCs w:val="22"/>
              </w:rPr>
            </w:pPr>
          </w:p>
        </w:tc>
        <w:tc>
          <w:tcPr>
            <w:tcW w:w="1418" w:type="dxa"/>
          </w:tcPr>
          <w:p w14:paraId="7E267115" w14:textId="77777777" w:rsidR="00AC73B4" w:rsidRPr="000D756E" w:rsidRDefault="00AC73B4" w:rsidP="00AC73B4">
            <w:pPr>
              <w:jc w:val="right"/>
              <w:rPr>
                <w:rFonts w:ascii="Arial" w:hAnsi="Arial" w:cs="Arial"/>
                <w:sz w:val="22"/>
                <w:szCs w:val="22"/>
              </w:rPr>
            </w:pPr>
          </w:p>
        </w:tc>
        <w:tc>
          <w:tcPr>
            <w:tcW w:w="1559" w:type="dxa"/>
          </w:tcPr>
          <w:p w14:paraId="23CD38C1" w14:textId="77777777" w:rsidR="00AC73B4" w:rsidRPr="000D756E" w:rsidRDefault="00AC73B4" w:rsidP="00AC73B4">
            <w:pPr>
              <w:jc w:val="right"/>
              <w:rPr>
                <w:rFonts w:ascii="Arial" w:hAnsi="Arial" w:cs="Arial"/>
                <w:sz w:val="22"/>
                <w:szCs w:val="22"/>
              </w:rPr>
            </w:pPr>
          </w:p>
        </w:tc>
        <w:tc>
          <w:tcPr>
            <w:tcW w:w="1559" w:type="dxa"/>
          </w:tcPr>
          <w:p w14:paraId="1306FCFD" w14:textId="77777777" w:rsidR="00AC73B4" w:rsidRPr="000D756E" w:rsidRDefault="00AC73B4" w:rsidP="00AC73B4">
            <w:pPr>
              <w:jc w:val="right"/>
              <w:rPr>
                <w:rFonts w:ascii="Arial" w:hAnsi="Arial" w:cs="Arial"/>
                <w:b/>
                <w:sz w:val="22"/>
                <w:szCs w:val="22"/>
              </w:rPr>
            </w:pPr>
          </w:p>
        </w:tc>
      </w:tr>
      <w:tr w:rsidR="006071DF" w:rsidRPr="000D756E" w14:paraId="7CF383D4" w14:textId="77777777" w:rsidTr="005D6499">
        <w:tc>
          <w:tcPr>
            <w:tcW w:w="2269" w:type="dxa"/>
          </w:tcPr>
          <w:p w14:paraId="1B8E3590" w14:textId="181D3EB7" w:rsidR="00AC73B4" w:rsidRPr="000D756E" w:rsidRDefault="00AC73B4" w:rsidP="00AC73B4">
            <w:pPr>
              <w:rPr>
                <w:rFonts w:ascii="Arial" w:hAnsi="Arial" w:cs="Arial"/>
                <w:sz w:val="22"/>
                <w:szCs w:val="22"/>
              </w:rPr>
            </w:pPr>
            <w:r w:rsidRPr="000D756E">
              <w:rPr>
                <w:rFonts w:ascii="Arial" w:hAnsi="Arial" w:cs="Arial"/>
                <w:sz w:val="22"/>
                <w:szCs w:val="22"/>
              </w:rPr>
              <w:t>Invest income</w:t>
            </w:r>
          </w:p>
        </w:tc>
        <w:tc>
          <w:tcPr>
            <w:tcW w:w="1701" w:type="dxa"/>
          </w:tcPr>
          <w:p w14:paraId="39A99826" w14:textId="72F4779C" w:rsidR="00AC73B4" w:rsidRPr="000D756E" w:rsidRDefault="00AC73B4" w:rsidP="00AC73B4">
            <w:pPr>
              <w:jc w:val="right"/>
              <w:rPr>
                <w:rFonts w:ascii="Arial" w:hAnsi="Arial" w:cs="Arial"/>
                <w:sz w:val="22"/>
                <w:szCs w:val="22"/>
              </w:rPr>
            </w:pPr>
            <w:r w:rsidRPr="000D756E">
              <w:rPr>
                <w:rFonts w:ascii="Arial" w:hAnsi="Arial" w:cs="Arial"/>
                <w:sz w:val="22"/>
                <w:szCs w:val="22"/>
              </w:rPr>
              <w:t>543</w:t>
            </w:r>
          </w:p>
        </w:tc>
        <w:tc>
          <w:tcPr>
            <w:tcW w:w="1417" w:type="dxa"/>
          </w:tcPr>
          <w:p w14:paraId="3A3EC48B" w14:textId="77777777" w:rsidR="00AC73B4" w:rsidRPr="000D756E" w:rsidRDefault="00AC73B4" w:rsidP="00AC73B4">
            <w:pPr>
              <w:jc w:val="right"/>
              <w:rPr>
                <w:rFonts w:ascii="Arial" w:hAnsi="Arial" w:cs="Arial"/>
                <w:sz w:val="22"/>
                <w:szCs w:val="22"/>
              </w:rPr>
            </w:pPr>
          </w:p>
        </w:tc>
        <w:tc>
          <w:tcPr>
            <w:tcW w:w="1418" w:type="dxa"/>
          </w:tcPr>
          <w:p w14:paraId="1506E110" w14:textId="77777777" w:rsidR="00AC73B4" w:rsidRPr="000D756E" w:rsidRDefault="00AC73B4" w:rsidP="00AC73B4">
            <w:pPr>
              <w:jc w:val="right"/>
              <w:rPr>
                <w:rFonts w:ascii="Arial" w:hAnsi="Arial" w:cs="Arial"/>
                <w:sz w:val="22"/>
                <w:szCs w:val="22"/>
              </w:rPr>
            </w:pPr>
          </w:p>
        </w:tc>
        <w:tc>
          <w:tcPr>
            <w:tcW w:w="1559" w:type="dxa"/>
          </w:tcPr>
          <w:p w14:paraId="43F4F11D" w14:textId="77777777" w:rsidR="00AC73B4" w:rsidRPr="000D756E" w:rsidRDefault="00AC73B4" w:rsidP="00AC73B4">
            <w:pPr>
              <w:jc w:val="right"/>
              <w:rPr>
                <w:rFonts w:ascii="Arial" w:hAnsi="Arial" w:cs="Arial"/>
                <w:sz w:val="22"/>
                <w:szCs w:val="22"/>
              </w:rPr>
            </w:pPr>
          </w:p>
        </w:tc>
        <w:tc>
          <w:tcPr>
            <w:tcW w:w="1559" w:type="dxa"/>
          </w:tcPr>
          <w:p w14:paraId="26D2B842" w14:textId="77777777" w:rsidR="00AC73B4" w:rsidRPr="000D756E" w:rsidRDefault="00AC73B4" w:rsidP="00AC73B4">
            <w:pPr>
              <w:jc w:val="right"/>
              <w:rPr>
                <w:rFonts w:ascii="Arial" w:hAnsi="Arial" w:cs="Arial"/>
                <w:b/>
                <w:sz w:val="22"/>
                <w:szCs w:val="22"/>
              </w:rPr>
            </w:pPr>
          </w:p>
        </w:tc>
      </w:tr>
      <w:tr w:rsidR="006071DF" w:rsidRPr="000D756E" w14:paraId="58C15EE4" w14:textId="77777777" w:rsidTr="005D6499">
        <w:tc>
          <w:tcPr>
            <w:tcW w:w="2269" w:type="dxa"/>
          </w:tcPr>
          <w:p w14:paraId="251563A3" w14:textId="5ABC7B4D" w:rsidR="00AC73B4" w:rsidRPr="000D756E" w:rsidRDefault="00AC73B4" w:rsidP="00AC73B4">
            <w:pPr>
              <w:rPr>
                <w:rFonts w:ascii="Arial" w:hAnsi="Arial" w:cs="Arial"/>
                <w:sz w:val="22"/>
                <w:szCs w:val="22"/>
              </w:rPr>
            </w:pPr>
            <w:r w:rsidRPr="000D756E">
              <w:rPr>
                <w:rFonts w:ascii="Arial" w:hAnsi="Arial" w:cs="Arial"/>
                <w:sz w:val="22"/>
                <w:szCs w:val="22"/>
              </w:rPr>
              <w:t>Government grant</w:t>
            </w:r>
          </w:p>
        </w:tc>
        <w:tc>
          <w:tcPr>
            <w:tcW w:w="1701" w:type="dxa"/>
          </w:tcPr>
          <w:p w14:paraId="409C355D" w14:textId="64D92D77" w:rsidR="00AC73B4" w:rsidRPr="000D756E" w:rsidRDefault="00AC73B4" w:rsidP="00AC73B4">
            <w:pPr>
              <w:jc w:val="right"/>
              <w:rPr>
                <w:rFonts w:ascii="Arial" w:hAnsi="Arial" w:cs="Arial"/>
                <w:sz w:val="22"/>
                <w:szCs w:val="22"/>
              </w:rPr>
            </w:pPr>
            <w:r w:rsidRPr="000D756E">
              <w:rPr>
                <w:rFonts w:ascii="Arial" w:hAnsi="Arial" w:cs="Arial"/>
                <w:sz w:val="22"/>
                <w:szCs w:val="22"/>
              </w:rPr>
              <w:t>1,128</w:t>
            </w:r>
          </w:p>
        </w:tc>
        <w:tc>
          <w:tcPr>
            <w:tcW w:w="1417" w:type="dxa"/>
          </w:tcPr>
          <w:p w14:paraId="43B7FFC2" w14:textId="77777777" w:rsidR="00AC73B4" w:rsidRPr="000D756E" w:rsidRDefault="00AC73B4" w:rsidP="00AC73B4">
            <w:pPr>
              <w:jc w:val="right"/>
              <w:rPr>
                <w:rFonts w:ascii="Arial" w:hAnsi="Arial" w:cs="Arial"/>
                <w:sz w:val="22"/>
                <w:szCs w:val="22"/>
              </w:rPr>
            </w:pPr>
          </w:p>
        </w:tc>
        <w:tc>
          <w:tcPr>
            <w:tcW w:w="1418" w:type="dxa"/>
          </w:tcPr>
          <w:p w14:paraId="04DBA08E" w14:textId="77777777" w:rsidR="00AC73B4" w:rsidRPr="000D756E" w:rsidRDefault="00AC73B4" w:rsidP="00AC73B4">
            <w:pPr>
              <w:jc w:val="right"/>
              <w:rPr>
                <w:rFonts w:ascii="Arial" w:hAnsi="Arial" w:cs="Arial"/>
                <w:sz w:val="22"/>
                <w:szCs w:val="22"/>
              </w:rPr>
            </w:pPr>
          </w:p>
        </w:tc>
        <w:tc>
          <w:tcPr>
            <w:tcW w:w="1559" w:type="dxa"/>
          </w:tcPr>
          <w:p w14:paraId="78AB0A59" w14:textId="77777777" w:rsidR="00AC73B4" w:rsidRPr="000D756E" w:rsidRDefault="00AC73B4" w:rsidP="00AC73B4">
            <w:pPr>
              <w:jc w:val="right"/>
              <w:rPr>
                <w:rFonts w:ascii="Arial" w:hAnsi="Arial" w:cs="Arial"/>
                <w:sz w:val="22"/>
                <w:szCs w:val="22"/>
              </w:rPr>
            </w:pPr>
          </w:p>
        </w:tc>
        <w:tc>
          <w:tcPr>
            <w:tcW w:w="1559" w:type="dxa"/>
          </w:tcPr>
          <w:p w14:paraId="54B90353" w14:textId="77777777" w:rsidR="00AC73B4" w:rsidRPr="000D756E" w:rsidRDefault="00AC73B4" w:rsidP="00AC73B4">
            <w:pPr>
              <w:jc w:val="right"/>
              <w:rPr>
                <w:rFonts w:ascii="Arial" w:hAnsi="Arial" w:cs="Arial"/>
                <w:b/>
                <w:sz w:val="22"/>
                <w:szCs w:val="22"/>
              </w:rPr>
            </w:pPr>
          </w:p>
        </w:tc>
      </w:tr>
      <w:tr w:rsidR="006071DF" w:rsidRPr="000D756E" w14:paraId="46049A65" w14:textId="77777777" w:rsidTr="005D6499">
        <w:tc>
          <w:tcPr>
            <w:tcW w:w="2269" w:type="dxa"/>
          </w:tcPr>
          <w:p w14:paraId="0D624592" w14:textId="467521CF" w:rsidR="00AC73B4" w:rsidRPr="000D756E" w:rsidRDefault="00AC73B4" w:rsidP="00AC73B4">
            <w:pPr>
              <w:rPr>
                <w:rFonts w:ascii="Arial" w:hAnsi="Arial" w:cs="Arial"/>
                <w:sz w:val="22"/>
                <w:szCs w:val="22"/>
              </w:rPr>
            </w:pPr>
            <w:r w:rsidRPr="000D756E">
              <w:rPr>
                <w:rFonts w:ascii="Arial" w:hAnsi="Arial" w:cs="Arial"/>
                <w:sz w:val="22"/>
                <w:szCs w:val="22"/>
              </w:rPr>
              <w:t>Capital grant</w:t>
            </w:r>
          </w:p>
        </w:tc>
        <w:tc>
          <w:tcPr>
            <w:tcW w:w="1701" w:type="dxa"/>
          </w:tcPr>
          <w:p w14:paraId="0E13A55E" w14:textId="1CA9F82B" w:rsidR="00AC73B4" w:rsidRPr="000D756E" w:rsidRDefault="00AC73B4" w:rsidP="00AC73B4">
            <w:pPr>
              <w:jc w:val="right"/>
              <w:rPr>
                <w:rFonts w:ascii="Arial" w:hAnsi="Arial" w:cs="Arial"/>
                <w:sz w:val="22"/>
                <w:szCs w:val="22"/>
              </w:rPr>
            </w:pPr>
            <w:r w:rsidRPr="000D756E">
              <w:rPr>
                <w:rFonts w:ascii="Arial" w:hAnsi="Arial" w:cs="Arial"/>
                <w:sz w:val="22"/>
                <w:szCs w:val="22"/>
              </w:rPr>
              <w:t>0</w:t>
            </w:r>
          </w:p>
        </w:tc>
        <w:tc>
          <w:tcPr>
            <w:tcW w:w="1417" w:type="dxa"/>
          </w:tcPr>
          <w:p w14:paraId="22BBCAE3" w14:textId="77777777" w:rsidR="00AC73B4" w:rsidRPr="000D756E" w:rsidRDefault="00AC73B4" w:rsidP="00AC73B4">
            <w:pPr>
              <w:jc w:val="right"/>
              <w:rPr>
                <w:rFonts w:ascii="Arial" w:hAnsi="Arial" w:cs="Arial"/>
                <w:sz w:val="22"/>
                <w:szCs w:val="22"/>
              </w:rPr>
            </w:pPr>
          </w:p>
        </w:tc>
        <w:tc>
          <w:tcPr>
            <w:tcW w:w="1418" w:type="dxa"/>
          </w:tcPr>
          <w:p w14:paraId="196321BC" w14:textId="77777777" w:rsidR="00AC73B4" w:rsidRPr="000D756E" w:rsidRDefault="00AC73B4" w:rsidP="00AC73B4">
            <w:pPr>
              <w:jc w:val="right"/>
              <w:rPr>
                <w:rFonts w:ascii="Arial" w:hAnsi="Arial" w:cs="Arial"/>
                <w:sz w:val="22"/>
                <w:szCs w:val="22"/>
              </w:rPr>
            </w:pPr>
          </w:p>
        </w:tc>
        <w:tc>
          <w:tcPr>
            <w:tcW w:w="1559" w:type="dxa"/>
          </w:tcPr>
          <w:p w14:paraId="0B11F6C7" w14:textId="77777777" w:rsidR="00AC73B4" w:rsidRPr="000D756E" w:rsidRDefault="00AC73B4" w:rsidP="00AC73B4">
            <w:pPr>
              <w:jc w:val="right"/>
              <w:rPr>
                <w:rFonts w:ascii="Arial" w:hAnsi="Arial" w:cs="Arial"/>
                <w:sz w:val="22"/>
                <w:szCs w:val="22"/>
              </w:rPr>
            </w:pPr>
          </w:p>
        </w:tc>
        <w:tc>
          <w:tcPr>
            <w:tcW w:w="1559" w:type="dxa"/>
          </w:tcPr>
          <w:p w14:paraId="4B34DCBA" w14:textId="77777777" w:rsidR="00AC73B4" w:rsidRPr="000D756E" w:rsidRDefault="00AC73B4" w:rsidP="00AC73B4">
            <w:pPr>
              <w:jc w:val="right"/>
              <w:rPr>
                <w:rFonts w:ascii="Arial" w:hAnsi="Arial" w:cs="Arial"/>
                <w:b/>
                <w:sz w:val="22"/>
                <w:szCs w:val="22"/>
              </w:rPr>
            </w:pPr>
          </w:p>
        </w:tc>
      </w:tr>
      <w:tr w:rsidR="006071DF" w:rsidRPr="000D756E" w14:paraId="1EEA9A1D" w14:textId="77777777" w:rsidTr="005D6499">
        <w:tc>
          <w:tcPr>
            <w:tcW w:w="2269" w:type="dxa"/>
          </w:tcPr>
          <w:p w14:paraId="33A959BE" w14:textId="5450DB17" w:rsidR="00AC73B4" w:rsidRPr="00AC73B4" w:rsidRDefault="00AC73B4" w:rsidP="00AC73B4">
            <w:pPr>
              <w:rPr>
                <w:rFonts w:ascii="Arial" w:hAnsi="Arial" w:cs="Arial"/>
                <w:bCs/>
                <w:sz w:val="22"/>
                <w:szCs w:val="22"/>
              </w:rPr>
            </w:pPr>
            <w:r w:rsidRPr="00AC73B4">
              <w:rPr>
                <w:rFonts w:ascii="Arial" w:hAnsi="Arial" w:cs="Arial"/>
                <w:bCs/>
                <w:sz w:val="22"/>
                <w:szCs w:val="22"/>
              </w:rPr>
              <w:t>Disposals income</w:t>
            </w:r>
          </w:p>
        </w:tc>
        <w:tc>
          <w:tcPr>
            <w:tcW w:w="1701" w:type="dxa"/>
          </w:tcPr>
          <w:p w14:paraId="02E493C9" w14:textId="3FA24A22" w:rsidR="00AC73B4" w:rsidRPr="000D756E" w:rsidRDefault="00AC73B4" w:rsidP="00AC73B4">
            <w:pPr>
              <w:jc w:val="right"/>
              <w:rPr>
                <w:rFonts w:ascii="Arial" w:hAnsi="Arial" w:cs="Arial"/>
                <w:b/>
                <w:sz w:val="22"/>
                <w:szCs w:val="22"/>
              </w:rPr>
            </w:pPr>
            <w:r w:rsidRPr="000D756E">
              <w:rPr>
                <w:rFonts w:ascii="Arial" w:hAnsi="Arial" w:cs="Arial"/>
                <w:sz w:val="22"/>
                <w:szCs w:val="22"/>
              </w:rPr>
              <w:t>135</w:t>
            </w:r>
          </w:p>
        </w:tc>
        <w:tc>
          <w:tcPr>
            <w:tcW w:w="1417" w:type="dxa"/>
          </w:tcPr>
          <w:p w14:paraId="16063D9F" w14:textId="77777777" w:rsidR="00AC73B4" w:rsidRPr="000D756E" w:rsidRDefault="00AC73B4" w:rsidP="00AC73B4">
            <w:pPr>
              <w:jc w:val="right"/>
              <w:rPr>
                <w:rFonts w:ascii="Arial" w:hAnsi="Arial" w:cs="Arial"/>
                <w:sz w:val="22"/>
                <w:szCs w:val="22"/>
              </w:rPr>
            </w:pPr>
          </w:p>
        </w:tc>
        <w:tc>
          <w:tcPr>
            <w:tcW w:w="1418" w:type="dxa"/>
          </w:tcPr>
          <w:p w14:paraId="0876A7B4" w14:textId="77777777" w:rsidR="00AC73B4" w:rsidRPr="000D756E" w:rsidRDefault="00AC73B4" w:rsidP="00AC73B4">
            <w:pPr>
              <w:jc w:val="right"/>
              <w:rPr>
                <w:rFonts w:ascii="Arial" w:hAnsi="Arial" w:cs="Arial"/>
                <w:sz w:val="22"/>
                <w:szCs w:val="22"/>
              </w:rPr>
            </w:pPr>
          </w:p>
        </w:tc>
        <w:tc>
          <w:tcPr>
            <w:tcW w:w="1559" w:type="dxa"/>
          </w:tcPr>
          <w:p w14:paraId="4B0C4B94" w14:textId="77777777" w:rsidR="00AC73B4" w:rsidRPr="000D756E" w:rsidRDefault="00AC73B4" w:rsidP="00AC73B4">
            <w:pPr>
              <w:jc w:val="right"/>
              <w:rPr>
                <w:rFonts w:ascii="Arial" w:hAnsi="Arial" w:cs="Arial"/>
                <w:sz w:val="22"/>
                <w:szCs w:val="22"/>
              </w:rPr>
            </w:pPr>
          </w:p>
        </w:tc>
        <w:tc>
          <w:tcPr>
            <w:tcW w:w="1559" w:type="dxa"/>
          </w:tcPr>
          <w:p w14:paraId="31BC4688" w14:textId="77777777" w:rsidR="00AC73B4" w:rsidRPr="000D756E" w:rsidRDefault="00AC73B4" w:rsidP="00AC73B4">
            <w:pPr>
              <w:jc w:val="right"/>
              <w:rPr>
                <w:rFonts w:ascii="Arial" w:hAnsi="Arial" w:cs="Arial"/>
                <w:b/>
                <w:sz w:val="22"/>
                <w:szCs w:val="22"/>
              </w:rPr>
            </w:pPr>
          </w:p>
        </w:tc>
      </w:tr>
      <w:tr w:rsidR="006071DF" w:rsidRPr="000D756E" w14:paraId="19E78FBE" w14:textId="77777777" w:rsidTr="005D6499">
        <w:tc>
          <w:tcPr>
            <w:tcW w:w="2269" w:type="dxa"/>
          </w:tcPr>
          <w:p w14:paraId="7633603B" w14:textId="77777777" w:rsidR="00AC73B4" w:rsidRPr="000D756E" w:rsidRDefault="00AC73B4" w:rsidP="00AC73B4">
            <w:pPr>
              <w:rPr>
                <w:rFonts w:ascii="Arial" w:hAnsi="Arial" w:cs="Arial"/>
                <w:b/>
                <w:sz w:val="22"/>
                <w:szCs w:val="22"/>
              </w:rPr>
            </w:pPr>
          </w:p>
          <w:p w14:paraId="14A60710" w14:textId="2BFFA368" w:rsidR="00AC73B4" w:rsidRPr="000D756E" w:rsidRDefault="00AC73B4" w:rsidP="00AC73B4">
            <w:pPr>
              <w:rPr>
                <w:rFonts w:ascii="Arial" w:hAnsi="Arial" w:cs="Arial"/>
                <w:b/>
                <w:sz w:val="22"/>
                <w:szCs w:val="22"/>
              </w:rPr>
            </w:pPr>
            <w:r w:rsidRPr="000D756E">
              <w:rPr>
                <w:rFonts w:ascii="Arial" w:hAnsi="Arial" w:cs="Arial"/>
                <w:b/>
                <w:sz w:val="22"/>
                <w:szCs w:val="22"/>
              </w:rPr>
              <w:t>Total</w:t>
            </w:r>
          </w:p>
        </w:tc>
        <w:tc>
          <w:tcPr>
            <w:tcW w:w="1701" w:type="dxa"/>
          </w:tcPr>
          <w:p w14:paraId="19D4F37B" w14:textId="77777777" w:rsidR="00AC73B4" w:rsidRPr="000D756E" w:rsidRDefault="00AC73B4" w:rsidP="00AC73B4">
            <w:pPr>
              <w:jc w:val="right"/>
              <w:rPr>
                <w:rFonts w:ascii="Arial" w:hAnsi="Arial" w:cs="Arial"/>
                <w:b/>
                <w:sz w:val="22"/>
                <w:szCs w:val="22"/>
              </w:rPr>
            </w:pPr>
          </w:p>
          <w:p w14:paraId="31DE84E4" w14:textId="198D785F" w:rsidR="00AC73B4" w:rsidRPr="000D756E" w:rsidRDefault="00AC73B4" w:rsidP="00AC73B4">
            <w:pPr>
              <w:jc w:val="right"/>
              <w:rPr>
                <w:rFonts w:ascii="Arial" w:hAnsi="Arial" w:cs="Arial"/>
                <w:b/>
                <w:sz w:val="22"/>
                <w:szCs w:val="22"/>
              </w:rPr>
            </w:pPr>
            <w:r w:rsidRPr="000D756E">
              <w:rPr>
                <w:rFonts w:ascii="Arial" w:hAnsi="Arial" w:cs="Arial"/>
                <w:b/>
                <w:sz w:val="22"/>
                <w:szCs w:val="22"/>
              </w:rPr>
              <w:t>3,263</w:t>
            </w:r>
          </w:p>
        </w:tc>
        <w:tc>
          <w:tcPr>
            <w:tcW w:w="1417" w:type="dxa"/>
          </w:tcPr>
          <w:p w14:paraId="409CDEF8" w14:textId="77777777" w:rsidR="00AC73B4" w:rsidRPr="000D756E" w:rsidRDefault="00AC73B4" w:rsidP="00AC73B4">
            <w:pPr>
              <w:jc w:val="right"/>
              <w:rPr>
                <w:rFonts w:ascii="Arial" w:hAnsi="Arial" w:cs="Arial"/>
                <w:sz w:val="22"/>
                <w:szCs w:val="22"/>
              </w:rPr>
            </w:pPr>
          </w:p>
        </w:tc>
        <w:tc>
          <w:tcPr>
            <w:tcW w:w="1418" w:type="dxa"/>
          </w:tcPr>
          <w:p w14:paraId="5D229626" w14:textId="77777777" w:rsidR="00AC73B4" w:rsidRPr="000D756E" w:rsidRDefault="00AC73B4" w:rsidP="00AC73B4">
            <w:pPr>
              <w:jc w:val="right"/>
              <w:rPr>
                <w:rFonts w:ascii="Arial" w:hAnsi="Arial" w:cs="Arial"/>
                <w:sz w:val="22"/>
                <w:szCs w:val="22"/>
              </w:rPr>
            </w:pPr>
          </w:p>
        </w:tc>
        <w:tc>
          <w:tcPr>
            <w:tcW w:w="1559" w:type="dxa"/>
          </w:tcPr>
          <w:p w14:paraId="12E729A4" w14:textId="77777777" w:rsidR="00AC73B4" w:rsidRPr="000D756E" w:rsidRDefault="00AC73B4" w:rsidP="00AC73B4">
            <w:pPr>
              <w:jc w:val="right"/>
              <w:rPr>
                <w:rFonts w:ascii="Arial" w:hAnsi="Arial" w:cs="Arial"/>
                <w:sz w:val="22"/>
                <w:szCs w:val="22"/>
              </w:rPr>
            </w:pPr>
          </w:p>
        </w:tc>
        <w:tc>
          <w:tcPr>
            <w:tcW w:w="1559" w:type="dxa"/>
          </w:tcPr>
          <w:p w14:paraId="49353964" w14:textId="77777777" w:rsidR="00AC73B4" w:rsidRPr="000D756E" w:rsidRDefault="00AC73B4" w:rsidP="00AC73B4">
            <w:pPr>
              <w:jc w:val="right"/>
              <w:rPr>
                <w:rFonts w:ascii="Arial" w:hAnsi="Arial" w:cs="Arial"/>
                <w:b/>
                <w:sz w:val="22"/>
                <w:szCs w:val="22"/>
              </w:rPr>
            </w:pPr>
          </w:p>
        </w:tc>
      </w:tr>
      <w:tr w:rsidR="006071DF" w:rsidRPr="000D756E" w14:paraId="491D113E" w14:textId="77777777" w:rsidTr="005D6499">
        <w:tc>
          <w:tcPr>
            <w:tcW w:w="2269" w:type="dxa"/>
          </w:tcPr>
          <w:p w14:paraId="63821A67" w14:textId="4284F1B0" w:rsidR="00AC73B4" w:rsidRPr="000D756E" w:rsidRDefault="00AC73B4" w:rsidP="00AC73B4">
            <w:pPr>
              <w:rPr>
                <w:rFonts w:ascii="Arial" w:hAnsi="Arial" w:cs="Arial"/>
                <w:sz w:val="22"/>
                <w:szCs w:val="22"/>
              </w:rPr>
            </w:pPr>
            <w:r w:rsidRPr="000D756E">
              <w:rPr>
                <w:rFonts w:ascii="Arial" w:hAnsi="Arial" w:cs="Arial"/>
                <w:sz w:val="22"/>
                <w:szCs w:val="22"/>
              </w:rPr>
              <w:t>External interest</w:t>
            </w:r>
          </w:p>
        </w:tc>
        <w:tc>
          <w:tcPr>
            <w:tcW w:w="1701" w:type="dxa"/>
          </w:tcPr>
          <w:p w14:paraId="113BCBF8" w14:textId="00EC5AE0" w:rsidR="00AC73B4" w:rsidRPr="000D756E" w:rsidRDefault="00AC73B4" w:rsidP="00AC73B4">
            <w:pPr>
              <w:jc w:val="right"/>
              <w:rPr>
                <w:rFonts w:ascii="Arial" w:hAnsi="Arial" w:cs="Arial"/>
                <w:sz w:val="22"/>
                <w:szCs w:val="22"/>
              </w:rPr>
            </w:pPr>
            <w:r w:rsidRPr="000D756E">
              <w:rPr>
                <w:rFonts w:ascii="Arial" w:hAnsi="Arial" w:cs="Arial"/>
                <w:sz w:val="22"/>
                <w:szCs w:val="22"/>
              </w:rPr>
              <w:t>234</w:t>
            </w:r>
          </w:p>
        </w:tc>
        <w:tc>
          <w:tcPr>
            <w:tcW w:w="1417" w:type="dxa"/>
          </w:tcPr>
          <w:p w14:paraId="3E0CA7CF" w14:textId="77777777" w:rsidR="00AC73B4" w:rsidRPr="000D756E" w:rsidRDefault="00AC73B4" w:rsidP="00AC73B4">
            <w:pPr>
              <w:jc w:val="right"/>
              <w:rPr>
                <w:rFonts w:ascii="Arial" w:hAnsi="Arial" w:cs="Arial"/>
                <w:sz w:val="22"/>
                <w:szCs w:val="22"/>
              </w:rPr>
            </w:pPr>
          </w:p>
        </w:tc>
        <w:tc>
          <w:tcPr>
            <w:tcW w:w="1418" w:type="dxa"/>
          </w:tcPr>
          <w:p w14:paraId="068E8B51" w14:textId="77777777" w:rsidR="00AC73B4" w:rsidRPr="000D756E" w:rsidRDefault="00AC73B4" w:rsidP="00AC73B4">
            <w:pPr>
              <w:jc w:val="right"/>
              <w:rPr>
                <w:rFonts w:ascii="Arial" w:hAnsi="Arial" w:cs="Arial"/>
                <w:sz w:val="22"/>
                <w:szCs w:val="22"/>
              </w:rPr>
            </w:pPr>
          </w:p>
        </w:tc>
        <w:tc>
          <w:tcPr>
            <w:tcW w:w="1559" w:type="dxa"/>
          </w:tcPr>
          <w:p w14:paraId="2583511C" w14:textId="77777777" w:rsidR="00AC73B4" w:rsidRPr="000D756E" w:rsidRDefault="00AC73B4" w:rsidP="00AC73B4">
            <w:pPr>
              <w:jc w:val="right"/>
              <w:rPr>
                <w:rFonts w:ascii="Arial" w:hAnsi="Arial" w:cs="Arial"/>
                <w:sz w:val="22"/>
                <w:szCs w:val="22"/>
              </w:rPr>
            </w:pPr>
          </w:p>
        </w:tc>
        <w:tc>
          <w:tcPr>
            <w:tcW w:w="1559" w:type="dxa"/>
          </w:tcPr>
          <w:p w14:paraId="39CB58DE" w14:textId="77777777" w:rsidR="00AC73B4" w:rsidRPr="000D756E" w:rsidRDefault="00AC73B4" w:rsidP="00AC73B4">
            <w:pPr>
              <w:jc w:val="right"/>
              <w:rPr>
                <w:rFonts w:ascii="Arial" w:hAnsi="Arial" w:cs="Arial"/>
                <w:b/>
                <w:sz w:val="22"/>
                <w:szCs w:val="22"/>
              </w:rPr>
            </w:pPr>
          </w:p>
        </w:tc>
      </w:tr>
      <w:tr w:rsidR="006071DF" w:rsidRPr="000D756E" w14:paraId="73AADB10" w14:textId="77777777" w:rsidTr="005D6499">
        <w:tc>
          <w:tcPr>
            <w:tcW w:w="2269" w:type="dxa"/>
          </w:tcPr>
          <w:p w14:paraId="7B2B5422" w14:textId="7A82BB7C" w:rsidR="00AC73B4" w:rsidRPr="000D756E" w:rsidRDefault="00AC73B4" w:rsidP="00AC73B4">
            <w:pPr>
              <w:rPr>
                <w:rFonts w:ascii="Arial" w:hAnsi="Arial" w:cs="Arial"/>
                <w:sz w:val="22"/>
                <w:szCs w:val="22"/>
              </w:rPr>
            </w:pPr>
            <w:r w:rsidRPr="000D756E">
              <w:rPr>
                <w:rFonts w:ascii="Arial" w:hAnsi="Arial" w:cs="Arial"/>
                <w:sz w:val="22"/>
                <w:szCs w:val="22"/>
              </w:rPr>
              <w:t>Investment income</w:t>
            </w:r>
          </w:p>
        </w:tc>
        <w:tc>
          <w:tcPr>
            <w:tcW w:w="1701" w:type="dxa"/>
          </w:tcPr>
          <w:p w14:paraId="484789AC" w14:textId="35417014" w:rsidR="00AC73B4" w:rsidRPr="000D756E" w:rsidRDefault="00AC73B4" w:rsidP="00AC73B4">
            <w:pPr>
              <w:jc w:val="right"/>
              <w:rPr>
                <w:rFonts w:ascii="Arial" w:hAnsi="Arial" w:cs="Arial"/>
                <w:sz w:val="22"/>
                <w:szCs w:val="22"/>
              </w:rPr>
            </w:pPr>
            <w:r w:rsidRPr="000D756E">
              <w:rPr>
                <w:rFonts w:ascii="Arial" w:hAnsi="Arial" w:cs="Arial"/>
                <w:sz w:val="22"/>
                <w:szCs w:val="22"/>
              </w:rPr>
              <w:t>-543</w:t>
            </w:r>
          </w:p>
        </w:tc>
        <w:tc>
          <w:tcPr>
            <w:tcW w:w="1417" w:type="dxa"/>
          </w:tcPr>
          <w:p w14:paraId="7B7965EB" w14:textId="77777777" w:rsidR="00AC73B4" w:rsidRPr="000D756E" w:rsidRDefault="00AC73B4" w:rsidP="00AC73B4">
            <w:pPr>
              <w:jc w:val="right"/>
              <w:rPr>
                <w:rFonts w:ascii="Arial" w:hAnsi="Arial" w:cs="Arial"/>
                <w:sz w:val="22"/>
                <w:szCs w:val="22"/>
              </w:rPr>
            </w:pPr>
          </w:p>
        </w:tc>
        <w:tc>
          <w:tcPr>
            <w:tcW w:w="1418" w:type="dxa"/>
          </w:tcPr>
          <w:p w14:paraId="7B47F1C9" w14:textId="77777777" w:rsidR="00AC73B4" w:rsidRPr="000D756E" w:rsidRDefault="00AC73B4" w:rsidP="00AC73B4">
            <w:pPr>
              <w:jc w:val="right"/>
              <w:rPr>
                <w:rFonts w:ascii="Arial" w:hAnsi="Arial" w:cs="Arial"/>
                <w:sz w:val="22"/>
                <w:szCs w:val="22"/>
              </w:rPr>
            </w:pPr>
          </w:p>
        </w:tc>
        <w:tc>
          <w:tcPr>
            <w:tcW w:w="1559" w:type="dxa"/>
          </w:tcPr>
          <w:p w14:paraId="1213B152" w14:textId="77777777" w:rsidR="00AC73B4" w:rsidRPr="000D756E" w:rsidRDefault="00AC73B4" w:rsidP="00AC73B4">
            <w:pPr>
              <w:jc w:val="right"/>
              <w:rPr>
                <w:rFonts w:ascii="Arial" w:hAnsi="Arial" w:cs="Arial"/>
                <w:sz w:val="22"/>
                <w:szCs w:val="22"/>
              </w:rPr>
            </w:pPr>
          </w:p>
        </w:tc>
        <w:tc>
          <w:tcPr>
            <w:tcW w:w="1559" w:type="dxa"/>
          </w:tcPr>
          <w:p w14:paraId="18864FAA" w14:textId="77777777" w:rsidR="00AC73B4" w:rsidRPr="000D756E" w:rsidRDefault="00AC73B4" w:rsidP="00AC73B4">
            <w:pPr>
              <w:jc w:val="right"/>
              <w:rPr>
                <w:rFonts w:ascii="Arial" w:hAnsi="Arial" w:cs="Arial"/>
                <w:b/>
                <w:sz w:val="22"/>
                <w:szCs w:val="22"/>
              </w:rPr>
            </w:pPr>
          </w:p>
        </w:tc>
      </w:tr>
      <w:tr w:rsidR="006071DF" w:rsidRPr="000D756E" w14:paraId="60EF3473" w14:textId="77777777" w:rsidTr="005D6499">
        <w:tc>
          <w:tcPr>
            <w:tcW w:w="2269" w:type="dxa"/>
          </w:tcPr>
          <w:p w14:paraId="4501942C" w14:textId="512D3D6C" w:rsidR="00AC73B4" w:rsidRPr="000D756E" w:rsidRDefault="00AC73B4" w:rsidP="00AC73B4">
            <w:pPr>
              <w:rPr>
                <w:rFonts w:ascii="Arial" w:hAnsi="Arial" w:cs="Arial"/>
                <w:sz w:val="22"/>
                <w:szCs w:val="22"/>
              </w:rPr>
            </w:pPr>
            <w:r w:rsidRPr="000D756E">
              <w:rPr>
                <w:rFonts w:ascii="Arial" w:hAnsi="Arial" w:cs="Arial"/>
                <w:sz w:val="22"/>
                <w:szCs w:val="22"/>
              </w:rPr>
              <w:t>Precept and grants</w:t>
            </w:r>
          </w:p>
        </w:tc>
        <w:tc>
          <w:tcPr>
            <w:tcW w:w="1701" w:type="dxa"/>
          </w:tcPr>
          <w:p w14:paraId="689E3A8B" w14:textId="798E0ABE" w:rsidR="00AC73B4" w:rsidRPr="000D756E" w:rsidRDefault="00AC73B4" w:rsidP="00AC73B4">
            <w:pPr>
              <w:jc w:val="right"/>
              <w:rPr>
                <w:rFonts w:ascii="Arial" w:hAnsi="Arial" w:cs="Arial"/>
                <w:sz w:val="22"/>
                <w:szCs w:val="22"/>
              </w:rPr>
            </w:pPr>
            <w:r w:rsidRPr="000D756E">
              <w:rPr>
                <w:rFonts w:ascii="Arial" w:hAnsi="Arial" w:cs="Arial"/>
                <w:sz w:val="22"/>
                <w:szCs w:val="22"/>
              </w:rPr>
              <w:t>-27,729</w:t>
            </w:r>
          </w:p>
        </w:tc>
        <w:tc>
          <w:tcPr>
            <w:tcW w:w="1417" w:type="dxa"/>
          </w:tcPr>
          <w:p w14:paraId="1938C92E" w14:textId="77777777" w:rsidR="00AC73B4" w:rsidRPr="000D756E" w:rsidRDefault="00AC73B4" w:rsidP="00AC73B4">
            <w:pPr>
              <w:jc w:val="right"/>
              <w:rPr>
                <w:rFonts w:ascii="Arial" w:hAnsi="Arial" w:cs="Arial"/>
                <w:sz w:val="22"/>
                <w:szCs w:val="22"/>
              </w:rPr>
            </w:pPr>
          </w:p>
        </w:tc>
        <w:tc>
          <w:tcPr>
            <w:tcW w:w="1418" w:type="dxa"/>
          </w:tcPr>
          <w:p w14:paraId="328AA5A8" w14:textId="77777777" w:rsidR="00AC73B4" w:rsidRPr="000D756E" w:rsidRDefault="00AC73B4" w:rsidP="00AC73B4">
            <w:pPr>
              <w:jc w:val="right"/>
              <w:rPr>
                <w:rFonts w:ascii="Arial" w:hAnsi="Arial" w:cs="Arial"/>
                <w:sz w:val="22"/>
                <w:szCs w:val="22"/>
              </w:rPr>
            </w:pPr>
          </w:p>
        </w:tc>
        <w:tc>
          <w:tcPr>
            <w:tcW w:w="1559" w:type="dxa"/>
          </w:tcPr>
          <w:p w14:paraId="0C01DD80" w14:textId="77777777" w:rsidR="00AC73B4" w:rsidRPr="000D756E" w:rsidRDefault="00AC73B4" w:rsidP="00AC73B4">
            <w:pPr>
              <w:jc w:val="right"/>
              <w:rPr>
                <w:rFonts w:ascii="Arial" w:hAnsi="Arial" w:cs="Arial"/>
                <w:sz w:val="22"/>
                <w:szCs w:val="22"/>
              </w:rPr>
            </w:pPr>
          </w:p>
        </w:tc>
        <w:tc>
          <w:tcPr>
            <w:tcW w:w="1559" w:type="dxa"/>
          </w:tcPr>
          <w:p w14:paraId="3E9B2535" w14:textId="77777777" w:rsidR="00AC73B4" w:rsidRPr="000D756E" w:rsidRDefault="00AC73B4" w:rsidP="00AC73B4">
            <w:pPr>
              <w:jc w:val="right"/>
              <w:rPr>
                <w:rFonts w:ascii="Arial" w:hAnsi="Arial" w:cs="Arial"/>
                <w:b/>
                <w:sz w:val="22"/>
                <w:szCs w:val="22"/>
              </w:rPr>
            </w:pPr>
          </w:p>
        </w:tc>
      </w:tr>
      <w:tr w:rsidR="006071DF" w:rsidRPr="000D756E" w14:paraId="11BBA784" w14:textId="77777777" w:rsidTr="005D6499">
        <w:tc>
          <w:tcPr>
            <w:tcW w:w="2269" w:type="dxa"/>
          </w:tcPr>
          <w:p w14:paraId="53BC0395" w14:textId="77777777" w:rsidR="00AC73B4" w:rsidRPr="000D756E" w:rsidRDefault="00AC73B4" w:rsidP="00AC73B4">
            <w:pPr>
              <w:rPr>
                <w:rFonts w:ascii="Arial" w:hAnsi="Arial" w:cs="Arial"/>
                <w:sz w:val="22"/>
                <w:szCs w:val="22"/>
              </w:rPr>
            </w:pPr>
          </w:p>
        </w:tc>
        <w:tc>
          <w:tcPr>
            <w:tcW w:w="1701" w:type="dxa"/>
          </w:tcPr>
          <w:p w14:paraId="6EE242DE" w14:textId="77777777" w:rsidR="00AC73B4" w:rsidRPr="000D756E" w:rsidRDefault="00AC73B4" w:rsidP="00AC73B4">
            <w:pPr>
              <w:jc w:val="right"/>
              <w:rPr>
                <w:rFonts w:ascii="Arial" w:hAnsi="Arial" w:cs="Arial"/>
                <w:sz w:val="22"/>
                <w:szCs w:val="22"/>
              </w:rPr>
            </w:pPr>
          </w:p>
        </w:tc>
        <w:tc>
          <w:tcPr>
            <w:tcW w:w="1417" w:type="dxa"/>
          </w:tcPr>
          <w:p w14:paraId="792C3362" w14:textId="77777777" w:rsidR="00AC73B4" w:rsidRPr="000D756E" w:rsidRDefault="00AC73B4" w:rsidP="00AC73B4">
            <w:pPr>
              <w:jc w:val="right"/>
              <w:rPr>
                <w:rFonts w:ascii="Arial" w:hAnsi="Arial" w:cs="Arial"/>
                <w:sz w:val="22"/>
                <w:szCs w:val="22"/>
              </w:rPr>
            </w:pPr>
          </w:p>
        </w:tc>
        <w:tc>
          <w:tcPr>
            <w:tcW w:w="1418" w:type="dxa"/>
          </w:tcPr>
          <w:p w14:paraId="2FBC36CE" w14:textId="77777777" w:rsidR="00AC73B4" w:rsidRPr="000D756E" w:rsidRDefault="00AC73B4" w:rsidP="00AC73B4">
            <w:pPr>
              <w:jc w:val="right"/>
              <w:rPr>
                <w:rFonts w:ascii="Arial" w:hAnsi="Arial" w:cs="Arial"/>
                <w:sz w:val="22"/>
                <w:szCs w:val="22"/>
              </w:rPr>
            </w:pPr>
          </w:p>
        </w:tc>
        <w:tc>
          <w:tcPr>
            <w:tcW w:w="1559" w:type="dxa"/>
          </w:tcPr>
          <w:p w14:paraId="628F4E95" w14:textId="77777777" w:rsidR="00AC73B4" w:rsidRPr="000D756E" w:rsidRDefault="00AC73B4" w:rsidP="00AC73B4">
            <w:pPr>
              <w:jc w:val="right"/>
              <w:rPr>
                <w:rFonts w:ascii="Arial" w:hAnsi="Arial" w:cs="Arial"/>
                <w:sz w:val="22"/>
                <w:szCs w:val="22"/>
              </w:rPr>
            </w:pPr>
          </w:p>
        </w:tc>
        <w:tc>
          <w:tcPr>
            <w:tcW w:w="1559" w:type="dxa"/>
          </w:tcPr>
          <w:p w14:paraId="2EC68A7D" w14:textId="77777777" w:rsidR="00AC73B4" w:rsidRPr="000D756E" w:rsidRDefault="00AC73B4" w:rsidP="00AC73B4">
            <w:pPr>
              <w:jc w:val="right"/>
              <w:rPr>
                <w:rFonts w:ascii="Arial" w:hAnsi="Arial" w:cs="Arial"/>
                <w:b/>
                <w:sz w:val="22"/>
                <w:szCs w:val="22"/>
              </w:rPr>
            </w:pPr>
          </w:p>
        </w:tc>
      </w:tr>
      <w:tr w:rsidR="006071DF" w:rsidRPr="000D756E" w14:paraId="09071BCF" w14:textId="77777777" w:rsidTr="005D6499">
        <w:tc>
          <w:tcPr>
            <w:tcW w:w="2269" w:type="dxa"/>
          </w:tcPr>
          <w:p w14:paraId="67163F14" w14:textId="5C6DA274" w:rsidR="00AC73B4" w:rsidRPr="000D756E" w:rsidRDefault="00AC73B4" w:rsidP="00AC73B4">
            <w:pPr>
              <w:rPr>
                <w:rFonts w:ascii="Arial" w:hAnsi="Arial" w:cs="Arial"/>
                <w:sz w:val="22"/>
                <w:szCs w:val="22"/>
              </w:rPr>
            </w:pPr>
            <w:r w:rsidRPr="000D756E">
              <w:rPr>
                <w:rFonts w:ascii="Arial" w:hAnsi="Arial" w:cs="Arial"/>
                <w:sz w:val="22"/>
                <w:szCs w:val="22"/>
              </w:rPr>
              <w:t>MRP</w:t>
            </w:r>
          </w:p>
        </w:tc>
        <w:tc>
          <w:tcPr>
            <w:tcW w:w="1701" w:type="dxa"/>
          </w:tcPr>
          <w:p w14:paraId="5B7ED115" w14:textId="77777777" w:rsidR="00AC73B4" w:rsidRPr="000D756E" w:rsidRDefault="00AC73B4" w:rsidP="00AC73B4">
            <w:pPr>
              <w:jc w:val="right"/>
              <w:rPr>
                <w:rFonts w:ascii="Arial" w:hAnsi="Arial" w:cs="Arial"/>
                <w:b/>
                <w:sz w:val="22"/>
                <w:szCs w:val="22"/>
              </w:rPr>
            </w:pPr>
          </w:p>
        </w:tc>
        <w:tc>
          <w:tcPr>
            <w:tcW w:w="1417" w:type="dxa"/>
          </w:tcPr>
          <w:p w14:paraId="2B280545" w14:textId="65FFD689" w:rsidR="00AC73B4" w:rsidRPr="000D756E" w:rsidRDefault="00AC73B4" w:rsidP="00AC73B4">
            <w:pPr>
              <w:jc w:val="right"/>
              <w:rPr>
                <w:rFonts w:ascii="Arial" w:hAnsi="Arial" w:cs="Arial"/>
                <w:sz w:val="22"/>
                <w:szCs w:val="22"/>
              </w:rPr>
            </w:pPr>
            <w:r w:rsidRPr="000D756E">
              <w:rPr>
                <w:rFonts w:ascii="Arial" w:hAnsi="Arial" w:cs="Arial"/>
                <w:sz w:val="22"/>
                <w:szCs w:val="22"/>
              </w:rPr>
              <w:t>-260</w:t>
            </w:r>
          </w:p>
        </w:tc>
        <w:tc>
          <w:tcPr>
            <w:tcW w:w="1418" w:type="dxa"/>
          </w:tcPr>
          <w:p w14:paraId="395EFE76" w14:textId="77777777" w:rsidR="00AC73B4" w:rsidRPr="000D756E" w:rsidRDefault="00AC73B4" w:rsidP="00AC73B4">
            <w:pPr>
              <w:jc w:val="right"/>
              <w:rPr>
                <w:rFonts w:ascii="Arial" w:hAnsi="Arial" w:cs="Arial"/>
                <w:sz w:val="22"/>
                <w:szCs w:val="22"/>
              </w:rPr>
            </w:pPr>
          </w:p>
        </w:tc>
        <w:tc>
          <w:tcPr>
            <w:tcW w:w="1559" w:type="dxa"/>
          </w:tcPr>
          <w:p w14:paraId="0C54B8E8" w14:textId="77777777" w:rsidR="00AC73B4" w:rsidRPr="000D756E" w:rsidRDefault="00AC73B4" w:rsidP="00AC73B4">
            <w:pPr>
              <w:jc w:val="right"/>
              <w:rPr>
                <w:rFonts w:ascii="Arial" w:hAnsi="Arial" w:cs="Arial"/>
                <w:sz w:val="22"/>
                <w:szCs w:val="22"/>
              </w:rPr>
            </w:pPr>
          </w:p>
        </w:tc>
        <w:tc>
          <w:tcPr>
            <w:tcW w:w="1559" w:type="dxa"/>
          </w:tcPr>
          <w:p w14:paraId="29464D10" w14:textId="107B1C50" w:rsidR="00AC73B4" w:rsidRPr="000D756E" w:rsidRDefault="00AC73B4" w:rsidP="00AC73B4">
            <w:pPr>
              <w:jc w:val="right"/>
              <w:rPr>
                <w:rFonts w:ascii="Arial" w:hAnsi="Arial" w:cs="Arial"/>
                <w:b/>
                <w:sz w:val="22"/>
                <w:szCs w:val="22"/>
              </w:rPr>
            </w:pPr>
            <w:r w:rsidRPr="000D756E">
              <w:rPr>
                <w:rFonts w:ascii="Arial" w:hAnsi="Arial" w:cs="Arial"/>
                <w:b/>
                <w:sz w:val="22"/>
                <w:szCs w:val="22"/>
              </w:rPr>
              <w:t>-260</w:t>
            </w:r>
          </w:p>
        </w:tc>
      </w:tr>
      <w:tr w:rsidR="006071DF" w:rsidRPr="000D756E" w14:paraId="05425CA9" w14:textId="77777777" w:rsidTr="005D6499">
        <w:tc>
          <w:tcPr>
            <w:tcW w:w="2269" w:type="dxa"/>
          </w:tcPr>
          <w:p w14:paraId="70C28221" w14:textId="38030CAE" w:rsidR="00AC73B4" w:rsidRPr="000D756E" w:rsidRDefault="00AC73B4" w:rsidP="00AC73B4">
            <w:pPr>
              <w:rPr>
                <w:rFonts w:ascii="Arial" w:hAnsi="Arial" w:cs="Arial"/>
                <w:sz w:val="22"/>
                <w:szCs w:val="22"/>
              </w:rPr>
            </w:pPr>
            <w:r w:rsidRPr="000D756E">
              <w:rPr>
                <w:rFonts w:ascii="Arial" w:hAnsi="Arial" w:cs="Arial"/>
                <w:sz w:val="22"/>
                <w:szCs w:val="22"/>
              </w:rPr>
              <w:t>Depreciation</w:t>
            </w:r>
          </w:p>
        </w:tc>
        <w:tc>
          <w:tcPr>
            <w:tcW w:w="1701" w:type="dxa"/>
          </w:tcPr>
          <w:p w14:paraId="71071316" w14:textId="77777777" w:rsidR="00AC73B4" w:rsidRPr="000D756E" w:rsidRDefault="00AC73B4" w:rsidP="00AC73B4">
            <w:pPr>
              <w:jc w:val="right"/>
              <w:rPr>
                <w:rFonts w:ascii="Arial" w:hAnsi="Arial" w:cs="Arial"/>
                <w:b/>
                <w:sz w:val="22"/>
                <w:szCs w:val="22"/>
              </w:rPr>
            </w:pPr>
          </w:p>
        </w:tc>
        <w:tc>
          <w:tcPr>
            <w:tcW w:w="1417" w:type="dxa"/>
          </w:tcPr>
          <w:p w14:paraId="377430CC" w14:textId="5917E311" w:rsidR="00AC73B4" w:rsidRPr="000D756E" w:rsidRDefault="00AC73B4" w:rsidP="00AC73B4">
            <w:pPr>
              <w:jc w:val="right"/>
              <w:rPr>
                <w:rFonts w:ascii="Arial" w:hAnsi="Arial" w:cs="Arial"/>
                <w:sz w:val="22"/>
                <w:szCs w:val="22"/>
              </w:rPr>
            </w:pPr>
            <w:r w:rsidRPr="000D756E">
              <w:rPr>
                <w:rFonts w:ascii="Arial" w:hAnsi="Arial" w:cs="Arial"/>
                <w:sz w:val="22"/>
                <w:szCs w:val="22"/>
              </w:rPr>
              <w:t>2,677</w:t>
            </w:r>
          </w:p>
        </w:tc>
        <w:tc>
          <w:tcPr>
            <w:tcW w:w="1418" w:type="dxa"/>
          </w:tcPr>
          <w:p w14:paraId="7F80DB0C" w14:textId="77777777" w:rsidR="00AC73B4" w:rsidRPr="000D756E" w:rsidRDefault="00AC73B4" w:rsidP="00AC73B4">
            <w:pPr>
              <w:jc w:val="right"/>
              <w:rPr>
                <w:rFonts w:ascii="Arial" w:hAnsi="Arial" w:cs="Arial"/>
                <w:sz w:val="22"/>
                <w:szCs w:val="22"/>
              </w:rPr>
            </w:pPr>
          </w:p>
        </w:tc>
        <w:tc>
          <w:tcPr>
            <w:tcW w:w="1559" w:type="dxa"/>
          </w:tcPr>
          <w:p w14:paraId="0D604C81" w14:textId="77777777" w:rsidR="00AC73B4" w:rsidRPr="000D756E" w:rsidRDefault="00AC73B4" w:rsidP="00AC73B4">
            <w:pPr>
              <w:jc w:val="right"/>
              <w:rPr>
                <w:rFonts w:ascii="Arial" w:hAnsi="Arial" w:cs="Arial"/>
                <w:sz w:val="22"/>
                <w:szCs w:val="22"/>
              </w:rPr>
            </w:pPr>
          </w:p>
        </w:tc>
        <w:tc>
          <w:tcPr>
            <w:tcW w:w="1559" w:type="dxa"/>
          </w:tcPr>
          <w:p w14:paraId="4263AF21" w14:textId="2CFF0A2B" w:rsidR="00AC73B4" w:rsidRPr="000D756E" w:rsidRDefault="00AC73B4" w:rsidP="00AC73B4">
            <w:pPr>
              <w:jc w:val="right"/>
              <w:rPr>
                <w:rFonts w:ascii="Arial" w:hAnsi="Arial" w:cs="Arial"/>
                <w:b/>
                <w:sz w:val="22"/>
                <w:szCs w:val="22"/>
              </w:rPr>
            </w:pPr>
            <w:r w:rsidRPr="000D756E">
              <w:rPr>
                <w:rFonts w:ascii="Arial" w:hAnsi="Arial" w:cs="Arial"/>
                <w:b/>
                <w:sz w:val="22"/>
                <w:szCs w:val="22"/>
              </w:rPr>
              <w:t>2,677</w:t>
            </w:r>
          </w:p>
        </w:tc>
      </w:tr>
      <w:tr w:rsidR="006071DF" w:rsidRPr="000D756E" w14:paraId="20DECA07" w14:textId="77777777" w:rsidTr="005D6499">
        <w:tc>
          <w:tcPr>
            <w:tcW w:w="2269" w:type="dxa"/>
          </w:tcPr>
          <w:p w14:paraId="5DE96070" w14:textId="7DF2C0D3" w:rsidR="00AC73B4" w:rsidRPr="000D756E" w:rsidRDefault="00AC73B4" w:rsidP="00AC73B4">
            <w:pPr>
              <w:rPr>
                <w:rFonts w:ascii="Arial" w:hAnsi="Arial" w:cs="Arial"/>
                <w:sz w:val="22"/>
                <w:szCs w:val="22"/>
              </w:rPr>
            </w:pPr>
            <w:r w:rsidRPr="000D756E">
              <w:rPr>
                <w:rFonts w:ascii="Arial" w:hAnsi="Arial" w:cs="Arial"/>
                <w:sz w:val="22"/>
                <w:szCs w:val="22"/>
              </w:rPr>
              <w:t>Impairment</w:t>
            </w:r>
          </w:p>
        </w:tc>
        <w:tc>
          <w:tcPr>
            <w:tcW w:w="1701" w:type="dxa"/>
          </w:tcPr>
          <w:p w14:paraId="5D25867F" w14:textId="77777777" w:rsidR="00AC73B4" w:rsidRPr="000D756E" w:rsidRDefault="00AC73B4" w:rsidP="00AC73B4">
            <w:pPr>
              <w:jc w:val="right"/>
              <w:rPr>
                <w:rFonts w:ascii="Arial" w:hAnsi="Arial" w:cs="Arial"/>
                <w:b/>
                <w:sz w:val="22"/>
                <w:szCs w:val="22"/>
              </w:rPr>
            </w:pPr>
          </w:p>
        </w:tc>
        <w:tc>
          <w:tcPr>
            <w:tcW w:w="1417" w:type="dxa"/>
          </w:tcPr>
          <w:p w14:paraId="03A59FDD" w14:textId="6142CC4A" w:rsidR="00AC73B4" w:rsidRPr="000D756E" w:rsidRDefault="00AC73B4" w:rsidP="00AC73B4">
            <w:pPr>
              <w:jc w:val="right"/>
              <w:rPr>
                <w:rFonts w:ascii="Arial" w:hAnsi="Arial" w:cs="Arial"/>
                <w:sz w:val="22"/>
                <w:szCs w:val="22"/>
              </w:rPr>
            </w:pPr>
            <w:r w:rsidRPr="000D756E">
              <w:rPr>
                <w:rFonts w:ascii="Arial" w:hAnsi="Arial" w:cs="Arial"/>
                <w:sz w:val="22"/>
                <w:szCs w:val="22"/>
              </w:rPr>
              <w:t>5,165</w:t>
            </w:r>
          </w:p>
        </w:tc>
        <w:tc>
          <w:tcPr>
            <w:tcW w:w="1418" w:type="dxa"/>
          </w:tcPr>
          <w:p w14:paraId="03F2A014" w14:textId="77777777" w:rsidR="00AC73B4" w:rsidRPr="000D756E" w:rsidRDefault="00AC73B4" w:rsidP="00AC73B4">
            <w:pPr>
              <w:jc w:val="right"/>
              <w:rPr>
                <w:rFonts w:ascii="Arial" w:hAnsi="Arial" w:cs="Arial"/>
                <w:sz w:val="22"/>
                <w:szCs w:val="22"/>
              </w:rPr>
            </w:pPr>
          </w:p>
        </w:tc>
        <w:tc>
          <w:tcPr>
            <w:tcW w:w="1559" w:type="dxa"/>
          </w:tcPr>
          <w:p w14:paraId="0DF3DAFD" w14:textId="77777777" w:rsidR="00AC73B4" w:rsidRPr="000D756E" w:rsidRDefault="00AC73B4" w:rsidP="00AC73B4">
            <w:pPr>
              <w:jc w:val="right"/>
              <w:rPr>
                <w:rFonts w:ascii="Arial" w:hAnsi="Arial" w:cs="Arial"/>
                <w:sz w:val="22"/>
                <w:szCs w:val="22"/>
              </w:rPr>
            </w:pPr>
          </w:p>
        </w:tc>
        <w:tc>
          <w:tcPr>
            <w:tcW w:w="1559" w:type="dxa"/>
          </w:tcPr>
          <w:p w14:paraId="5F24C678" w14:textId="65C7A180" w:rsidR="00AC73B4" w:rsidRPr="000D756E" w:rsidRDefault="00AC73B4" w:rsidP="00AC73B4">
            <w:pPr>
              <w:jc w:val="right"/>
              <w:rPr>
                <w:rFonts w:ascii="Arial" w:hAnsi="Arial" w:cs="Arial"/>
                <w:b/>
                <w:sz w:val="22"/>
                <w:szCs w:val="22"/>
              </w:rPr>
            </w:pPr>
            <w:r w:rsidRPr="000D756E">
              <w:rPr>
                <w:rFonts w:ascii="Arial" w:hAnsi="Arial" w:cs="Arial"/>
                <w:b/>
                <w:sz w:val="22"/>
                <w:szCs w:val="22"/>
              </w:rPr>
              <w:t>5,165</w:t>
            </w:r>
          </w:p>
        </w:tc>
      </w:tr>
      <w:tr w:rsidR="006071DF" w:rsidRPr="000D756E" w14:paraId="0C6E1B49" w14:textId="77777777" w:rsidTr="005D6499">
        <w:tc>
          <w:tcPr>
            <w:tcW w:w="2269" w:type="dxa"/>
          </w:tcPr>
          <w:p w14:paraId="1DF93F9E" w14:textId="7D66B976" w:rsidR="00AC73B4" w:rsidRPr="000D756E" w:rsidRDefault="00AC73B4" w:rsidP="00AC73B4">
            <w:pPr>
              <w:rPr>
                <w:rFonts w:ascii="Arial" w:hAnsi="Arial" w:cs="Arial"/>
                <w:sz w:val="22"/>
                <w:szCs w:val="22"/>
              </w:rPr>
            </w:pPr>
            <w:r w:rsidRPr="000D756E">
              <w:rPr>
                <w:rFonts w:ascii="Arial" w:hAnsi="Arial" w:cs="Arial"/>
                <w:sz w:val="22"/>
                <w:szCs w:val="22"/>
              </w:rPr>
              <w:t>Profit on disposal of non current assets</w:t>
            </w:r>
          </w:p>
        </w:tc>
        <w:tc>
          <w:tcPr>
            <w:tcW w:w="1701" w:type="dxa"/>
          </w:tcPr>
          <w:p w14:paraId="7E0A5867" w14:textId="77777777" w:rsidR="00AC73B4" w:rsidRPr="000D756E" w:rsidRDefault="00AC73B4" w:rsidP="00AC73B4">
            <w:pPr>
              <w:jc w:val="right"/>
              <w:rPr>
                <w:rFonts w:ascii="Arial" w:hAnsi="Arial" w:cs="Arial"/>
                <w:b/>
                <w:sz w:val="22"/>
                <w:szCs w:val="22"/>
              </w:rPr>
            </w:pPr>
          </w:p>
        </w:tc>
        <w:tc>
          <w:tcPr>
            <w:tcW w:w="1417" w:type="dxa"/>
          </w:tcPr>
          <w:p w14:paraId="26F38DD1" w14:textId="77777777" w:rsidR="00AC73B4" w:rsidRPr="000D756E" w:rsidRDefault="00AC73B4" w:rsidP="00AC73B4">
            <w:pPr>
              <w:jc w:val="right"/>
              <w:rPr>
                <w:rFonts w:ascii="Arial" w:hAnsi="Arial" w:cs="Arial"/>
                <w:sz w:val="22"/>
                <w:szCs w:val="22"/>
              </w:rPr>
            </w:pPr>
          </w:p>
          <w:p w14:paraId="6B7D8DCA" w14:textId="6894425F" w:rsidR="00AC73B4" w:rsidRPr="000D756E" w:rsidRDefault="00AC73B4" w:rsidP="00AC73B4">
            <w:pPr>
              <w:jc w:val="right"/>
              <w:rPr>
                <w:rFonts w:ascii="Arial" w:hAnsi="Arial" w:cs="Arial"/>
                <w:sz w:val="22"/>
                <w:szCs w:val="22"/>
              </w:rPr>
            </w:pPr>
            <w:r w:rsidRPr="000D756E">
              <w:rPr>
                <w:rFonts w:ascii="Arial" w:hAnsi="Arial" w:cs="Arial"/>
                <w:sz w:val="22"/>
                <w:szCs w:val="22"/>
              </w:rPr>
              <w:t>93</w:t>
            </w:r>
          </w:p>
        </w:tc>
        <w:tc>
          <w:tcPr>
            <w:tcW w:w="1418" w:type="dxa"/>
          </w:tcPr>
          <w:p w14:paraId="4AB5669C" w14:textId="77777777" w:rsidR="00AC73B4" w:rsidRPr="000D756E" w:rsidRDefault="00AC73B4" w:rsidP="00AC73B4">
            <w:pPr>
              <w:jc w:val="right"/>
              <w:rPr>
                <w:rFonts w:ascii="Arial" w:hAnsi="Arial" w:cs="Arial"/>
                <w:sz w:val="22"/>
                <w:szCs w:val="22"/>
              </w:rPr>
            </w:pPr>
          </w:p>
        </w:tc>
        <w:tc>
          <w:tcPr>
            <w:tcW w:w="1559" w:type="dxa"/>
          </w:tcPr>
          <w:p w14:paraId="2C2E3BA0" w14:textId="77777777" w:rsidR="00AC73B4" w:rsidRPr="000D756E" w:rsidRDefault="00AC73B4" w:rsidP="00AC73B4">
            <w:pPr>
              <w:jc w:val="right"/>
              <w:rPr>
                <w:rFonts w:ascii="Arial" w:hAnsi="Arial" w:cs="Arial"/>
                <w:sz w:val="22"/>
                <w:szCs w:val="22"/>
              </w:rPr>
            </w:pPr>
          </w:p>
        </w:tc>
        <w:tc>
          <w:tcPr>
            <w:tcW w:w="1559" w:type="dxa"/>
          </w:tcPr>
          <w:p w14:paraId="4AB882F3" w14:textId="77777777" w:rsidR="00AC73B4" w:rsidRPr="000D756E" w:rsidRDefault="00AC73B4" w:rsidP="00AC73B4">
            <w:pPr>
              <w:jc w:val="right"/>
              <w:rPr>
                <w:rFonts w:ascii="Arial" w:hAnsi="Arial" w:cs="Arial"/>
                <w:b/>
                <w:sz w:val="22"/>
                <w:szCs w:val="22"/>
              </w:rPr>
            </w:pPr>
          </w:p>
          <w:p w14:paraId="43220D89" w14:textId="2384865C" w:rsidR="00AC73B4" w:rsidRPr="000D756E" w:rsidRDefault="00AC73B4" w:rsidP="00AC73B4">
            <w:pPr>
              <w:jc w:val="right"/>
              <w:rPr>
                <w:rFonts w:ascii="Arial" w:hAnsi="Arial" w:cs="Arial"/>
                <w:b/>
                <w:sz w:val="22"/>
                <w:szCs w:val="22"/>
              </w:rPr>
            </w:pPr>
            <w:r w:rsidRPr="000D756E">
              <w:rPr>
                <w:rFonts w:ascii="Arial" w:hAnsi="Arial" w:cs="Arial"/>
                <w:b/>
                <w:sz w:val="22"/>
                <w:szCs w:val="22"/>
              </w:rPr>
              <w:t>93</w:t>
            </w:r>
          </w:p>
        </w:tc>
      </w:tr>
      <w:tr w:rsidR="006071DF" w:rsidRPr="000D756E" w14:paraId="308A1708" w14:textId="77777777" w:rsidTr="005D6499">
        <w:tc>
          <w:tcPr>
            <w:tcW w:w="2269" w:type="dxa"/>
          </w:tcPr>
          <w:p w14:paraId="7719832D" w14:textId="5DB8B416" w:rsidR="00AC73B4" w:rsidRPr="000D756E" w:rsidRDefault="00AC73B4" w:rsidP="00AC73B4">
            <w:pPr>
              <w:rPr>
                <w:rFonts w:ascii="Arial" w:hAnsi="Arial" w:cs="Arial"/>
                <w:sz w:val="22"/>
                <w:szCs w:val="22"/>
              </w:rPr>
            </w:pPr>
            <w:r w:rsidRPr="000D756E">
              <w:rPr>
                <w:rFonts w:ascii="Arial" w:hAnsi="Arial" w:cs="Arial"/>
                <w:sz w:val="22"/>
                <w:szCs w:val="22"/>
              </w:rPr>
              <w:t>Capital grant</w:t>
            </w:r>
          </w:p>
        </w:tc>
        <w:tc>
          <w:tcPr>
            <w:tcW w:w="1701" w:type="dxa"/>
          </w:tcPr>
          <w:p w14:paraId="28CA5660" w14:textId="77777777" w:rsidR="00AC73B4" w:rsidRPr="000D756E" w:rsidRDefault="00AC73B4" w:rsidP="00AC73B4">
            <w:pPr>
              <w:jc w:val="right"/>
              <w:rPr>
                <w:rFonts w:ascii="Arial" w:hAnsi="Arial" w:cs="Arial"/>
                <w:b/>
                <w:sz w:val="22"/>
                <w:szCs w:val="22"/>
              </w:rPr>
            </w:pPr>
          </w:p>
        </w:tc>
        <w:tc>
          <w:tcPr>
            <w:tcW w:w="1417" w:type="dxa"/>
          </w:tcPr>
          <w:p w14:paraId="7560729E" w14:textId="1A9B3867" w:rsidR="00AC73B4" w:rsidRPr="000D756E" w:rsidRDefault="00AC73B4" w:rsidP="00AC73B4">
            <w:pPr>
              <w:jc w:val="right"/>
              <w:rPr>
                <w:rFonts w:ascii="Arial" w:hAnsi="Arial" w:cs="Arial"/>
                <w:sz w:val="22"/>
                <w:szCs w:val="22"/>
              </w:rPr>
            </w:pPr>
            <w:r w:rsidRPr="000D756E">
              <w:rPr>
                <w:rFonts w:ascii="Arial" w:hAnsi="Arial" w:cs="Arial"/>
                <w:sz w:val="22"/>
                <w:szCs w:val="22"/>
              </w:rPr>
              <w:t>0</w:t>
            </w:r>
          </w:p>
        </w:tc>
        <w:tc>
          <w:tcPr>
            <w:tcW w:w="1418" w:type="dxa"/>
          </w:tcPr>
          <w:p w14:paraId="101A1E1F" w14:textId="77777777" w:rsidR="00AC73B4" w:rsidRPr="000D756E" w:rsidRDefault="00AC73B4" w:rsidP="00AC73B4">
            <w:pPr>
              <w:jc w:val="right"/>
              <w:rPr>
                <w:rFonts w:ascii="Arial" w:hAnsi="Arial" w:cs="Arial"/>
                <w:sz w:val="22"/>
                <w:szCs w:val="22"/>
              </w:rPr>
            </w:pPr>
          </w:p>
        </w:tc>
        <w:tc>
          <w:tcPr>
            <w:tcW w:w="1559" w:type="dxa"/>
          </w:tcPr>
          <w:p w14:paraId="55025584" w14:textId="77777777" w:rsidR="00AC73B4" w:rsidRPr="000D756E" w:rsidRDefault="00AC73B4" w:rsidP="00AC73B4">
            <w:pPr>
              <w:jc w:val="right"/>
              <w:rPr>
                <w:rFonts w:ascii="Arial" w:hAnsi="Arial" w:cs="Arial"/>
                <w:sz w:val="22"/>
                <w:szCs w:val="22"/>
              </w:rPr>
            </w:pPr>
          </w:p>
        </w:tc>
        <w:tc>
          <w:tcPr>
            <w:tcW w:w="1559" w:type="dxa"/>
          </w:tcPr>
          <w:p w14:paraId="55978304" w14:textId="6A19E1C7" w:rsidR="00AC73B4" w:rsidRPr="000D756E" w:rsidRDefault="00AC73B4" w:rsidP="00AC73B4">
            <w:pPr>
              <w:jc w:val="right"/>
              <w:rPr>
                <w:rFonts w:ascii="Arial" w:hAnsi="Arial" w:cs="Arial"/>
                <w:b/>
                <w:sz w:val="22"/>
                <w:szCs w:val="22"/>
              </w:rPr>
            </w:pPr>
            <w:r w:rsidRPr="000D756E">
              <w:rPr>
                <w:rFonts w:ascii="Arial" w:hAnsi="Arial" w:cs="Arial"/>
                <w:b/>
                <w:sz w:val="22"/>
                <w:szCs w:val="22"/>
              </w:rPr>
              <w:t>0</w:t>
            </w:r>
          </w:p>
        </w:tc>
      </w:tr>
      <w:tr w:rsidR="006071DF" w:rsidRPr="000D756E" w14:paraId="6F58FF7C" w14:textId="77777777" w:rsidTr="005D6499">
        <w:tc>
          <w:tcPr>
            <w:tcW w:w="2269" w:type="dxa"/>
          </w:tcPr>
          <w:p w14:paraId="3CA25AEF" w14:textId="6CD39D90" w:rsidR="00AC73B4" w:rsidRPr="000D756E" w:rsidRDefault="00AC73B4" w:rsidP="00AC73B4">
            <w:pPr>
              <w:rPr>
                <w:rFonts w:ascii="Arial" w:hAnsi="Arial" w:cs="Arial"/>
                <w:sz w:val="22"/>
                <w:szCs w:val="22"/>
              </w:rPr>
            </w:pPr>
            <w:r w:rsidRPr="000D756E">
              <w:rPr>
                <w:rFonts w:ascii="Arial" w:hAnsi="Arial" w:cs="Arial"/>
                <w:sz w:val="22"/>
                <w:szCs w:val="22"/>
              </w:rPr>
              <w:t>Capital from revenue</w:t>
            </w:r>
          </w:p>
        </w:tc>
        <w:tc>
          <w:tcPr>
            <w:tcW w:w="1701" w:type="dxa"/>
          </w:tcPr>
          <w:p w14:paraId="3B87522D" w14:textId="77777777" w:rsidR="00AC73B4" w:rsidRPr="000D756E" w:rsidRDefault="00AC73B4" w:rsidP="00AC73B4">
            <w:pPr>
              <w:jc w:val="right"/>
              <w:rPr>
                <w:rFonts w:ascii="Arial" w:hAnsi="Arial" w:cs="Arial"/>
                <w:b/>
                <w:sz w:val="22"/>
                <w:szCs w:val="22"/>
              </w:rPr>
            </w:pPr>
          </w:p>
        </w:tc>
        <w:tc>
          <w:tcPr>
            <w:tcW w:w="1417" w:type="dxa"/>
          </w:tcPr>
          <w:p w14:paraId="51684989" w14:textId="1ABC4A2B" w:rsidR="00AC73B4" w:rsidRPr="000D756E" w:rsidRDefault="00AC73B4" w:rsidP="00AC73B4">
            <w:pPr>
              <w:jc w:val="right"/>
              <w:rPr>
                <w:rFonts w:ascii="Arial" w:hAnsi="Arial" w:cs="Arial"/>
                <w:sz w:val="22"/>
                <w:szCs w:val="22"/>
              </w:rPr>
            </w:pPr>
            <w:r w:rsidRPr="000D756E">
              <w:rPr>
                <w:rFonts w:ascii="Arial" w:hAnsi="Arial" w:cs="Arial"/>
                <w:sz w:val="22"/>
                <w:szCs w:val="22"/>
              </w:rPr>
              <w:t>-1,214</w:t>
            </w:r>
          </w:p>
        </w:tc>
        <w:tc>
          <w:tcPr>
            <w:tcW w:w="1418" w:type="dxa"/>
          </w:tcPr>
          <w:p w14:paraId="28D9E7A9" w14:textId="77777777" w:rsidR="00AC73B4" w:rsidRPr="000D756E" w:rsidRDefault="00AC73B4" w:rsidP="00AC73B4">
            <w:pPr>
              <w:jc w:val="right"/>
              <w:rPr>
                <w:rFonts w:ascii="Arial" w:hAnsi="Arial" w:cs="Arial"/>
                <w:sz w:val="22"/>
                <w:szCs w:val="22"/>
              </w:rPr>
            </w:pPr>
          </w:p>
        </w:tc>
        <w:tc>
          <w:tcPr>
            <w:tcW w:w="1559" w:type="dxa"/>
          </w:tcPr>
          <w:p w14:paraId="4A98FE88" w14:textId="77777777" w:rsidR="00AC73B4" w:rsidRPr="000D756E" w:rsidRDefault="00AC73B4" w:rsidP="00AC73B4">
            <w:pPr>
              <w:jc w:val="right"/>
              <w:rPr>
                <w:rFonts w:ascii="Arial" w:hAnsi="Arial" w:cs="Arial"/>
                <w:sz w:val="22"/>
                <w:szCs w:val="22"/>
              </w:rPr>
            </w:pPr>
          </w:p>
        </w:tc>
        <w:tc>
          <w:tcPr>
            <w:tcW w:w="1559" w:type="dxa"/>
          </w:tcPr>
          <w:p w14:paraId="6A6993D3" w14:textId="012302ED" w:rsidR="00AC73B4" w:rsidRPr="000D756E" w:rsidRDefault="00AC73B4" w:rsidP="00AC73B4">
            <w:pPr>
              <w:jc w:val="right"/>
              <w:rPr>
                <w:rFonts w:ascii="Arial" w:hAnsi="Arial" w:cs="Arial"/>
                <w:b/>
                <w:sz w:val="22"/>
                <w:szCs w:val="22"/>
              </w:rPr>
            </w:pPr>
            <w:r w:rsidRPr="000D756E">
              <w:rPr>
                <w:rFonts w:ascii="Arial" w:hAnsi="Arial" w:cs="Arial"/>
                <w:b/>
                <w:sz w:val="22"/>
                <w:szCs w:val="22"/>
              </w:rPr>
              <w:t>-1,214</w:t>
            </w:r>
          </w:p>
        </w:tc>
      </w:tr>
      <w:tr w:rsidR="006071DF" w:rsidRPr="000D756E" w14:paraId="51BE15D0" w14:textId="77777777" w:rsidTr="005D6499">
        <w:tc>
          <w:tcPr>
            <w:tcW w:w="2269" w:type="dxa"/>
          </w:tcPr>
          <w:p w14:paraId="444E1F39" w14:textId="1EED5EA3" w:rsidR="00AC73B4" w:rsidRPr="000D756E" w:rsidRDefault="00AC73B4" w:rsidP="00AC73B4">
            <w:pPr>
              <w:rPr>
                <w:rFonts w:ascii="Arial" w:hAnsi="Arial" w:cs="Arial"/>
                <w:sz w:val="22"/>
                <w:szCs w:val="22"/>
              </w:rPr>
            </w:pPr>
            <w:r w:rsidRPr="000D756E">
              <w:rPr>
                <w:rFonts w:ascii="Arial" w:hAnsi="Arial" w:cs="Arial"/>
                <w:sz w:val="22"/>
                <w:szCs w:val="22"/>
              </w:rPr>
              <w:t>Pensions</w:t>
            </w:r>
          </w:p>
        </w:tc>
        <w:tc>
          <w:tcPr>
            <w:tcW w:w="1701" w:type="dxa"/>
          </w:tcPr>
          <w:p w14:paraId="0410AC32" w14:textId="77777777" w:rsidR="00AC73B4" w:rsidRPr="000D756E" w:rsidRDefault="00AC73B4" w:rsidP="00AC73B4">
            <w:pPr>
              <w:jc w:val="right"/>
              <w:rPr>
                <w:rFonts w:ascii="Arial" w:hAnsi="Arial" w:cs="Arial"/>
                <w:b/>
                <w:sz w:val="22"/>
                <w:szCs w:val="22"/>
              </w:rPr>
            </w:pPr>
          </w:p>
        </w:tc>
        <w:tc>
          <w:tcPr>
            <w:tcW w:w="1417" w:type="dxa"/>
          </w:tcPr>
          <w:p w14:paraId="0EAAAF84" w14:textId="77777777" w:rsidR="00AC73B4" w:rsidRPr="000D756E" w:rsidRDefault="00AC73B4" w:rsidP="00AC73B4">
            <w:pPr>
              <w:jc w:val="right"/>
              <w:rPr>
                <w:rFonts w:ascii="Arial" w:hAnsi="Arial" w:cs="Arial"/>
                <w:sz w:val="22"/>
                <w:szCs w:val="22"/>
              </w:rPr>
            </w:pPr>
          </w:p>
        </w:tc>
        <w:tc>
          <w:tcPr>
            <w:tcW w:w="1418" w:type="dxa"/>
          </w:tcPr>
          <w:p w14:paraId="451C1B04" w14:textId="60DE0E05" w:rsidR="00AC73B4" w:rsidRPr="000D756E" w:rsidRDefault="00AC73B4" w:rsidP="00AC73B4">
            <w:pPr>
              <w:jc w:val="right"/>
              <w:rPr>
                <w:rFonts w:ascii="Arial" w:hAnsi="Arial" w:cs="Arial"/>
                <w:sz w:val="22"/>
                <w:szCs w:val="22"/>
              </w:rPr>
            </w:pPr>
            <w:r w:rsidRPr="000D756E">
              <w:rPr>
                <w:rFonts w:ascii="Arial" w:hAnsi="Arial" w:cs="Arial"/>
                <w:sz w:val="22"/>
                <w:szCs w:val="22"/>
              </w:rPr>
              <w:t>4,831</w:t>
            </w:r>
          </w:p>
        </w:tc>
        <w:tc>
          <w:tcPr>
            <w:tcW w:w="1559" w:type="dxa"/>
          </w:tcPr>
          <w:p w14:paraId="62454DE7" w14:textId="77777777" w:rsidR="00AC73B4" w:rsidRPr="000D756E" w:rsidRDefault="00AC73B4" w:rsidP="00AC73B4">
            <w:pPr>
              <w:jc w:val="right"/>
              <w:rPr>
                <w:rFonts w:ascii="Arial" w:hAnsi="Arial" w:cs="Arial"/>
                <w:sz w:val="22"/>
                <w:szCs w:val="22"/>
              </w:rPr>
            </w:pPr>
          </w:p>
        </w:tc>
        <w:tc>
          <w:tcPr>
            <w:tcW w:w="1559" w:type="dxa"/>
          </w:tcPr>
          <w:p w14:paraId="17CA94E0" w14:textId="663EDD66" w:rsidR="00AC73B4" w:rsidRPr="000D756E" w:rsidRDefault="00AC73B4" w:rsidP="00AC73B4">
            <w:pPr>
              <w:jc w:val="right"/>
              <w:rPr>
                <w:rFonts w:ascii="Arial" w:hAnsi="Arial" w:cs="Arial"/>
                <w:b/>
                <w:sz w:val="22"/>
                <w:szCs w:val="22"/>
              </w:rPr>
            </w:pPr>
            <w:r w:rsidRPr="000D756E">
              <w:rPr>
                <w:rFonts w:ascii="Arial" w:hAnsi="Arial" w:cs="Arial"/>
                <w:b/>
                <w:sz w:val="22"/>
                <w:szCs w:val="22"/>
              </w:rPr>
              <w:t>4,831</w:t>
            </w:r>
          </w:p>
        </w:tc>
      </w:tr>
      <w:tr w:rsidR="006071DF" w:rsidRPr="000D756E" w14:paraId="43DA08FC" w14:textId="77777777" w:rsidTr="005D6499">
        <w:tc>
          <w:tcPr>
            <w:tcW w:w="2269" w:type="dxa"/>
          </w:tcPr>
          <w:p w14:paraId="0457AE7F" w14:textId="5646B6A1" w:rsidR="00AC73B4" w:rsidRPr="000D756E" w:rsidRDefault="00AC73B4" w:rsidP="00AC73B4">
            <w:pPr>
              <w:rPr>
                <w:rFonts w:ascii="Arial" w:hAnsi="Arial" w:cs="Arial"/>
                <w:sz w:val="22"/>
                <w:szCs w:val="22"/>
              </w:rPr>
            </w:pPr>
            <w:r w:rsidRPr="000D756E">
              <w:rPr>
                <w:rFonts w:ascii="Arial" w:hAnsi="Arial" w:cs="Arial"/>
                <w:sz w:val="22"/>
                <w:szCs w:val="22"/>
              </w:rPr>
              <w:t>Collection fund</w:t>
            </w:r>
          </w:p>
        </w:tc>
        <w:tc>
          <w:tcPr>
            <w:tcW w:w="1701" w:type="dxa"/>
          </w:tcPr>
          <w:p w14:paraId="32CE0120" w14:textId="77777777" w:rsidR="00AC73B4" w:rsidRPr="000D756E" w:rsidRDefault="00AC73B4" w:rsidP="00AC73B4">
            <w:pPr>
              <w:jc w:val="right"/>
              <w:rPr>
                <w:rFonts w:ascii="Arial" w:hAnsi="Arial" w:cs="Arial"/>
                <w:b/>
                <w:sz w:val="22"/>
                <w:szCs w:val="22"/>
              </w:rPr>
            </w:pPr>
          </w:p>
        </w:tc>
        <w:tc>
          <w:tcPr>
            <w:tcW w:w="1417" w:type="dxa"/>
          </w:tcPr>
          <w:p w14:paraId="240DEAF0" w14:textId="77777777" w:rsidR="00AC73B4" w:rsidRPr="000D756E" w:rsidRDefault="00AC73B4" w:rsidP="00AC73B4">
            <w:pPr>
              <w:jc w:val="right"/>
              <w:rPr>
                <w:rFonts w:ascii="Arial" w:hAnsi="Arial" w:cs="Arial"/>
                <w:sz w:val="22"/>
                <w:szCs w:val="22"/>
              </w:rPr>
            </w:pPr>
          </w:p>
        </w:tc>
        <w:tc>
          <w:tcPr>
            <w:tcW w:w="1418" w:type="dxa"/>
          </w:tcPr>
          <w:p w14:paraId="44FAC983" w14:textId="77777777" w:rsidR="00AC73B4" w:rsidRPr="000D756E" w:rsidRDefault="00AC73B4" w:rsidP="00AC73B4">
            <w:pPr>
              <w:jc w:val="right"/>
              <w:rPr>
                <w:rFonts w:ascii="Arial" w:hAnsi="Arial" w:cs="Arial"/>
                <w:sz w:val="22"/>
                <w:szCs w:val="22"/>
              </w:rPr>
            </w:pPr>
          </w:p>
        </w:tc>
        <w:tc>
          <w:tcPr>
            <w:tcW w:w="1559" w:type="dxa"/>
          </w:tcPr>
          <w:p w14:paraId="641175A3" w14:textId="35AD19B7" w:rsidR="00AC73B4" w:rsidRPr="000D756E" w:rsidRDefault="00AC73B4" w:rsidP="00AC73B4">
            <w:pPr>
              <w:jc w:val="right"/>
              <w:rPr>
                <w:rFonts w:ascii="Arial" w:hAnsi="Arial" w:cs="Arial"/>
                <w:sz w:val="22"/>
                <w:szCs w:val="22"/>
              </w:rPr>
            </w:pPr>
            <w:r w:rsidRPr="000D756E">
              <w:rPr>
                <w:rFonts w:ascii="Arial" w:hAnsi="Arial" w:cs="Arial"/>
                <w:sz w:val="22"/>
                <w:szCs w:val="22"/>
              </w:rPr>
              <w:t>109</w:t>
            </w:r>
          </w:p>
        </w:tc>
        <w:tc>
          <w:tcPr>
            <w:tcW w:w="1559" w:type="dxa"/>
          </w:tcPr>
          <w:p w14:paraId="0CDAE042" w14:textId="0BC0FBDA" w:rsidR="00AC73B4" w:rsidRPr="000D756E" w:rsidRDefault="00AC73B4" w:rsidP="00AC73B4">
            <w:pPr>
              <w:jc w:val="right"/>
              <w:rPr>
                <w:rFonts w:ascii="Arial" w:hAnsi="Arial" w:cs="Arial"/>
                <w:b/>
                <w:sz w:val="22"/>
                <w:szCs w:val="22"/>
              </w:rPr>
            </w:pPr>
            <w:r w:rsidRPr="000D756E">
              <w:rPr>
                <w:rFonts w:ascii="Arial" w:hAnsi="Arial" w:cs="Arial"/>
                <w:b/>
                <w:sz w:val="22"/>
                <w:szCs w:val="22"/>
              </w:rPr>
              <w:t>109</w:t>
            </w:r>
          </w:p>
        </w:tc>
      </w:tr>
      <w:tr w:rsidR="006071DF" w:rsidRPr="000D756E" w14:paraId="0E5DEF91" w14:textId="77777777" w:rsidTr="005D6499">
        <w:tc>
          <w:tcPr>
            <w:tcW w:w="2269" w:type="dxa"/>
          </w:tcPr>
          <w:p w14:paraId="1E97908D" w14:textId="156D3BF0" w:rsidR="00AC73B4" w:rsidRPr="000D756E" w:rsidRDefault="00AC73B4" w:rsidP="00AC73B4">
            <w:pPr>
              <w:rPr>
                <w:rFonts w:ascii="Arial" w:hAnsi="Arial" w:cs="Arial"/>
                <w:sz w:val="22"/>
                <w:szCs w:val="22"/>
              </w:rPr>
            </w:pPr>
            <w:r w:rsidRPr="000D756E">
              <w:rPr>
                <w:rFonts w:ascii="Arial" w:hAnsi="Arial" w:cs="Arial"/>
                <w:sz w:val="22"/>
                <w:szCs w:val="22"/>
              </w:rPr>
              <w:t>Accumulated Absences</w:t>
            </w:r>
          </w:p>
        </w:tc>
        <w:tc>
          <w:tcPr>
            <w:tcW w:w="1701" w:type="dxa"/>
          </w:tcPr>
          <w:p w14:paraId="3791455E" w14:textId="77777777" w:rsidR="00AC73B4" w:rsidRPr="000D756E" w:rsidRDefault="00AC73B4" w:rsidP="00AC73B4">
            <w:pPr>
              <w:jc w:val="right"/>
              <w:rPr>
                <w:rFonts w:ascii="Arial" w:hAnsi="Arial" w:cs="Arial"/>
                <w:b/>
                <w:sz w:val="22"/>
                <w:szCs w:val="22"/>
              </w:rPr>
            </w:pPr>
          </w:p>
        </w:tc>
        <w:tc>
          <w:tcPr>
            <w:tcW w:w="1417" w:type="dxa"/>
          </w:tcPr>
          <w:p w14:paraId="5B1F0050" w14:textId="77777777" w:rsidR="00AC73B4" w:rsidRPr="000D756E" w:rsidRDefault="00AC73B4" w:rsidP="00AC73B4">
            <w:pPr>
              <w:jc w:val="right"/>
              <w:rPr>
                <w:rFonts w:ascii="Arial" w:hAnsi="Arial" w:cs="Arial"/>
                <w:sz w:val="22"/>
                <w:szCs w:val="22"/>
              </w:rPr>
            </w:pPr>
          </w:p>
        </w:tc>
        <w:tc>
          <w:tcPr>
            <w:tcW w:w="1418" w:type="dxa"/>
          </w:tcPr>
          <w:p w14:paraId="4F5BDCBF" w14:textId="77777777" w:rsidR="00AC73B4" w:rsidRPr="000D756E" w:rsidRDefault="00AC73B4" w:rsidP="00AC73B4">
            <w:pPr>
              <w:jc w:val="right"/>
              <w:rPr>
                <w:rFonts w:ascii="Arial" w:hAnsi="Arial" w:cs="Arial"/>
                <w:sz w:val="22"/>
                <w:szCs w:val="22"/>
              </w:rPr>
            </w:pPr>
          </w:p>
        </w:tc>
        <w:tc>
          <w:tcPr>
            <w:tcW w:w="1559" w:type="dxa"/>
          </w:tcPr>
          <w:p w14:paraId="2E8C7B1E" w14:textId="77777777" w:rsidR="00AC73B4" w:rsidRPr="000D756E" w:rsidRDefault="00AC73B4" w:rsidP="00AC73B4">
            <w:pPr>
              <w:jc w:val="right"/>
              <w:rPr>
                <w:rFonts w:ascii="Arial" w:hAnsi="Arial" w:cs="Arial"/>
                <w:sz w:val="22"/>
                <w:szCs w:val="22"/>
              </w:rPr>
            </w:pPr>
          </w:p>
          <w:p w14:paraId="656616B7" w14:textId="5E5BEB57" w:rsidR="00AC73B4" w:rsidRPr="000D756E" w:rsidRDefault="00AC73B4" w:rsidP="00AC73B4">
            <w:pPr>
              <w:jc w:val="right"/>
              <w:rPr>
                <w:rFonts w:ascii="Arial" w:hAnsi="Arial" w:cs="Arial"/>
                <w:sz w:val="22"/>
                <w:szCs w:val="22"/>
              </w:rPr>
            </w:pPr>
            <w:r w:rsidRPr="000D756E">
              <w:rPr>
                <w:rFonts w:ascii="Arial" w:hAnsi="Arial" w:cs="Arial"/>
                <w:sz w:val="22"/>
                <w:szCs w:val="22"/>
              </w:rPr>
              <w:t>22</w:t>
            </w:r>
          </w:p>
        </w:tc>
        <w:tc>
          <w:tcPr>
            <w:tcW w:w="1559" w:type="dxa"/>
          </w:tcPr>
          <w:p w14:paraId="129164B6" w14:textId="77777777" w:rsidR="00AC73B4" w:rsidRPr="000D756E" w:rsidRDefault="00AC73B4" w:rsidP="00AC73B4">
            <w:pPr>
              <w:jc w:val="right"/>
              <w:rPr>
                <w:rFonts w:ascii="Arial" w:hAnsi="Arial" w:cs="Arial"/>
                <w:b/>
                <w:sz w:val="22"/>
                <w:szCs w:val="22"/>
              </w:rPr>
            </w:pPr>
          </w:p>
          <w:p w14:paraId="5B275111" w14:textId="6ED14D71" w:rsidR="00AC73B4" w:rsidRPr="000D756E" w:rsidRDefault="00AC73B4" w:rsidP="00AC73B4">
            <w:pPr>
              <w:jc w:val="right"/>
              <w:rPr>
                <w:rFonts w:ascii="Arial" w:hAnsi="Arial" w:cs="Arial"/>
                <w:b/>
                <w:sz w:val="22"/>
                <w:szCs w:val="22"/>
              </w:rPr>
            </w:pPr>
            <w:r w:rsidRPr="000D756E">
              <w:rPr>
                <w:rFonts w:ascii="Arial" w:hAnsi="Arial" w:cs="Arial"/>
                <w:b/>
                <w:sz w:val="22"/>
                <w:szCs w:val="22"/>
              </w:rPr>
              <w:t>22</w:t>
            </w:r>
          </w:p>
        </w:tc>
      </w:tr>
      <w:tr w:rsidR="006071DF" w:rsidRPr="000D756E" w14:paraId="1ED9D545" w14:textId="77777777" w:rsidTr="005D6499">
        <w:tc>
          <w:tcPr>
            <w:tcW w:w="2269" w:type="dxa"/>
          </w:tcPr>
          <w:p w14:paraId="5C9DDB8D" w14:textId="77777777" w:rsidR="00AC73B4" w:rsidRPr="000D756E" w:rsidRDefault="00AC73B4" w:rsidP="00AC73B4">
            <w:pPr>
              <w:rPr>
                <w:rFonts w:ascii="Arial" w:hAnsi="Arial" w:cs="Arial"/>
                <w:b/>
                <w:sz w:val="22"/>
                <w:szCs w:val="22"/>
              </w:rPr>
            </w:pPr>
          </w:p>
          <w:p w14:paraId="0510C75C" w14:textId="2EFCA2DD" w:rsidR="00AC73B4" w:rsidRPr="000D756E" w:rsidRDefault="00AC73B4" w:rsidP="00AC73B4">
            <w:pPr>
              <w:rPr>
                <w:rFonts w:ascii="Arial" w:hAnsi="Arial" w:cs="Arial"/>
                <w:b/>
                <w:sz w:val="22"/>
                <w:szCs w:val="22"/>
              </w:rPr>
            </w:pPr>
            <w:r w:rsidRPr="000D756E">
              <w:rPr>
                <w:rFonts w:ascii="Arial" w:hAnsi="Arial" w:cs="Arial"/>
                <w:b/>
                <w:sz w:val="22"/>
                <w:szCs w:val="22"/>
              </w:rPr>
              <w:t>Total</w:t>
            </w:r>
          </w:p>
        </w:tc>
        <w:tc>
          <w:tcPr>
            <w:tcW w:w="1701" w:type="dxa"/>
          </w:tcPr>
          <w:p w14:paraId="5E4EDD6F" w14:textId="77777777" w:rsidR="00AC73B4" w:rsidRPr="000D756E" w:rsidRDefault="00AC73B4" w:rsidP="00AC73B4">
            <w:pPr>
              <w:jc w:val="right"/>
              <w:rPr>
                <w:rFonts w:ascii="Arial" w:hAnsi="Arial" w:cs="Arial"/>
                <w:b/>
                <w:sz w:val="22"/>
                <w:szCs w:val="22"/>
              </w:rPr>
            </w:pPr>
          </w:p>
          <w:p w14:paraId="3AB4B88D" w14:textId="1291DF3E" w:rsidR="00AC73B4" w:rsidRPr="000D756E" w:rsidRDefault="00AC73B4" w:rsidP="00AC73B4">
            <w:pPr>
              <w:jc w:val="right"/>
              <w:rPr>
                <w:rFonts w:ascii="Arial" w:hAnsi="Arial" w:cs="Arial"/>
                <w:b/>
                <w:sz w:val="22"/>
                <w:szCs w:val="22"/>
              </w:rPr>
            </w:pPr>
            <w:r w:rsidRPr="000D756E">
              <w:rPr>
                <w:rFonts w:ascii="Arial" w:hAnsi="Arial" w:cs="Arial"/>
                <w:b/>
                <w:sz w:val="22"/>
                <w:szCs w:val="22"/>
              </w:rPr>
              <w:t>-24,775</w:t>
            </w:r>
          </w:p>
        </w:tc>
        <w:tc>
          <w:tcPr>
            <w:tcW w:w="1417" w:type="dxa"/>
          </w:tcPr>
          <w:p w14:paraId="5CE64ECD" w14:textId="77777777" w:rsidR="00AC73B4" w:rsidRPr="000D756E" w:rsidRDefault="00AC73B4" w:rsidP="00AC73B4">
            <w:pPr>
              <w:jc w:val="right"/>
              <w:rPr>
                <w:rFonts w:ascii="Arial" w:hAnsi="Arial" w:cs="Arial"/>
                <w:b/>
                <w:sz w:val="22"/>
                <w:szCs w:val="22"/>
              </w:rPr>
            </w:pPr>
          </w:p>
          <w:p w14:paraId="4D65DE7C" w14:textId="0A69EBFD" w:rsidR="00AC73B4" w:rsidRPr="000D756E" w:rsidRDefault="00AC73B4" w:rsidP="00AC73B4">
            <w:pPr>
              <w:jc w:val="right"/>
              <w:rPr>
                <w:rFonts w:ascii="Arial" w:hAnsi="Arial" w:cs="Arial"/>
                <w:b/>
                <w:sz w:val="22"/>
                <w:szCs w:val="22"/>
              </w:rPr>
            </w:pPr>
            <w:r w:rsidRPr="000D756E">
              <w:rPr>
                <w:rFonts w:ascii="Arial" w:hAnsi="Arial" w:cs="Arial"/>
                <w:b/>
                <w:sz w:val="22"/>
                <w:szCs w:val="22"/>
              </w:rPr>
              <w:t>6,461</w:t>
            </w:r>
          </w:p>
        </w:tc>
        <w:tc>
          <w:tcPr>
            <w:tcW w:w="1418" w:type="dxa"/>
          </w:tcPr>
          <w:p w14:paraId="3461148B" w14:textId="77777777" w:rsidR="00AC73B4" w:rsidRPr="000D756E" w:rsidRDefault="00AC73B4" w:rsidP="00AC73B4">
            <w:pPr>
              <w:jc w:val="right"/>
              <w:rPr>
                <w:rFonts w:ascii="Arial" w:hAnsi="Arial" w:cs="Arial"/>
                <w:b/>
                <w:sz w:val="22"/>
                <w:szCs w:val="22"/>
              </w:rPr>
            </w:pPr>
          </w:p>
          <w:p w14:paraId="3BBDDAEA" w14:textId="0B5DE860" w:rsidR="00AC73B4" w:rsidRPr="000D756E" w:rsidRDefault="00AC73B4" w:rsidP="00AC73B4">
            <w:pPr>
              <w:jc w:val="right"/>
              <w:rPr>
                <w:rFonts w:ascii="Arial" w:hAnsi="Arial" w:cs="Arial"/>
                <w:b/>
                <w:sz w:val="22"/>
                <w:szCs w:val="22"/>
              </w:rPr>
            </w:pPr>
            <w:r w:rsidRPr="000D756E">
              <w:rPr>
                <w:rFonts w:ascii="Arial" w:hAnsi="Arial" w:cs="Arial"/>
                <w:b/>
                <w:sz w:val="22"/>
                <w:szCs w:val="22"/>
              </w:rPr>
              <w:t>4,831</w:t>
            </w:r>
          </w:p>
        </w:tc>
        <w:tc>
          <w:tcPr>
            <w:tcW w:w="1559" w:type="dxa"/>
          </w:tcPr>
          <w:p w14:paraId="50164CF0" w14:textId="77777777" w:rsidR="00AC73B4" w:rsidRPr="000D756E" w:rsidRDefault="00AC73B4" w:rsidP="00AC73B4">
            <w:pPr>
              <w:jc w:val="right"/>
              <w:rPr>
                <w:rFonts w:ascii="Arial" w:hAnsi="Arial" w:cs="Arial"/>
                <w:b/>
                <w:sz w:val="22"/>
                <w:szCs w:val="22"/>
              </w:rPr>
            </w:pPr>
          </w:p>
          <w:p w14:paraId="4E371AD1" w14:textId="02927C51" w:rsidR="00AC73B4" w:rsidRPr="000D756E" w:rsidRDefault="00AC73B4" w:rsidP="00AC73B4">
            <w:pPr>
              <w:jc w:val="right"/>
              <w:rPr>
                <w:rFonts w:ascii="Arial" w:hAnsi="Arial" w:cs="Arial"/>
                <w:b/>
                <w:sz w:val="22"/>
                <w:szCs w:val="22"/>
              </w:rPr>
            </w:pPr>
            <w:r w:rsidRPr="000D756E">
              <w:rPr>
                <w:rFonts w:ascii="Arial" w:hAnsi="Arial" w:cs="Arial"/>
                <w:b/>
                <w:sz w:val="22"/>
                <w:szCs w:val="22"/>
              </w:rPr>
              <w:t>131</w:t>
            </w:r>
          </w:p>
        </w:tc>
        <w:tc>
          <w:tcPr>
            <w:tcW w:w="1559" w:type="dxa"/>
          </w:tcPr>
          <w:p w14:paraId="509FB411" w14:textId="77777777" w:rsidR="00AC73B4" w:rsidRPr="000D756E" w:rsidRDefault="00AC73B4" w:rsidP="00AC73B4">
            <w:pPr>
              <w:jc w:val="right"/>
              <w:rPr>
                <w:rFonts w:ascii="Arial" w:hAnsi="Arial" w:cs="Arial"/>
                <w:b/>
                <w:sz w:val="22"/>
                <w:szCs w:val="22"/>
              </w:rPr>
            </w:pPr>
          </w:p>
          <w:p w14:paraId="07212D77" w14:textId="19CBD51B" w:rsidR="00AC73B4" w:rsidRPr="000D756E" w:rsidRDefault="00AC73B4" w:rsidP="00AC73B4">
            <w:pPr>
              <w:jc w:val="right"/>
              <w:rPr>
                <w:rFonts w:ascii="Arial" w:hAnsi="Arial" w:cs="Arial"/>
                <w:b/>
                <w:sz w:val="22"/>
                <w:szCs w:val="22"/>
              </w:rPr>
            </w:pPr>
            <w:r w:rsidRPr="000D756E">
              <w:rPr>
                <w:rFonts w:ascii="Arial" w:hAnsi="Arial" w:cs="Arial"/>
                <w:b/>
                <w:sz w:val="22"/>
                <w:szCs w:val="22"/>
              </w:rPr>
              <w:t>11,423</w:t>
            </w:r>
          </w:p>
        </w:tc>
      </w:tr>
    </w:tbl>
    <w:p w14:paraId="25D783E5" w14:textId="77777777" w:rsidR="00094C8E" w:rsidRPr="000D756E" w:rsidRDefault="00094C8E" w:rsidP="009232F8">
      <w:pPr>
        <w:rPr>
          <w:rFonts w:ascii="Arial" w:hAnsi="Arial" w:cs="Arial"/>
          <w:b/>
          <w:sz w:val="24"/>
          <w:szCs w:val="24"/>
        </w:rPr>
      </w:pPr>
    </w:p>
    <w:p w14:paraId="57EBBB23" w14:textId="77777777" w:rsidR="00094C8E" w:rsidRPr="000D756E" w:rsidRDefault="00094C8E" w:rsidP="009232F8">
      <w:pPr>
        <w:rPr>
          <w:rFonts w:ascii="Arial" w:hAnsi="Arial" w:cs="Arial"/>
          <w:b/>
          <w:sz w:val="24"/>
          <w:szCs w:val="24"/>
        </w:rPr>
      </w:pPr>
      <w:r w:rsidRPr="000D756E">
        <w:rPr>
          <w:rFonts w:ascii="Arial" w:hAnsi="Arial" w:cs="Arial"/>
          <w:b/>
          <w:sz w:val="24"/>
          <w:szCs w:val="24"/>
        </w:rPr>
        <w:br w:type="page"/>
      </w:r>
    </w:p>
    <w:p w14:paraId="09770A7B" w14:textId="2277A969" w:rsidR="00094C8E" w:rsidRPr="000D756E" w:rsidRDefault="002D7A49" w:rsidP="00094C8E">
      <w:pPr>
        <w:rPr>
          <w:rFonts w:ascii="Arial" w:hAnsi="Arial" w:cs="Arial"/>
          <w:b/>
          <w:sz w:val="24"/>
          <w:szCs w:val="24"/>
        </w:rPr>
      </w:pPr>
      <w:r>
        <w:rPr>
          <w:rFonts w:ascii="Arial" w:hAnsi="Arial" w:cs="Arial"/>
          <w:b/>
          <w:bCs/>
          <w:sz w:val="24"/>
          <w:szCs w:val="24"/>
        </w:rPr>
        <w:lastRenderedPageBreak/>
        <w:t>3</w:t>
      </w:r>
      <w:r w:rsidR="00094C8E" w:rsidRPr="000D756E">
        <w:rPr>
          <w:rFonts w:ascii="Arial" w:hAnsi="Arial" w:cs="Arial"/>
          <w:b/>
          <w:bCs/>
          <w:sz w:val="24"/>
          <w:szCs w:val="24"/>
        </w:rPr>
        <w:t>b</w:t>
      </w:r>
      <w:r w:rsidR="00094C8E" w:rsidRPr="000D756E">
        <w:rPr>
          <w:rFonts w:ascii="Arial" w:hAnsi="Arial" w:cs="Arial"/>
          <w:b/>
          <w:sz w:val="24"/>
          <w:szCs w:val="24"/>
        </w:rPr>
        <w:t xml:space="preserve"> Expenditure and Income Analysed by Nature</w:t>
      </w:r>
      <w:r w:rsidR="006F5D79" w:rsidRPr="000D756E">
        <w:rPr>
          <w:rFonts w:ascii="Arial" w:hAnsi="Arial" w:cs="Arial"/>
          <w:b/>
          <w:sz w:val="24"/>
          <w:szCs w:val="24"/>
        </w:rPr>
        <w:t xml:space="preserve">   </w:t>
      </w:r>
    </w:p>
    <w:p w14:paraId="36D9BF37" w14:textId="77777777" w:rsidR="00094C8E" w:rsidRPr="000D756E" w:rsidRDefault="00094C8E" w:rsidP="009232F8">
      <w:pPr>
        <w:rPr>
          <w:rFonts w:ascii="Arial" w:hAnsi="Arial"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407"/>
        <w:gridCol w:w="1134"/>
      </w:tblGrid>
      <w:tr w:rsidR="000D756E" w:rsidRPr="000D756E" w14:paraId="506BF60E" w14:textId="77777777" w:rsidTr="00A86357">
        <w:tc>
          <w:tcPr>
            <w:tcW w:w="1526" w:type="dxa"/>
          </w:tcPr>
          <w:p w14:paraId="11EB498F" w14:textId="4390058C" w:rsidR="00A86357" w:rsidRPr="000D756E" w:rsidRDefault="00A86357" w:rsidP="00A86357">
            <w:pPr>
              <w:jc w:val="right"/>
              <w:rPr>
                <w:rFonts w:ascii="Arial" w:hAnsi="Arial" w:cs="Arial"/>
                <w:b/>
                <w:sz w:val="24"/>
                <w:szCs w:val="24"/>
              </w:rPr>
            </w:pPr>
            <w:r w:rsidRPr="000D756E">
              <w:rPr>
                <w:rFonts w:ascii="Arial" w:hAnsi="Arial" w:cs="Arial"/>
                <w:b/>
                <w:sz w:val="24"/>
                <w:szCs w:val="24"/>
              </w:rPr>
              <w:t>202</w:t>
            </w:r>
            <w:r w:rsidR="00B735D7">
              <w:rPr>
                <w:rFonts w:ascii="Arial" w:hAnsi="Arial" w:cs="Arial"/>
                <w:b/>
                <w:sz w:val="24"/>
                <w:szCs w:val="24"/>
              </w:rPr>
              <w:t>3/24</w:t>
            </w:r>
          </w:p>
          <w:p w14:paraId="663A87E4" w14:textId="719E1D86" w:rsidR="00A86357" w:rsidRPr="000D756E" w:rsidRDefault="00A86357" w:rsidP="00B735D7">
            <w:pPr>
              <w:jc w:val="right"/>
              <w:rPr>
                <w:rFonts w:ascii="Arial" w:hAnsi="Arial" w:cs="Arial"/>
                <w:b/>
                <w:sz w:val="24"/>
                <w:szCs w:val="24"/>
              </w:rPr>
            </w:pPr>
            <w:r w:rsidRPr="000D756E">
              <w:rPr>
                <w:rFonts w:ascii="Arial" w:hAnsi="Arial" w:cs="Arial"/>
                <w:b/>
                <w:sz w:val="24"/>
                <w:szCs w:val="24"/>
              </w:rPr>
              <w:t>£’000</w:t>
            </w:r>
          </w:p>
        </w:tc>
        <w:tc>
          <w:tcPr>
            <w:tcW w:w="6407" w:type="dxa"/>
          </w:tcPr>
          <w:p w14:paraId="49CC6B05" w14:textId="77777777" w:rsidR="00A86357" w:rsidRPr="000D756E" w:rsidRDefault="00A86357" w:rsidP="00A86357">
            <w:pPr>
              <w:jc w:val="right"/>
              <w:rPr>
                <w:rFonts w:ascii="Arial" w:hAnsi="Arial" w:cs="Arial"/>
                <w:b/>
                <w:sz w:val="24"/>
                <w:szCs w:val="24"/>
              </w:rPr>
            </w:pPr>
          </w:p>
        </w:tc>
        <w:tc>
          <w:tcPr>
            <w:tcW w:w="1134" w:type="dxa"/>
          </w:tcPr>
          <w:p w14:paraId="42326CD1" w14:textId="349ADC0B" w:rsidR="00A86357" w:rsidRPr="000D756E" w:rsidRDefault="00A86357" w:rsidP="00A86357">
            <w:pPr>
              <w:jc w:val="right"/>
              <w:rPr>
                <w:rFonts w:ascii="Arial" w:hAnsi="Arial" w:cs="Arial"/>
                <w:b/>
                <w:sz w:val="24"/>
                <w:szCs w:val="24"/>
              </w:rPr>
            </w:pPr>
            <w:r w:rsidRPr="000D756E">
              <w:rPr>
                <w:rFonts w:ascii="Arial" w:hAnsi="Arial" w:cs="Arial"/>
                <w:b/>
                <w:sz w:val="24"/>
                <w:szCs w:val="24"/>
              </w:rPr>
              <w:t>202</w:t>
            </w:r>
            <w:r w:rsidR="00B735D7">
              <w:rPr>
                <w:rFonts w:ascii="Arial" w:hAnsi="Arial" w:cs="Arial"/>
                <w:b/>
                <w:sz w:val="24"/>
                <w:szCs w:val="24"/>
              </w:rPr>
              <w:t>4/25</w:t>
            </w:r>
          </w:p>
          <w:p w14:paraId="23856B23" w14:textId="77777777" w:rsidR="00A86357" w:rsidRPr="000D756E" w:rsidRDefault="00A86357" w:rsidP="00A86357">
            <w:pPr>
              <w:jc w:val="right"/>
              <w:rPr>
                <w:rFonts w:ascii="Arial" w:hAnsi="Arial" w:cs="Arial"/>
                <w:b/>
                <w:sz w:val="24"/>
                <w:szCs w:val="24"/>
              </w:rPr>
            </w:pPr>
            <w:r w:rsidRPr="000D756E">
              <w:rPr>
                <w:rFonts w:ascii="Arial" w:hAnsi="Arial" w:cs="Arial"/>
                <w:b/>
                <w:sz w:val="24"/>
                <w:szCs w:val="24"/>
              </w:rPr>
              <w:t>£’000</w:t>
            </w:r>
          </w:p>
        </w:tc>
      </w:tr>
      <w:tr w:rsidR="00440488" w:rsidRPr="000D756E" w14:paraId="3D42B840" w14:textId="77777777" w:rsidTr="00F92345">
        <w:tc>
          <w:tcPr>
            <w:tcW w:w="1526" w:type="dxa"/>
          </w:tcPr>
          <w:p w14:paraId="4962A7F3" w14:textId="77777777" w:rsidR="00440488" w:rsidRPr="000D756E" w:rsidRDefault="00440488" w:rsidP="00440488">
            <w:pPr>
              <w:jc w:val="right"/>
              <w:rPr>
                <w:rFonts w:ascii="Arial" w:hAnsi="Arial" w:cs="Arial"/>
                <w:sz w:val="24"/>
                <w:szCs w:val="24"/>
              </w:rPr>
            </w:pPr>
          </w:p>
        </w:tc>
        <w:tc>
          <w:tcPr>
            <w:tcW w:w="6407" w:type="dxa"/>
          </w:tcPr>
          <w:p w14:paraId="0BCF7B8E" w14:textId="77777777" w:rsidR="00440488" w:rsidRPr="000D756E" w:rsidRDefault="00440488" w:rsidP="00440488">
            <w:pPr>
              <w:rPr>
                <w:rFonts w:ascii="Arial" w:hAnsi="Arial" w:cs="Arial"/>
                <w:b/>
                <w:sz w:val="24"/>
                <w:szCs w:val="24"/>
              </w:rPr>
            </w:pPr>
            <w:r w:rsidRPr="000D756E">
              <w:rPr>
                <w:rFonts w:ascii="Arial" w:hAnsi="Arial" w:cs="Arial"/>
                <w:b/>
                <w:sz w:val="24"/>
                <w:szCs w:val="24"/>
              </w:rPr>
              <w:t>Expenditure</w:t>
            </w:r>
          </w:p>
        </w:tc>
        <w:tc>
          <w:tcPr>
            <w:tcW w:w="1134" w:type="dxa"/>
          </w:tcPr>
          <w:p w14:paraId="31C3BD52" w14:textId="41F6D346" w:rsidR="00440488" w:rsidRPr="000D756E" w:rsidRDefault="00440488" w:rsidP="00440488">
            <w:pPr>
              <w:jc w:val="right"/>
              <w:rPr>
                <w:rFonts w:ascii="Arial" w:hAnsi="Arial" w:cs="Arial"/>
                <w:sz w:val="24"/>
                <w:szCs w:val="24"/>
              </w:rPr>
            </w:pPr>
          </w:p>
        </w:tc>
      </w:tr>
      <w:tr w:rsidR="00440488" w:rsidRPr="000D756E" w14:paraId="75ED50C5" w14:textId="77777777" w:rsidTr="00CE25FF">
        <w:tc>
          <w:tcPr>
            <w:tcW w:w="1526" w:type="dxa"/>
          </w:tcPr>
          <w:p w14:paraId="7D32D8CE" w14:textId="24E10DFE" w:rsidR="00440488" w:rsidRPr="000D756E" w:rsidRDefault="00440488" w:rsidP="00440488">
            <w:pPr>
              <w:jc w:val="right"/>
              <w:rPr>
                <w:rFonts w:ascii="Arial" w:hAnsi="Arial" w:cs="Arial"/>
                <w:sz w:val="24"/>
                <w:szCs w:val="24"/>
              </w:rPr>
            </w:pPr>
            <w:r w:rsidRPr="000D756E">
              <w:rPr>
                <w:rFonts w:ascii="Arial" w:hAnsi="Arial" w:cs="Arial"/>
                <w:sz w:val="24"/>
                <w:szCs w:val="24"/>
              </w:rPr>
              <w:t>24,661</w:t>
            </w:r>
          </w:p>
        </w:tc>
        <w:tc>
          <w:tcPr>
            <w:tcW w:w="6407" w:type="dxa"/>
          </w:tcPr>
          <w:p w14:paraId="66A89206" w14:textId="77777777" w:rsidR="00440488" w:rsidRPr="000D756E" w:rsidRDefault="00440488" w:rsidP="00440488">
            <w:pPr>
              <w:rPr>
                <w:rFonts w:ascii="Arial" w:hAnsi="Arial" w:cs="Arial"/>
                <w:sz w:val="24"/>
                <w:szCs w:val="24"/>
              </w:rPr>
            </w:pPr>
            <w:r w:rsidRPr="000D756E">
              <w:rPr>
                <w:rFonts w:ascii="Arial" w:hAnsi="Arial" w:cs="Arial"/>
                <w:sz w:val="24"/>
                <w:szCs w:val="24"/>
              </w:rPr>
              <w:t>Employee benefit expenses</w:t>
            </w:r>
          </w:p>
        </w:tc>
        <w:tc>
          <w:tcPr>
            <w:tcW w:w="1134" w:type="dxa"/>
          </w:tcPr>
          <w:p w14:paraId="6BF6CB97" w14:textId="7A14D2EC" w:rsidR="00440488" w:rsidRPr="000D756E" w:rsidRDefault="002F777C" w:rsidP="00440488">
            <w:pPr>
              <w:jc w:val="right"/>
              <w:rPr>
                <w:rFonts w:ascii="Arial" w:hAnsi="Arial" w:cs="Arial"/>
                <w:sz w:val="24"/>
                <w:szCs w:val="24"/>
              </w:rPr>
            </w:pPr>
            <w:r>
              <w:rPr>
                <w:rFonts w:ascii="Arial" w:hAnsi="Arial" w:cs="Arial"/>
                <w:sz w:val="24"/>
                <w:szCs w:val="24"/>
              </w:rPr>
              <w:t>30,859</w:t>
            </w:r>
          </w:p>
        </w:tc>
      </w:tr>
      <w:tr w:rsidR="00440488" w:rsidRPr="000D756E" w14:paraId="038CDEC4" w14:textId="77777777" w:rsidTr="00CE25FF">
        <w:tc>
          <w:tcPr>
            <w:tcW w:w="1526" w:type="dxa"/>
          </w:tcPr>
          <w:p w14:paraId="5FB6DE4A" w14:textId="587EADE1" w:rsidR="00440488" w:rsidRPr="000D756E" w:rsidRDefault="00440488" w:rsidP="00440488">
            <w:pPr>
              <w:jc w:val="right"/>
              <w:rPr>
                <w:rFonts w:ascii="Arial" w:hAnsi="Arial" w:cs="Arial"/>
                <w:sz w:val="24"/>
                <w:szCs w:val="24"/>
              </w:rPr>
            </w:pPr>
            <w:r w:rsidRPr="000D756E">
              <w:rPr>
                <w:rFonts w:ascii="Arial" w:hAnsi="Arial" w:cs="Arial"/>
                <w:sz w:val="24"/>
                <w:szCs w:val="24"/>
              </w:rPr>
              <w:t>6,552</w:t>
            </w:r>
          </w:p>
        </w:tc>
        <w:tc>
          <w:tcPr>
            <w:tcW w:w="6407" w:type="dxa"/>
          </w:tcPr>
          <w:p w14:paraId="433789E7" w14:textId="77777777" w:rsidR="00440488" w:rsidRPr="000D756E" w:rsidRDefault="00440488" w:rsidP="00440488">
            <w:pPr>
              <w:rPr>
                <w:rFonts w:ascii="Arial" w:hAnsi="Arial" w:cs="Arial"/>
                <w:sz w:val="24"/>
                <w:szCs w:val="24"/>
              </w:rPr>
            </w:pPr>
            <w:r w:rsidRPr="000D756E">
              <w:rPr>
                <w:rFonts w:ascii="Arial" w:hAnsi="Arial" w:cs="Arial"/>
                <w:sz w:val="24"/>
                <w:szCs w:val="24"/>
              </w:rPr>
              <w:t>Other service expenses</w:t>
            </w:r>
          </w:p>
        </w:tc>
        <w:tc>
          <w:tcPr>
            <w:tcW w:w="1134" w:type="dxa"/>
          </w:tcPr>
          <w:p w14:paraId="44B2344A" w14:textId="0708BC58" w:rsidR="00440488" w:rsidRPr="000D756E" w:rsidRDefault="002F777C" w:rsidP="00440488">
            <w:pPr>
              <w:jc w:val="right"/>
              <w:rPr>
                <w:rFonts w:ascii="Arial" w:hAnsi="Arial" w:cs="Arial"/>
                <w:sz w:val="24"/>
                <w:szCs w:val="24"/>
              </w:rPr>
            </w:pPr>
            <w:r>
              <w:rPr>
                <w:rFonts w:ascii="Arial" w:hAnsi="Arial" w:cs="Arial"/>
                <w:sz w:val="24"/>
                <w:szCs w:val="24"/>
              </w:rPr>
              <w:t>6,94</w:t>
            </w:r>
            <w:r w:rsidR="0005493A">
              <w:rPr>
                <w:rFonts w:ascii="Arial" w:hAnsi="Arial" w:cs="Arial"/>
                <w:sz w:val="24"/>
                <w:szCs w:val="24"/>
              </w:rPr>
              <w:t>2</w:t>
            </w:r>
          </w:p>
        </w:tc>
      </w:tr>
      <w:tr w:rsidR="00440488" w:rsidRPr="000D756E" w14:paraId="73B5242D" w14:textId="77777777" w:rsidTr="00CE25FF">
        <w:tc>
          <w:tcPr>
            <w:tcW w:w="1526" w:type="dxa"/>
          </w:tcPr>
          <w:p w14:paraId="450B0652" w14:textId="7BB95F4B" w:rsidR="00440488" w:rsidRPr="000D756E" w:rsidRDefault="00440488" w:rsidP="00440488">
            <w:pPr>
              <w:jc w:val="right"/>
              <w:rPr>
                <w:rFonts w:ascii="Arial" w:hAnsi="Arial" w:cs="Arial"/>
                <w:sz w:val="24"/>
                <w:szCs w:val="24"/>
              </w:rPr>
            </w:pPr>
            <w:r w:rsidRPr="000D756E">
              <w:rPr>
                <w:rFonts w:ascii="Arial" w:hAnsi="Arial" w:cs="Arial"/>
                <w:sz w:val="24"/>
                <w:szCs w:val="24"/>
              </w:rPr>
              <w:t>7,842</w:t>
            </w:r>
          </w:p>
        </w:tc>
        <w:tc>
          <w:tcPr>
            <w:tcW w:w="6407" w:type="dxa"/>
          </w:tcPr>
          <w:p w14:paraId="2456947B" w14:textId="77777777" w:rsidR="00440488" w:rsidRPr="000D756E" w:rsidRDefault="00440488" w:rsidP="00440488">
            <w:pPr>
              <w:rPr>
                <w:rFonts w:ascii="Arial" w:hAnsi="Arial" w:cs="Arial"/>
                <w:sz w:val="24"/>
                <w:szCs w:val="24"/>
              </w:rPr>
            </w:pPr>
            <w:r w:rsidRPr="000D756E">
              <w:rPr>
                <w:rFonts w:ascii="Arial" w:hAnsi="Arial" w:cs="Arial"/>
                <w:sz w:val="24"/>
                <w:szCs w:val="24"/>
              </w:rPr>
              <w:t>Depreciation and impairment</w:t>
            </w:r>
          </w:p>
        </w:tc>
        <w:tc>
          <w:tcPr>
            <w:tcW w:w="1134" w:type="dxa"/>
          </w:tcPr>
          <w:p w14:paraId="288AE663" w14:textId="4965A6CD" w:rsidR="00440488" w:rsidRPr="000D756E" w:rsidRDefault="002F777C" w:rsidP="00440488">
            <w:pPr>
              <w:jc w:val="right"/>
              <w:rPr>
                <w:rFonts w:ascii="Arial" w:hAnsi="Arial" w:cs="Arial"/>
                <w:sz w:val="24"/>
                <w:szCs w:val="24"/>
              </w:rPr>
            </w:pPr>
            <w:r>
              <w:rPr>
                <w:rFonts w:ascii="Arial" w:hAnsi="Arial" w:cs="Arial"/>
                <w:sz w:val="24"/>
                <w:szCs w:val="24"/>
              </w:rPr>
              <w:t>2,903</w:t>
            </w:r>
          </w:p>
        </w:tc>
      </w:tr>
      <w:tr w:rsidR="00440488" w:rsidRPr="000D756E" w14:paraId="01AF7420" w14:textId="77777777" w:rsidTr="00CE25FF">
        <w:tc>
          <w:tcPr>
            <w:tcW w:w="1526" w:type="dxa"/>
          </w:tcPr>
          <w:p w14:paraId="677FD2D2" w14:textId="6A86A618" w:rsidR="00440488" w:rsidRPr="000D756E" w:rsidRDefault="00440488" w:rsidP="00440488">
            <w:pPr>
              <w:jc w:val="right"/>
              <w:rPr>
                <w:rFonts w:ascii="Arial" w:hAnsi="Arial" w:cs="Arial"/>
                <w:bCs/>
                <w:sz w:val="24"/>
                <w:szCs w:val="24"/>
              </w:rPr>
            </w:pPr>
            <w:r w:rsidRPr="000D756E">
              <w:rPr>
                <w:rFonts w:ascii="Arial" w:hAnsi="Arial" w:cs="Arial"/>
                <w:bCs/>
                <w:sz w:val="24"/>
                <w:szCs w:val="24"/>
              </w:rPr>
              <w:t>234</w:t>
            </w:r>
          </w:p>
        </w:tc>
        <w:tc>
          <w:tcPr>
            <w:tcW w:w="6407" w:type="dxa"/>
          </w:tcPr>
          <w:p w14:paraId="110ABC8B" w14:textId="77777777" w:rsidR="00440488" w:rsidRPr="000D756E" w:rsidRDefault="00440488" w:rsidP="00440488">
            <w:pPr>
              <w:rPr>
                <w:rFonts w:ascii="Arial" w:hAnsi="Arial" w:cs="Arial"/>
                <w:sz w:val="24"/>
                <w:szCs w:val="24"/>
              </w:rPr>
            </w:pPr>
            <w:r w:rsidRPr="000D756E">
              <w:rPr>
                <w:rFonts w:ascii="Arial" w:hAnsi="Arial" w:cs="Arial"/>
                <w:sz w:val="24"/>
                <w:szCs w:val="24"/>
              </w:rPr>
              <w:t>Interest payments</w:t>
            </w:r>
          </w:p>
        </w:tc>
        <w:tc>
          <w:tcPr>
            <w:tcW w:w="1134" w:type="dxa"/>
          </w:tcPr>
          <w:p w14:paraId="63EFCD9A" w14:textId="3CCF142E" w:rsidR="00440488" w:rsidRPr="000D756E" w:rsidRDefault="002F777C" w:rsidP="00440488">
            <w:pPr>
              <w:jc w:val="right"/>
              <w:rPr>
                <w:rFonts w:ascii="Arial" w:hAnsi="Arial" w:cs="Arial"/>
                <w:bCs/>
                <w:sz w:val="24"/>
                <w:szCs w:val="24"/>
              </w:rPr>
            </w:pPr>
            <w:r>
              <w:rPr>
                <w:rFonts w:ascii="Arial" w:hAnsi="Arial" w:cs="Arial"/>
                <w:bCs/>
                <w:sz w:val="24"/>
                <w:szCs w:val="24"/>
              </w:rPr>
              <w:t>232</w:t>
            </w:r>
          </w:p>
        </w:tc>
      </w:tr>
      <w:tr w:rsidR="00440488" w:rsidRPr="000D756E" w14:paraId="47CA4FD9" w14:textId="77777777" w:rsidTr="00CE25FF">
        <w:tc>
          <w:tcPr>
            <w:tcW w:w="1526" w:type="dxa"/>
          </w:tcPr>
          <w:p w14:paraId="4F67C505" w14:textId="4AA3B936" w:rsidR="00440488" w:rsidRPr="000D756E" w:rsidRDefault="00440488" w:rsidP="00440488">
            <w:pPr>
              <w:jc w:val="right"/>
              <w:rPr>
                <w:rFonts w:ascii="Arial" w:hAnsi="Arial" w:cs="Arial"/>
                <w:b/>
                <w:sz w:val="24"/>
                <w:szCs w:val="24"/>
              </w:rPr>
            </w:pPr>
            <w:r w:rsidRPr="000D756E">
              <w:rPr>
                <w:rFonts w:ascii="Arial" w:hAnsi="Arial" w:cs="Arial"/>
                <w:b/>
                <w:sz w:val="24"/>
                <w:szCs w:val="24"/>
              </w:rPr>
              <w:t>39,289</w:t>
            </w:r>
          </w:p>
        </w:tc>
        <w:tc>
          <w:tcPr>
            <w:tcW w:w="6407" w:type="dxa"/>
          </w:tcPr>
          <w:p w14:paraId="715B463A" w14:textId="77777777" w:rsidR="00440488" w:rsidRPr="000D756E" w:rsidRDefault="00440488" w:rsidP="00440488">
            <w:pPr>
              <w:rPr>
                <w:rFonts w:ascii="Arial" w:hAnsi="Arial" w:cs="Arial"/>
                <w:b/>
                <w:sz w:val="24"/>
                <w:szCs w:val="24"/>
              </w:rPr>
            </w:pPr>
            <w:r w:rsidRPr="000D756E">
              <w:rPr>
                <w:rFonts w:ascii="Arial" w:hAnsi="Arial" w:cs="Arial"/>
                <w:b/>
                <w:sz w:val="24"/>
                <w:szCs w:val="24"/>
              </w:rPr>
              <w:t>Total Expenditure</w:t>
            </w:r>
          </w:p>
        </w:tc>
        <w:tc>
          <w:tcPr>
            <w:tcW w:w="1134" w:type="dxa"/>
          </w:tcPr>
          <w:p w14:paraId="55A2209F" w14:textId="4F4CF46D" w:rsidR="00440488" w:rsidRPr="000D756E" w:rsidRDefault="0005493A" w:rsidP="00440488">
            <w:pPr>
              <w:jc w:val="right"/>
              <w:rPr>
                <w:rFonts w:ascii="Arial" w:hAnsi="Arial" w:cs="Arial"/>
                <w:b/>
                <w:sz w:val="24"/>
                <w:szCs w:val="24"/>
              </w:rPr>
            </w:pPr>
            <w:r>
              <w:rPr>
                <w:rFonts w:ascii="Arial" w:hAnsi="Arial" w:cs="Arial"/>
                <w:b/>
                <w:sz w:val="24"/>
                <w:szCs w:val="24"/>
              </w:rPr>
              <w:t>40,936</w:t>
            </w:r>
          </w:p>
        </w:tc>
      </w:tr>
      <w:tr w:rsidR="00440488" w:rsidRPr="000D756E" w14:paraId="58CFDC7E" w14:textId="77777777" w:rsidTr="00CE25FF">
        <w:tc>
          <w:tcPr>
            <w:tcW w:w="1526" w:type="dxa"/>
          </w:tcPr>
          <w:p w14:paraId="476CE1E5" w14:textId="77777777" w:rsidR="00440488" w:rsidRPr="000D756E" w:rsidRDefault="00440488" w:rsidP="00440488">
            <w:pPr>
              <w:jc w:val="right"/>
              <w:rPr>
                <w:rFonts w:ascii="Arial" w:hAnsi="Arial" w:cs="Arial"/>
                <w:sz w:val="24"/>
                <w:szCs w:val="24"/>
              </w:rPr>
            </w:pPr>
          </w:p>
        </w:tc>
        <w:tc>
          <w:tcPr>
            <w:tcW w:w="6407" w:type="dxa"/>
          </w:tcPr>
          <w:p w14:paraId="631C9582" w14:textId="77777777" w:rsidR="00440488" w:rsidRPr="000D756E" w:rsidRDefault="00440488" w:rsidP="00440488">
            <w:pPr>
              <w:rPr>
                <w:rFonts w:ascii="Arial" w:hAnsi="Arial" w:cs="Arial"/>
                <w:b/>
                <w:sz w:val="24"/>
                <w:szCs w:val="24"/>
              </w:rPr>
            </w:pPr>
          </w:p>
        </w:tc>
        <w:tc>
          <w:tcPr>
            <w:tcW w:w="1134" w:type="dxa"/>
          </w:tcPr>
          <w:p w14:paraId="5AA075B1" w14:textId="77777777" w:rsidR="00440488" w:rsidRPr="000D756E" w:rsidRDefault="00440488" w:rsidP="00440488">
            <w:pPr>
              <w:jc w:val="right"/>
              <w:rPr>
                <w:rFonts w:ascii="Arial" w:hAnsi="Arial" w:cs="Arial"/>
                <w:sz w:val="24"/>
                <w:szCs w:val="24"/>
              </w:rPr>
            </w:pPr>
          </w:p>
        </w:tc>
      </w:tr>
      <w:tr w:rsidR="00440488" w:rsidRPr="000D756E" w14:paraId="412C7037" w14:textId="77777777" w:rsidTr="00CE25FF">
        <w:tc>
          <w:tcPr>
            <w:tcW w:w="1526" w:type="dxa"/>
          </w:tcPr>
          <w:p w14:paraId="7341E5CD" w14:textId="77777777" w:rsidR="00440488" w:rsidRPr="000D756E" w:rsidRDefault="00440488" w:rsidP="00440488">
            <w:pPr>
              <w:jc w:val="right"/>
              <w:rPr>
                <w:rFonts w:ascii="Arial" w:hAnsi="Arial" w:cs="Arial"/>
                <w:sz w:val="24"/>
                <w:szCs w:val="24"/>
              </w:rPr>
            </w:pPr>
          </w:p>
        </w:tc>
        <w:tc>
          <w:tcPr>
            <w:tcW w:w="6407" w:type="dxa"/>
          </w:tcPr>
          <w:p w14:paraId="031240EC" w14:textId="77777777" w:rsidR="00440488" w:rsidRPr="000D756E" w:rsidRDefault="00440488" w:rsidP="00440488">
            <w:pPr>
              <w:rPr>
                <w:rFonts w:ascii="Arial" w:hAnsi="Arial" w:cs="Arial"/>
                <w:b/>
                <w:sz w:val="24"/>
                <w:szCs w:val="24"/>
              </w:rPr>
            </w:pPr>
            <w:r w:rsidRPr="000D756E">
              <w:rPr>
                <w:rFonts w:ascii="Arial" w:hAnsi="Arial" w:cs="Arial"/>
                <w:b/>
                <w:sz w:val="24"/>
                <w:szCs w:val="24"/>
              </w:rPr>
              <w:t>Income</w:t>
            </w:r>
          </w:p>
        </w:tc>
        <w:tc>
          <w:tcPr>
            <w:tcW w:w="1134" w:type="dxa"/>
          </w:tcPr>
          <w:p w14:paraId="6E5154BB" w14:textId="77777777" w:rsidR="00440488" w:rsidRPr="000D756E" w:rsidRDefault="00440488" w:rsidP="00440488">
            <w:pPr>
              <w:jc w:val="right"/>
              <w:rPr>
                <w:rFonts w:ascii="Arial" w:hAnsi="Arial" w:cs="Arial"/>
                <w:sz w:val="24"/>
                <w:szCs w:val="24"/>
              </w:rPr>
            </w:pPr>
          </w:p>
        </w:tc>
      </w:tr>
      <w:tr w:rsidR="00440488" w:rsidRPr="000D756E" w14:paraId="5E4642D9" w14:textId="77777777" w:rsidTr="00CE25FF">
        <w:tc>
          <w:tcPr>
            <w:tcW w:w="1526" w:type="dxa"/>
          </w:tcPr>
          <w:p w14:paraId="369232B1" w14:textId="0F1CC29E" w:rsidR="00440488" w:rsidRPr="000D756E" w:rsidRDefault="00440488" w:rsidP="00440488">
            <w:pPr>
              <w:jc w:val="right"/>
              <w:rPr>
                <w:rFonts w:ascii="Arial" w:hAnsi="Arial" w:cs="Arial"/>
                <w:sz w:val="24"/>
                <w:szCs w:val="24"/>
              </w:rPr>
            </w:pPr>
            <w:r w:rsidRPr="000D756E">
              <w:rPr>
                <w:rFonts w:ascii="Arial" w:hAnsi="Arial" w:cs="Arial"/>
                <w:sz w:val="24"/>
                <w:szCs w:val="24"/>
              </w:rPr>
              <w:t>-336</w:t>
            </w:r>
          </w:p>
        </w:tc>
        <w:tc>
          <w:tcPr>
            <w:tcW w:w="6407" w:type="dxa"/>
          </w:tcPr>
          <w:p w14:paraId="1B2D337C" w14:textId="77777777" w:rsidR="00440488" w:rsidRPr="000D756E" w:rsidRDefault="00440488" w:rsidP="00440488">
            <w:pPr>
              <w:rPr>
                <w:rFonts w:ascii="Arial" w:hAnsi="Arial" w:cs="Arial"/>
                <w:sz w:val="24"/>
                <w:szCs w:val="24"/>
              </w:rPr>
            </w:pPr>
            <w:r w:rsidRPr="000D756E">
              <w:rPr>
                <w:rFonts w:ascii="Arial" w:hAnsi="Arial" w:cs="Arial"/>
                <w:sz w:val="24"/>
                <w:szCs w:val="24"/>
              </w:rPr>
              <w:t>Fees and charges and other service income</w:t>
            </w:r>
          </w:p>
        </w:tc>
        <w:tc>
          <w:tcPr>
            <w:tcW w:w="1134" w:type="dxa"/>
          </w:tcPr>
          <w:p w14:paraId="301CDC90" w14:textId="39331404" w:rsidR="00440488" w:rsidRPr="000D756E" w:rsidRDefault="0005493A" w:rsidP="00440488">
            <w:pPr>
              <w:jc w:val="right"/>
              <w:rPr>
                <w:rFonts w:ascii="Arial" w:hAnsi="Arial" w:cs="Arial"/>
                <w:sz w:val="24"/>
                <w:szCs w:val="24"/>
              </w:rPr>
            </w:pPr>
            <w:r>
              <w:rPr>
                <w:rFonts w:ascii="Arial" w:hAnsi="Arial" w:cs="Arial"/>
                <w:sz w:val="24"/>
                <w:szCs w:val="24"/>
              </w:rPr>
              <w:t>-337</w:t>
            </w:r>
          </w:p>
        </w:tc>
      </w:tr>
      <w:tr w:rsidR="00440488" w:rsidRPr="000D756E" w14:paraId="5903F5C7" w14:textId="77777777" w:rsidTr="00CE25FF">
        <w:tc>
          <w:tcPr>
            <w:tcW w:w="1526" w:type="dxa"/>
          </w:tcPr>
          <w:p w14:paraId="510ED80E" w14:textId="3692DC9B" w:rsidR="00440488" w:rsidRPr="000D756E" w:rsidRDefault="00440488" w:rsidP="00440488">
            <w:pPr>
              <w:jc w:val="right"/>
              <w:rPr>
                <w:rFonts w:ascii="Arial" w:hAnsi="Arial" w:cs="Arial"/>
                <w:sz w:val="24"/>
                <w:szCs w:val="24"/>
              </w:rPr>
            </w:pPr>
            <w:r w:rsidRPr="000D756E">
              <w:rPr>
                <w:rFonts w:ascii="Arial" w:hAnsi="Arial" w:cs="Arial"/>
                <w:sz w:val="24"/>
                <w:szCs w:val="24"/>
              </w:rPr>
              <w:t>-23,368</w:t>
            </w:r>
          </w:p>
        </w:tc>
        <w:tc>
          <w:tcPr>
            <w:tcW w:w="6407" w:type="dxa"/>
          </w:tcPr>
          <w:p w14:paraId="5A2E7C7F" w14:textId="77777777" w:rsidR="00440488" w:rsidRPr="000D756E" w:rsidRDefault="00440488" w:rsidP="00440488">
            <w:pPr>
              <w:rPr>
                <w:rFonts w:ascii="Arial" w:hAnsi="Arial" w:cs="Arial"/>
                <w:sz w:val="24"/>
                <w:szCs w:val="24"/>
              </w:rPr>
            </w:pPr>
            <w:r w:rsidRPr="000D756E">
              <w:rPr>
                <w:rFonts w:ascii="Arial" w:hAnsi="Arial" w:cs="Arial"/>
                <w:sz w:val="24"/>
                <w:szCs w:val="24"/>
              </w:rPr>
              <w:t>Income from council tax and business rates</w:t>
            </w:r>
          </w:p>
        </w:tc>
        <w:tc>
          <w:tcPr>
            <w:tcW w:w="1134" w:type="dxa"/>
          </w:tcPr>
          <w:p w14:paraId="446B074D" w14:textId="26AFE8EB" w:rsidR="00440488" w:rsidRPr="000D756E" w:rsidRDefault="0005493A" w:rsidP="00440488">
            <w:pPr>
              <w:jc w:val="right"/>
              <w:rPr>
                <w:rFonts w:ascii="Arial" w:hAnsi="Arial" w:cs="Arial"/>
                <w:sz w:val="24"/>
                <w:szCs w:val="24"/>
              </w:rPr>
            </w:pPr>
            <w:r>
              <w:rPr>
                <w:rFonts w:ascii="Arial" w:hAnsi="Arial" w:cs="Arial"/>
                <w:sz w:val="24"/>
                <w:szCs w:val="24"/>
              </w:rPr>
              <w:t>-</w:t>
            </w:r>
            <w:r w:rsidR="00144A78">
              <w:rPr>
                <w:rFonts w:ascii="Arial" w:hAnsi="Arial" w:cs="Arial"/>
                <w:sz w:val="24"/>
                <w:szCs w:val="24"/>
              </w:rPr>
              <w:t>24,526</w:t>
            </w:r>
          </w:p>
        </w:tc>
      </w:tr>
      <w:tr w:rsidR="00440488" w:rsidRPr="000D756E" w14:paraId="0C0E33E8" w14:textId="77777777" w:rsidTr="00CE25FF">
        <w:tc>
          <w:tcPr>
            <w:tcW w:w="1526" w:type="dxa"/>
          </w:tcPr>
          <w:p w14:paraId="5BBE6797" w14:textId="3A11B84C" w:rsidR="00440488" w:rsidRPr="000D756E" w:rsidRDefault="00440488" w:rsidP="00440488">
            <w:pPr>
              <w:jc w:val="right"/>
              <w:rPr>
                <w:rFonts w:ascii="Arial" w:hAnsi="Arial" w:cs="Arial"/>
                <w:sz w:val="24"/>
                <w:szCs w:val="24"/>
              </w:rPr>
            </w:pPr>
            <w:r w:rsidRPr="000D756E">
              <w:rPr>
                <w:rFonts w:ascii="Arial" w:hAnsi="Arial" w:cs="Arial"/>
                <w:sz w:val="24"/>
                <w:szCs w:val="24"/>
              </w:rPr>
              <w:t>-4,361</w:t>
            </w:r>
          </w:p>
        </w:tc>
        <w:tc>
          <w:tcPr>
            <w:tcW w:w="6407" w:type="dxa"/>
          </w:tcPr>
          <w:p w14:paraId="6DFF1604" w14:textId="77777777" w:rsidR="00440488" w:rsidRPr="000D756E" w:rsidRDefault="00440488" w:rsidP="00440488">
            <w:pPr>
              <w:rPr>
                <w:rFonts w:ascii="Arial" w:hAnsi="Arial" w:cs="Arial"/>
                <w:sz w:val="24"/>
                <w:szCs w:val="24"/>
              </w:rPr>
            </w:pPr>
            <w:r w:rsidRPr="000D756E">
              <w:rPr>
                <w:rFonts w:ascii="Arial" w:hAnsi="Arial" w:cs="Arial"/>
                <w:sz w:val="24"/>
                <w:szCs w:val="24"/>
              </w:rPr>
              <w:t>Government grant and contributions</w:t>
            </w:r>
          </w:p>
        </w:tc>
        <w:tc>
          <w:tcPr>
            <w:tcW w:w="1134" w:type="dxa"/>
          </w:tcPr>
          <w:p w14:paraId="6DFC8884" w14:textId="45FF0D9D" w:rsidR="00440488" w:rsidRPr="000D756E" w:rsidRDefault="00144A78" w:rsidP="00440488">
            <w:pPr>
              <w:jc w:val="right"/>
              <w:rPr>
                <w:rFonts w:ascii="Arial" w:hAnsi="Arial" w:cs="Arial"/>
                <w:sz w:val="24"/>
                <w:szCs w:val="24"/>
              </w:rPr>
            </w:pPr>
            <w:r>
              <w:rPr>
                <w:rFonts w:ascii="Arial" w:hAnsi="Arial" w:cs="Arial"/>
                <w:sz w:val="24"/>
                <w:szCs w:val="24"/>
              </w:rPr>
              <w:t>-5,858</w:t>
            </w:r>
          </w:p>
        </w:tc>
      </w:tr>
      <w:tr w:rsidR="00440488" w:rsidRPr="000D756E" w14:paraId="55001801" w14:textId="77777777" w:rsidTr="00CE25FF">
        <w:tc>
          <w:tcPr>
            <w:tcW w:w="1526" w:type="dxa"/>
          </w:tcPr>
          <w:p w14:paraId="636B4DD8" w14:textId="025C7BB3" w:rsidR="00440488" w:rsidRPr="000D756E" w:rsidRDefault="00440488" w:rsidP="00440488">
            <w:pPr>
              <w:jc w:val="right"/>
              <w:rPr>
                <w:rFonts w:ascii="Arial" w:hAnsi="Arial" w:cs="Arial"/>
                <w:sz w:val="24"/>
                <w:szCs w:val="24"/>
              </w:rPr>
            </w:pPr>
            <w:r w:rsidRPr="000D756E">
              <w:rPr>
                <w:rFonts w:ascii="Arial" w:hAnsi="Arial" w:cs="Arial"/>
                <w:sz w:val="24"/>
                <w:szCs w:val="24"/>
              </w:rPr>
              <w:t>-543</w:t>
            </w:r>
          </w:p>
        </w:tc>
        <w:tc>
          <w:tcPr>
            <w:tcW w:w="6407" w:type="dxa"/>
          </w:tcPr>
          <w:p w14:paraId="062172B0" w14:textId="77777777" w:rsidR="00440488" w:rsidRPr="000D756E" w:rsidRDefault="00440488" w:rsidP="00440488">
            <w:pPr>
              <w:rPr>
                <w:rFonts w:ascii="Arial" w:hAnsi="Arial" w:cs="Arial"/>
                <w:sz w:val="24"/>
                <w:szCs w:val="24"/>
              </w:rPr>
            </w:pPr>
            <w:r w:rsidRPr="000D756E">
              <w:rPr>
                <w:rFonts w:ascii="Arial" w:hAnsi="Arial" w:cs="Arial"/>
                <w:sz w:val="24"/>
                <w:szCs w:val="24"/>
              </w:rPr>
              <w:t>Interest and investment income</w:t>
            </w:r>
          </w:p>
        </w:tc>
        <w:tc>
          <w:tcPr>
            <w:tcW w:w="1134" w:type="dxa"/>
          </w:tcPr>
          <w:p w14:paraId="4C398069" w14:textId="10277EF4" w:rsidR="00AF6C1A" w:rsidRPr="000D756E" w:rsidRDefault="004A278C" w:rsidP="00AF6C1A">
            <w:pPr>
              <w:jc w:val="right"/>
              <w:rPr>
                <w:rFonts w:ascii="Arial" w:hAnsi="Arial" w:cs="Arial"/>
                <w:sz w:val="24"/>
                <w:szCs w:val="24"/>
              </w:rPr>
            </w:pPr>
            <w:r>
              <w:rPr>
                <w:rFonts w:ascii="Arial" w:hAnsi="Arial" w:cs="Arial"/>
                <w:sz w:val="24"/>
                <w:szCs w:val="24"/>
              </w:rPr>
              <w:t>-</w:t>
            </w:r>
            <w:r w:rsidR="00AF6C1A">
              <w:rPr>
                <w:rFonts w:ascii="Arial" w:hAnsi="Arial" w:cs="Arial"/>
                <w:sz w:val="24"/>
                <w:szCs w:val="24"/>
              </w:rPr>
              <w:t>47</w:t>
            </w:r>
            <w:r w:rsidR="003E421F">
              <w:rPr>
                <w:rFonts w:ascii="Arial" w:hAnsi="Arial" w:cs="Arial"/>
                <w:sz w:val="24"/>
                <w:szCs w:val="24"/>
              </w:rPr>
              <w:t>5</w:t>
            </w:r>
          </w:p>
        </w:tc>
      </w:tr>
      <w:tr w:rsidR="00440488" w:rsidRPr="000D756E" w14:paraId="1EB55C66" w14:textId="77777777" w:rsidTr="00CE25FF">
        <w:tc>
          <w:tcPr>
            <w:tcW w:w="1526" w:type="dxa"/>
          </w:tcPr>
          <w:p w14:paraId="7958F6D3" w14:textId="3F29EC40" w:rsidR="00440488" w:rsidRPr="000D756E" w:rsidRDefault="00440488" w:rsidP="00440488">
            <w:pPr>
              <w:jc w:val="right"/>
              <w:rPr>
                <w:rFonts w:ascii="Arial" w:hAnsi="Arial" w:cs="Arial"/>
                <w:b/>
                <w:sz w:val="24"/>
                <w:szCs w:val="24"/>
              </w:rPr>
            </w:pPr>
            <w:r w:rsidRPr="000D756E">
              <w:rPr>
                <w:rFonts w:ascii="Arial" w:hAnsi="Arial" w:cs="Arial"/>
                <w:b/>
                <w:sz w:val="24"/>
                <w:szCs w:val="24"/>
              </w:rPr>
              <w:t>-28,608</w:t>
            </w:r>
          </w:p>
        </w:tc>
        <w:tc>
          <w:tcPr>
            <w:tcW w:w="6407" w:type="dxa"/>
          </w:tcPr>
          <w:p w14:paraId="179206C9" w14:textId="77777777" w:rsidR="00440488" w:rsidRPr="000D756E" w:rsidRDefault="00440488" w:rsidP="00440488">
            <w:pPr>
              <w:rPr>
                <w:rFonts w:ascii="Arial" w:hAnsi="Arial" w:cs="Arial"/>
                <w:b/>
                <w:sz w:val="24"/>
                <w:szCs w:val="24"/>
              </w:rPr>
            </w:pPr>
            <w:r w:rsidRPr="000D756E">
              <w:rPr>
                <w:rFonts w:ascii="Arial" w:hAnsi="Arial" w:cs="Arial"/>
                <w:b/>
                <w:sz w:val="24"/>
                <w:szCs w:val="24"/>
              </w:rPr>
              <w:t>Total Income</w:t>
            </w:r>
          </w:p>
        </w:tc>
        <w:tc>
          <w:tcPr>
            <w:tcW w:w="1134" w:type="dxa"/>
          </w:tcPr>
          <w:p w14:paraId="581AFEFF" w14:textId="282A8F23" w:rsidR="00440488" w:rsidRPr="000D756E" w:rsidRDefault="006A0689" w:rsidP="006A0689">
            <w:pPr>
              <w:jc w:val="right"/>
              <w:rPr>
                <w:rFonts w:ascii="Arial" w:hAnsi="Arial" w:cs="Arial"/>
                <w:b/>
                <w:sz w:val="24"/>
                <w:szCs w:val="24"/>
              </w:rPr>
            </w:pPr>
            <w:r>
              <w:rPr>
                <w:rFonts w:ascii="Arial" w:hAnsi="Arial" w:cs="Arial"/>
                <w:b/>
                <w:sz w:val="24"/>
                <w:szCs w:val="24"/>
              </w:rPr>
              <w:t>-31,19</w:t>
            </w:r>
            <w:r w:rsidR="003E421F">
              <w:rPr>
                <w:rFonts w:ascii="Arial" w:hAnsi="Arial" w:cs="Arial"/>
                <w:b/>
                <w:sz w:val="24"/>
                <w:szCs w:val="24"/>
              </w:rPr>
              <w:t>6</w:t>
            </w:r>
          </w:p>
        </w:tc>
      </w:tr>
      <w:tr w:rsidR="00440488" w:rsidRPr="000D756E" w14:paraId="300D7474" w14:textId="77777777" w:rsidTr="00CE25FF">
        <w:tc>
          <w:tcPr>
            <w:tcW w:w="1526" w:type="dxa"/>
          </w:tcPr>
          <w:p w14:paraId="442BE848" w14:textId="77777777" w:rsidR="00440488" w:rsidRPr="000D756E" w:rsidRDefault="00440488" w:rsidP="00440488">
            <w:pPr>
              <w:jc w:val="right"/>
              <w:rPr>
                <w:rFonts w:ascii="Arial" w:hAnsi="Arial" w:cs="Arial"/>
                <w:sz w:val="24"/>
                <w:szCs w:val="24"/>
              </w:rPr>
            </w:pPr>
          </w:p>
        </w:tc>
        <w:tc>
          <w:tcPr>
            <w:tcW w:w="6407" w:type="dxa"/>
          </w:tcPr>
          <w:p w14:paraId="41CE3207" w14:textId="77777777" w:rsidR="00440488" w:rsidRPr="000D756E" w:rsidRDefault="00440488" w:rsidP="00440488">
            <w:pPr>
              <w:rPr>
                <w:rFonts w:ascii="Arial" w:hAnsi="Arial" w:cs="Arial"/>
                <w:sz w:val="24"/>
                <w:szCs w:val="24"/>
              </w:rPr>
            </w:pPr>
          </w:p>
        </w:tc>
        <w:tc>
          <w:tcPr>
            <w:tcW w:w="1134" w:type="dxa"/>
          </w:tcPr>
          <w:p w14:paraId="1E61FC01" w14:textId="77777777" w:rsidR="00440488" w:rsidRPr="000D756E" w:rsidRDefault="00440488" w:rsidP="006A0689">
            <w:pPr>
              <w:jc w:val="right"/>
              <w:rPr>
                <w:rFonts w:ascii="Arial" w:hAnsi="Arial" w:cs="Arial"/>
                <w:sz w:val="24"/>
                <w:szCs w:val="24"/>
              </w:rPr>
            </w:pPr>
          </w:p>
        </w:tc>
      </w:tr>
      <w:tr w:rsidR="00440488" w:rsidRPr="000D756E" w14:paraId="1A22012F" w14:textId="77777777" w:rsidTr="00CE25FF">
        <w:tc>
          <w:tcPr>
            <w:tcW w:w="1526" w:type="dxa"/>
          </w:tcPr>
          <w:p w14:paraId="39C3962F" w14:textId="65B0A233" w:rsidR="00440488" w:rsidRPr="000D756E" w:rsidRDefault="00440488" w:rsidP="00440488">
            <w:pPr>
              <w:jc w:val="right"/>
              <w:rPr>
                <w:rFonts w:ascii="Arial" w:hAnsi="Arial" w:cs="Arial"/>
                <w:b/>
                <w:sz w:val="24"/>
                <w:szCs w:val="24"/>
              </w:rPr>
            </w:pPr>
            <w:r w:rsidRPr="000D756E">
              <w:rPr>
                <w:rFonts w:ascii="Arial" w:hAnsi="Arial" w:cs="Arial"/>
                <w:b/>
                <w:sz w:val="24"/>
                <w:szCs w:val="24"/>
              </w:rPr>
              <w:t>10,681</w:t>
            </w:r>
          </w:p>
        </w:tc>
        <w:tc>
          <w:tcPr>
            <w:tcW w:w="6407" w:type="dxa"/>
          </w:tcPr>
          <w:p w14:paraId="2294E65D" w14:textId="77777777" w:rsidR="00440488" w:rsidRPr="000D756E" w:rsidRDefault="00440488" w:rsidP="00440488">
            <w:pPr>
              <w:rPr>
                <w:rFonts w:ascii="Arial" w:hAnsi="Arial" w:cs="Arial"/>
                <w:b/>
                <w:sz w:val="24"/>
                <w:szCs w:val="24"/>
              </w:rPr>
            </w:pPr>
            <w:r w:rsidRPr="000D756E">
              <w:rPr>
                <w:rFonts w:ascii="Arial" w:hAnsi="Arial" w:cs="Arial"/>
                <w:b/>
                <w:sz w:val="24"/>
                <w:szCs w:val="24"/>
              </w:rPr>
              <w:t>Total Net Expenditure</w:t>
            </w:r>
          </w:p>
        </w:tc>
        <w:tc>
          <w:tcPr>
            <w:tcW w:w="1134" w:type="dxa"/>
          </w:tcPr>
          <w:p w14:paraId="45564857" w14:textId="50A91C48" w:rsidR="00440488" w:rsidRPr="000D756E" w:rsidRDefault="00DF5BED" w:rsidP="006A0689">
            <w:pPr>
              <w:jc w:val="right"/>
              <w:rPr>
                <w:rFonts w:ascii="Arial" w:hAnsi="Arial" w:cs="Arial"/>
                <w:b/>
                <w:sz w:val="24"/>
                <w:szCs w:val="24"/>
              </w:rPr>
            </w:pPr>
            <w:r>
              <w:rPr>
                <w:rFonts w:ascii="Arial" w:hAnsi="Arial" w:cs="Arial"/>
                <w:b/>
                <w:sz w:val="24"/>
                <w:szCs w:val="24"/>
              </w:rPr>
              <w:t>9,740</w:t>
            </w:r>
          </w:p>
        </w:tc>
      </w:tr>
    </w:tbl>
    <w:p w14:paraId="259417CE" w14:textId="77777777" w:rsidR="002B026A" w:rsidRPr="000D756E" w:rsidRDefault="002B026A" w:rsidP="004667C4">
      <w:pPr>
        <w:rPr>
          <w:rFonts w:ascii="Arial" w:hAnsi="Arial" w:cs="Arial"/>
          <w:b/>
          <w:sz w:val="24"/>
          <w:szCs w:val="24"/>
        </w:rPr>
      </w:pPr>
    </w:p>
    <w:p w14:paraId="3D62085C" w14:textId="77777777" w:rsidR="00192C6A" w:rsidRPr="000D756E" w:rsidRDefault="00192C6A" w:rsidP="004667C4">
      <w:pPr>
        <w:rPr>
          <w:rFonts w:ascii="Arial" w:hAnsi="Arial" w:cs="Arial"/>
          <w:b/>
          <w:sz w:val="24"/>
          <w:szCs w:val="24"/>
        </w:rPr>
      </w:pPr>
      <w:r w:rsidRPr="000D756E">
        <w:rPr>
          <w:rFonts w:ascii="Arial" w:hAnsi="Arial" w:cs="Arial"/>
          <w:b/>
          <w:sz w:val="24"/>
          <w:szCs w:val="24"/>
        </w:rPr>
        <w:br w:type="page"/>
      </w:r>
    </w:p>
    <w:p w14:paraId="74E7990B" w14:textId="77777777" w:rsidR="007717E7" w:rsidRPr="000D756E" w:rsidRDefault="007717E7" w:rsidP="001C227A">
      <w:pPr>
        <w:numPr>
          <w:ilvl w:val="0"/>
          <w:numId w:val="15"/>
        </w:numPr>
        <w:rPr>
          <w:rFonts w:ascii="Arial" w:hAnsi="Arial" w:cs="Arial"/>
          <w:b/>
          <w:sz w:val="24"/>
          <w:szCs w:val="24"/>
        </w:rPr>
      </w:pPr>
      <w:r w:rsidRPr="000D756E">
        <w:rPr>
          <w:rFonts w:ascii="Arial" w:hAnsi="Arial" w:cs="Arial"/>
          <w:b/>
          <w:sz w:val="24"/>
          <w:szCs w:val="24"/>
        </w:rPr>
        <w:lastRenderedPageBreak/>
        <w:t xml:space="preserve">ADJUSTMENTS BETWEEN ACCOUNTING BASIS AND FUNDING BASIS UNDER REGULATIONS </w:t>
      </w:r>
    </w:p>
    <w:p w14:paraId="73E74337" w14:textId="77777777" w:rsidR="00F14567" w:rsidRPr="000D756E" w:rsidRDefault="00F14567" w:rsidP="002A7C01"/>
    <w:p w14:paraId="0A0A7784" w14:textId="77777777" w:rsidR="00F14567" w:rsidRPr="000D756E" w:rsidRDefault="00F14567" w:rsidP="002A7C01"/>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134"/>
        <w:gridCol w:w="1276"/>
      </w:tblGrid>
      <w:tr w:rsidR="000D756E" w:rsidRPr="000D756E" w14:paraId="3E932C4F" w14:textId="77777777" w:rsidTr="00BF3D6C">
        <w:trPr>
          <w:trHeight w:val="1200"/>
        </w:trPr>
        <w:tc>
          <w:tcPr>
            <w:tcW w:w="7479" w:type="dxa"/>
            <w:vAlign w:val="center"/>
          </w:tcPr>
          <w:p w14:paraId="4E97B109" w14:textId="4A938D96" w:rsidR="00E95D16" w:rsidRPr="000D756E" w:rsidRDefault="00E95D16" w:rsidP="00192C6A">
            <w:pPr>
              <w:ind w:right="-2438"/>
              <w:rPr>
                <w:rFonts w:ascii="Arial" w:hAnsi="Arial" w:cs="Arial"/>
                <w:b/>
                <w:sz w:val="23"/>
                <w:szCs w:val="23"/>
              </w:rPr>
            </w:pPr>
            <w:bookmarkStart w:id="1" w:name="_Hlk781445"/>
            <w:r w:rsidRPr="000D756E">
              <w:rPr>
                <w:rFonts w:ascii="Arial" w:hAnsi="Arial" w:cs="Arial"/>
                <w:b/>
                <w:sz w:val="23"/>
                <w:szCs w:val="23"/>
              </w:rPr>
              <w:t>20</w:t>
            </w:r>
            <w:r w:rsidR="007F658C" w:rsidRPr="000D756E">
              <w:rPr>
                <w:rFonts w:ascii="Arial" w:hAnsi="Arial" w:cs="Arial"/>
                <w:b/>
                <w:sz w:val="23"/>
                <w:szCs w:val="23"/>
              </w:rPr>
              <w:t>2</w:t>
            </w:r>
            <w:r w:rsidR="00B735D7">
              <w:rPr>
                <w:rFonts w:ascii="Arial" w:hAnsi="Arial" w:cs="Arial"/>
                <w:b/>
                <w:sz w:val="23"/>
                <w:szCs w:val="23"/>
              </w:rPr>
              <w:t>4/25</w:t>
            </w:r>
            <w:r w:rsidRPr="000D756E">
              <w:rPr>
                <w:rFonts w:ascii="Arial" w:hAnsi="Arial" w:cs="Arial"/>
                <w:b/>
                <w:sz w:val="23"/>
                <w:szCs w:val="23"/>
              </w:rPr>
              <w:t xml:space="preserve"> </w:t>
            </w:r>
          </w:p>
        </w:tc>
        <w:tc>
          <w:tcPr>
            <w:tcW w:w="1134" w:type="dxa"/>
          </w:tcPr>
          <w:p w14:paraId="2C6F74F2" w14:textId="77777777" w:rsidR="00E95D16" w:rsidRPr="000D756E" w:rsidRDefault="00E95D16" w:rsidP="00E95D16">
            <w:pPr>
              <w:jc w:val="right"/>
              <w:rPr>
                <w:rFonts w:ascii="Arial" w:hAnsi="Arial" w:cs="Arial"/>
                <w:b/>
              </w:rPr>
            </w:pPr>
          </w:p>
          <w:p w14:paraId="4AE6371D" w14:textId="77777777" w:rsidR="00E95D16" w:rsidRPr="000D756E" w:rsidRDefault="00E95D16" w:rsidP="00E95D16">
            <w:pPr>
              <w:jc w:val="right"/>
              <w:rPr>
                <w:rFonts w:ascii="Arial" w:hAnsi="Arial" w:cs="Arial"/>
                <w:b/>
              </w:rPr>
            </w:pPr>
            <w:r w:rsidRPr="000D756E">
              <w:rPr>
                <w:rFonts w:ascii="Arial" w:hAnsi="Arial" w:cs="Arial"/>
                <w:b/>
              </w:rPr>
              <w:t xml:space="preserve"> General Fund Balance</w:t>
            </w:r>
          </w:p>
          <w:p w14:paraId="7CDD2D25" w14:textId="77777777" w:rsidR="00E95D16" w:rsidRPr="000D756E" w:rsidRDefault="00E95D16" w:rsidP="00E95D16">
            <w:pPr>
              <w:jc w:val="right"/>
              <w:rPr>
                <w:rFonts w:ascii="Arial" w:hAnsi="Arial" w:cs="Arial"/>
                <w:b/>
              </w:rPr>
            </w:pPr>
          </w:p>
          <w:p w14:paraId="4C19EDEF" w14:textId="77777777" w:rsidR="00E95D16" w:rsidRPr="000D756E" w:rsidRDefault="00E95D16" w:rsidP="00E95D16">
            <w:pPr>
              <w:jc w:val="right"/>
              <w:rPr>
                <w:rFonts w:ascii="Arial" w:hAnsi="Arial" w:cs="Arial"/>
                <w:b/>
              </w:rPr>
            </w:pPr>
          </w:p>
          <w:p w14:paraId="19C9CFA8" w14:textId="77777777" w:rsidR="00E95D16" w:rsidRPr="000D756E" w:rsidRDefault="00E95D16" w:rsidP="00E95D16">
            <w:pPr>
              <w:jc w:val="right"/>
              <w:rPr>
                <w:rFonts w:ascii="Arial" w:hAnsi="Arial" w:cs="Arial"/>
                <w:b/>
              </w:rPr>
            </w:pPr>
            <w:r w:rsidRPr="000D756E">
              <w:rPr>
                <w:rFonts w:ascii="Arial" w:hAnsi="Arial" w:cs="Arial"/>
                <w:b/>
              </w:rPr>
              <w:t>£’000</w:t>
            </w:r>
          </w:p>
        </w:tc>
        <w:tc>
          <w:tcPr>
            <w:tcW w:w="1276" w:type="dxa"/>
          </w:tcPr>
          <w:p w14:paraId="6E300DBC" w14:textId="77777777" w:rsidR="00F73611" w:rsidRPr="000D756E" w:rsidRDefault="00F73611" w:rsidP="00E95D16">
            <w:pPr>
              <w:jc w:val="right"/>
              <w:rPr>
                <w:rFonts w:ascii="Arial" w:hAnsi="Arial" w:cs="Arial"/>
                <w:b/>
              </w:rPr>
            </w:pPr>
          </w:p>
          <w:p w14:paraId="448BDDDB" w14:textId="77777777" w:rsidR="00E95D16" w:rsidRPr="000D756E" w:rsidRDefault="00E95D16" w:rsidP="00E95D16">
            <w:pPr>
              <w:jc w:val="right"/>
              <w:rPr>
                <w:rFonts w:ascii="Arial" w:hAnsi="Arial" w:cs="Arial"/>
                <w:b/>
              </w:rPr>
            </w:pPr>
            <w:r w:rsidRPr="000D756E">
              <w:rPr>
                <w:rFonts w:ascii="Arial" w:hAnsi="Arial" w:cs="Arial"/>
                <w:b/>
              </w:rPr>
              <w:t>Movement in Unusable Reserves</w:t>
            </w:r>
          </w:p>
          <w:p w14:paraId="44CAFE70" w14:textId="77777777" w:rsidR="00E95D16" w:rsidRPr="000D756E" w:rsidRDefault="00E95D16" w:rsidP="00E95D16">
            <w:pPr>
              <w:jc w:val="right"/>
              <w:rPr>
                <w:rFonts w:ascii="Arial" w:hAnsi="Arial" w:cs="Arial"/>
                <w:b/>
              </w:rPr>
            </w:pPr>
          </w:p>
          <w:p w14:paraId="3A8FED66" w14:textId="77777777" w:rsidR="00E95D16" w:rsidRPr="000D756E" w:rsidRDefault="00E95D16" w:rsidP="00E95D16">
            <w:pPr>
              <w:jc w:val="right"/>
              <w:rPr>
                <w:rFonts w:ascii="Arial" w:hAnsi="Arial" w:cs="Arial"/>
                <w:b/>
              </w:rPr>
            </w:pPr>
            <w:r w:rsidRPr="000D756E">
              <w:rPr>
                <w:rFonts w:ascii="Arial" w:hAnsi="Arial" w:cs="Arial"/>
                <w:b/>
              </w:rPr>
              <w:t>£’000</w:t>
            </w:r>
          </w:p>
        </w:tc>
      </w:tr>
      <w:tr w:rsidR="000D756E" w:rsidRPr="000D756E" w14:paraId="78125AE7" w14:textId="77777777" w:rsidTr="00BF3D6C">
        <w:trPr>
          <w:trHeight w:val="423"/>
        </w:trPr>
        <w:tc>
          <w:tcPr>
            <w:tcW w:w="7479" w:type="dxa"/>
            <w:tcBorders>
              <w:bottom w:val="single" w:sz="4" w:space="0" w:color="auto"/>
            </w:tcBorders>
            <w:vAlign w:val="center"/>
          </w:tcPr>
          <w:p w14:paraId="2F17ACC4" w14:textId="77777777" w:rsidR="006D5935" w:rsidRPr="000D756E" w:rsidRDefault="00E95D16" w:rsidP="00E95D16">
            <w:pPr>
              <w:rPr>
                <w:rFonts w:ascii="Arial" w:hAnsi="Arial" w:cs="Arial"/>
                <w:b/>
              </w:rPr>
            </w:pPr>
            <w:r w:rsidRPr="000D756E">
              <w:rPr>
                <w:rFonts w:ascii="Arial" w:hAnsi="Arial" w:cs="Arial"/>
                <w:b/>
              </w:rPr>
              <w:t xml:space="preserve">Adjustments primarily involving the Capital Adjustment Account:   </w:t>
            </w:r>
            <w:r w:rsidR="00DE0FD6" w:rsidRPr="000D756E">
              <w:rPr>
                <w:rFonts w:ascii="Arial" w:hAnsi="Arial" w:cs="Arial"/>
                <w:b/>
              </w:rPr>
              <w:t xml:space="preserve">   </w:t>
            </w:r>
          </w:p>
        </w:tc>
        <w:tc>
          <w:tcPr>
            <w:tcW w:w="1134" w:type="dxa"/>
            <w:tcBorders>
              <w:bottom w:val="single" w:sz="4" w:space="0" w:color="auto"/>
            </w:tcBorders>
          </w:tcPr>
          <w:p w14:paraId="3A4B9B6B" w14:textId="77777777" w:rsidR="00E95D16" w:rsidRPr="000D756E" w:rsidRDefault="00E95D16" w:rsidP="00E95D16">
            <w:pPr>
              <w:jc w:val="right"/>
              <w:rPr>
                <w:rFonts w:ascii="Arial" w:hAnsi="Arial" w:cs="Arial"/>
                <w:sz w:val="23"/>
                <w:szCs w:val="23"/>
                <w:highlight w:val="green"/>
              </w:rPr>
            </w:pPr>
          </w:p>
        </w:tc>
        <w:tc>
          <w:tcPr>
            <w:tcW w:w="1276" w:type="dxa"/>
            <w:tcBorders>
              <w:bottom w:val="single" w:sz="4" w:space="0" w:color="auto"/>
            </w:tcBorders>
          </w:tcPr>
          <w:p w14:paraId="019624E7" w14:textId="77777777" w:rsidR="00E95D16" w:rsidRPr="000D756E" w:rsidRDefault="00E95D16" w:rsidP="00E95D16">
            <w:pPr>
              <w:jc w:val="right"/>
              <w:rPr>
                <w:rFonts w:ascii="Arial" w:hAnsi="Arial" w:cs="Arial"/>
                <w:sz w:val="23"/>
                <w:szCs w:val="23"/>
                <w:highlight w:val="green"/>
              </w:rPr>
            </w:pPr>
          </w:p>
        </w:tc>
      </w:tr>
      <w:tr w:rsidR="000D756E" w:rsidRPr="000D756E" w14:paraId="1BAD8488" w14:textId="77777777" w:rsidTr="00BF3D6C">
        <w:trPr>
          <w:trHeight w:val="418"/>
        </w:trPr>
        <w:tc>
          <w:tcPr>
            <w:tcW w:w="7479" w:type="dxa"/>
            <w:tcBorders>
              <w:bottom w:val="nil"/>
              <w:right w:val="single" w:sz="4" w:space="0" w:color="auto"/>
            </w:tcBorders>
            <w:vAlign w:val="center"/>
          </w:tcPr>
          <w:p w14:paraId="73363778" w14:textId="77777777" w:rsidR="00E95D16" w:rsidRPr="000D756E" w:rsidRDefault="00E95D16" w:rsidP="00E95D16">
            <w:pPr>
              <w:rPr>
                <w:rFonts w:ascii="Arial" w:hAnsi="Arial" w:cs="Arial"/>
                <w:b/>
              </w:rPr>
            </w:pPr>
            <w:r w:rsidRPr="000D756E">
              <w:rPr>
                <w:rFonts w:ascii="Arial" w:hAnsi="Arial" w:cs="Arial"/>
                <w:b/>
              </w:rPr>
              <w:t>Reversal of items debited or credited to the Comp I&amp;E Statement:</w:t>
            </w:r>
          </w:p>
        </w:tc>
        <w:tc>
          <w:tcPr>
            <w:tcW w:w="1134" w:type="dxa"/>
            <w:tcBorders>
              <w:left w:val="single" w:sz="4" w:space="0" w:color="auto"/>
              <w:bottom w:val="nil"/>
              <w:right w:val="single" w:sz="4" w:space="0" w:color="auto"/>
            </w:tcBorders>
          </w:tcPr>
          <w:p w14:paraId="01FADD06" w14:textId="77777777" w:rsidR="00282A4B" w:rsidRPr="000D756E" w:rsidRDefault="00282A4B" w:rsidP="00875A00">
            <w:pPr>
              <w:rPr>
                <w:rFonts w:ascii="Arial" w:hAnsi="Arial" w:cs="Arial"/>
                <w:sz w:val="23"/>
                <w:szCs w:val="23"/>
                <w:highlight w:val="green"/>
              </w:rPr>
            </w:pPr>
          </w:p>
        </w:tc>
        <w:tc>
          <w:tcPr>
            <w:tcW w:w="1276" w:type="dxa"/>
            <w:tcBorders>
              <w:left w:val="single" w:sz="4" w:space="0" w:color="auto"/>
              <w:bottom w:val="nil"/>
              <w:right w:val="single" w:sz="4" w:space="0" w:color="auto"/>
            </w:tcBorders>
          </w:tcPr>
          <w:p w14:paraId="0FFDEE59" w14:textId="77777777" w:rsidR="00E95D16" w:rsidRPr="000D756E" w:rsidRDefault="00E95D16" w:rsidP="00E95D16">
            <w:pPr>
              <w:jc w:val="right"/>
              <w:rPr>
                <w:rFonts w:ascii="Arial" w:hAnsi="Arial" w:cs="Arial"/>
                <w:sz w:val="23"/>
                <w:szCs w:val="23"/>
                <w:highlight w:val="green"/>
              </w:rPr>
            </w:pPr>
          </w:p>
        </w:tc>
      </w:tr>
      <w:tr w:rsidR="000D756E" w:rsidRPr="000D756E" w14:paraId="66DF1E30" w14:textId="77777777" w:rsidTr="00C27938">
        <w:trPr>
          <w:trHeight w:val="383"/>
        </w:trPr>
        <w:tc>
          <w:tcPr>
            <w:tcW w:w="7479" w:type="dxa"/>
            <w:tcBorders>
              <w:top w:val="nil"/>
              <w:bottom w:val="nil"/>
              <w:right w:val="single" w:sz="4" w:space="0" w:color="auto"/>
            </w:tcBorders>
            <w:vAlign w:val="center"/>
          </w:tcPr>
          <w:p w14:paraId="6AC228B9" w14:textId="77777777" w:rsidR="00E95D16" w:rsidRPr="000D756E" w:rsidRDefault="00E95D16" w:rsidP="00E95D16">
            <w:pPr>
              <w:rPr>
                <w:rFonts w:ascii="Arial" w:hAnsi="Arial" w:cs="Arial"/>
              </w:rPr>
            </w:pPr>
            <w:r w:rsidRPr="000D756E">
              <w:rPr>
                <w:rFonts w:ascii="Arial" w:hAnsi="Arial" w:cs="Arial"/>
              </w:rPr>
              <w:t xml:space="preserve">Charges for depreciation of non current assets                     </w:t>
            </w:r>
          </w:p>
        </w:tc>
        <w:tc>
          <w:tcPr>
            <w:tcW w:w="1134" w:type="dxa"/>
            <w:tcBorders>
              <w:top w:val="nil"/>
              <w:left w:val="single" w:sz="4" w:space="0" w:color="auto"/>
              <w:bottom w:val="nil"/>
              <w:right w:val="single" w:sz="4" w:space="0" w:color="auto"/>
            </w:tcBorders>
          </w:tcPr>
          <w:p w14:paraId="35A140D0" w14:textId="57F6100D" w:rsidR="00675EEB" w:rsidRPr="000D756E" w:rsidRDefault="00252E90" w:rsidP="00675EEB">
            <w:pPr>
              <w:jc w:val="right"/>
              <w:rPr>
                <w:rFonts w:ascii="Arial" w:hAnsi="Arial" w:cs="Arial"/>
                <w:sz w:val="23"/>
                <w:szCs w:val="23"/>
              </w:rPr>
            </w:pPr>
            <w:r>
              <w:rPr>
                <w:rFonts w:ascii="Arial" w:hAnsi="Arial" w:cs="Arial"/>
                <w:sz w:val="23"/>
                <w:szCs w:val="23"/>
              </w:rPr>
              <w:t>-2,903</w:t>
            </w:r>
          </w:p>
        </w:tc>
        <w:tc>
          <w:tcPr>
            <w:tcW w:w="1276" w:type="dxa"/>
            <w:tcBorders>
              <w:top w:val="nil"/>
              <w:left w:val="single" w:sz="4" w:space="0" w:color="auto"/>
              <w:bottom w:val="nil"/>
              <w:right w:val="single" w:sz="4" w:space="0" w:color="auto"/>
            </w:tcBorders>
          </w:tcPr>
          <w:p w14:paraId="06402BDB" w14:textId="5805C2A6" w:rsidR="00F7627C" w:rsidRPr="000D756E" w:rsidRDefault="00784B37" w:rsidP="00F7627C">
            <w:pPr>
              <w:jc w:val="right"/>
              <w:rPr>
                <w:rFonts w:ascii="Arial" w:hAnsi="Arial" w:cs="Arial"/>
                <w:sz w:val="23"/>
                <w:szCs w:val="23"/>
              </w:rPr>
            </w:pPr>
            <w:r>
              <w:rPr>
                <w:rFonts w:ascii="Arial" w:hAnsi="Arial" w:cs="Arial"/>
                <w:sz w:val="23"/>
                <w:szCs w:val="23"/>
              </w:rPr>
              <w:t>2,903</w:t>
            </w:r>
          </w:p>
        </w:tc>
      </w:tr>
      <w:tr w:rsidR="000D756E" w:rsidRPr="000D756E" w14:paraId="58DC6291" w14:textId="77777777" w:rsidTr="00BC6D83">
        <w:trPr>
          <w:trHeight w:val="405"/>
        </w:trPr>
        <w:tc>
          <w:tcPr>
            <w:tcW w:w="7479" w:type="dxa"/>
            <w:tcBorders>
              <w:top w:val="nil"/>
              <w:left w:val="single" w:sz="4" w:space="0" w:color="auto"/>
              <w:bottom w:val="nil"/>
              <w:right w:val="single" w:sz="4" w:space="0" w:color="auto"/>
            </w:tcBorders>
            <w:vAlign w:val="center"/>
          </w:tcPr>
          <w:p w14:paraId="693F5113" w14:textId="7885F147" w:rsidR="00E95D16" w:rsidRPr="000D756E" w:rsidRDefault="00E95D16" w:rsidP="00A1677F">
            <w:pPr>
              <w:rPr>
                <w:rFonts w:ascii="Arial" w:hAnsi="Arial" w:cs="Arial"/>
              </w:rPr>
            </w:pPr>
            <w:r w:rsidRPr="000D756E">
              <w:rPr>
                <w:rFonts w:ascii="Arial" w:hAnsi="Arial" w:cs="Arial"/>
              </w:rPr>
              <w:t>Revaluation losses on Property Plant and Equipment</w:t>
            </w:r>
          </w:p>
        </w:tc>
        <w:tc>
          <w:tcPr>
            <w:tcW w:w="1134" w:type="dxa"/>
            <w:tcBorders>
              <w:top w:val="nil"/>
              <w:left w:val="single" w:sz="4" w:space="0" w:color="auto"/>
              <w:bottom w:val="nil"/>
              <w:right w:val="single" w:sz="4" w:space="0" w:color="auto"/>
            </w:tcBorders>
          </w:tcPr>
          <w:p w14:paraId="5AB5792F" w14:textId="3842D222" w:rsidR="00EE3880" w:rsidRPr="000D756E" w:rsidRDefault="00563FF4" w:rsidP="00105509">
            <w:pPr>
              <w:jc w:val="right"/>
              <w:rPr>
                <w:rFonts w:ascii="Arial" w:hAnsi="Arial" w:cs="Arial"/>
                <w:sz w:val="23"/>
                <w:szCs w:val="23"/>
              </w:rPr>
            </w:pPr>
            <w:r>
              <w:rPr>
                <w:rFonts w:ascii="Arial" w:hAnsi="Arial" w:cs="Arial"/>
                <w:sz w:val="23"/>
                <w:szCs w:val="23"/>
              </w:rPr>
              <w:t>0</w:t>
            </w:r>
          </w:p>
        </w:tc>
        <w:tc>
          <w:tcPr>
            <w:tcW w:w="1276" w:type="dxa"/>
            <w:tcBorders>
              <w:top w:val="nil"/>
              <w:left w:val="single" w:sz="4" w:space="0" w:color="auto"/>
              <w:bottom w:val="nil"/>
              <w:right w:val="single" w:sz="4" w:space="0" w:color="auto"/>
            </w:tcBorders>
          </w:tcPr>
          <w:p w14:paraId="6CECF0BD" w14:textId="70092D3F" w:rsidR="00EE3880" w:rsidRPr="000D756E" w:rsidRDefault="00784B37" w:rsidP="00105509">
            <w:pPr>
              <w:jc w:val="right"/>
              <w:rPr>
                <w:rFonts w:ascii="Arial" w:hAnsi="Arial" w:cs="Arial"/>
                <w:sz w:val="23"/>
                <w:szCs w:val="23"/>
              </w:rPr>
            </w:pPr>
            <w:r>
              <w:rPr>
                <w:rFonts w:ascii="Arial" w:hAnsi="Arial" w:cs="Arial"/>
                <w:sz w:val="23"/>
                <w:szCs w:val="23"/>
              </w:rPr>
              <w:t>0</w:t>
            </w:r>
          </w:p>
        </w:tc>
      </w:tr>
      <w:tr w:rsidR="000D756E" w:rsidRPr="000D756E" w14:paraId="0CB6E1F6" w14:textId="77777777" w:rsidTr="00BC6D83">
        <w:trPr>
          <w:trHeight w:val="494"/>
        </w:trPr>
        <w:tc>
          <w:tcPr>
            <w:tcW w:w="7479" w:type="dxa"/>
            <w:tcBorders>
              <w:top w:val="nil"/>
              <w:left w:val="single" w:sz="4" w:space="0" w:color="auto"/>
              <w:bottom w:val="single" w:sz="4" w:space="0" w:color="auto"/>
              <w:right w:val="single" w:sz="4" w:space="0" w:color="auto"/>
            </w:tcBorders>
            <w:vAlign w:val="center"/>
          </w:tcPr>
          <w:p w14:paraId="0D8BCED7" w14:textId="458464E6" w:rsidR="00BF35C5" w:rsidRPr="000D756E" w:rsidRDefault="00C276EE" w:rsidP="00E95D16">
            <w:pPr>
              <w:rPr>
                <w:rFonts w:ascii="Arial" w:hAnsi="Arial" w:cs="Arial"/>
                <w:bCs/>
              </w:rPr>
            </w:pPr>
            <w:r w:rsidRPr="000D756E">
              <w:rPr>
                <w:rFonts w:ascii="Arial" w:hAnsi="Arial" w:cs="Arial"/>
                <w:bCs/>
              </w:rPr>
              <w:t>Non-current assets written off on disposal</w:t>
            </w:r>
          </w:p>
        </w:tc>
        <w:tc>
          <w:tcPr>
            <w:tcW w:w="1134" w:type="dxa"/>
            <w:tcBorders>
              <w:top w:val="nil"/>
              <w:left w:val="single" w:sz="4" w:space="0" w:color="auto"/>
              <w:bottom w:val="single" w:sz="4" w:space="0" w:color="auto"/>
              <w:right w:val="single" w:sz="4" w:space="0" w:color="auto"/>
            </w:tcBorders>
          </w:tcPr>
          <w:p w14:paraId="478AC5A1" w14:textId="3E2A17A3" w:rsidR="00BF35C5" w:rsidRPr="000D756E" w:rsidRDefault="00563FF4" w:rsidP="00BB3AA7">
            <w:pPr>
              <w:jc w:val="right"/>
              <w:rPr>
                <w:rFonts w:ascii="Arial" w:hAnsi="Arial" w:cs="Arial"/>
                <w:bCs/>
                <w:sz w:val="23"/>
                <w:szCs w:val="23"/>
              </w:rPr>
            </w:pPr>
            <w:r>
              <w:rPr>
                <w:rFonts w:ascii="Arial" w:hAnsi="Arial" w:cs="Arial"/>
                <w:bCs/>
                <w:sz w:val="23"/>
                <w:szCs w:val="23"/>
              </w:rPr>
              <w:t>-117</w:t>
            </w:r>
          </w:p>
        </w:tc>
        <w:tc>
          <w:tcPr>
            <w:tcW w:w="1276" w:type="dxa"/>
            <w:tcBorders>
              <w:top w:val="nil"/>
              <w:left w:val="single" w:sz="4" w:space="0" w:color="auto"/>
              <w:bottom w:val="single" w:sz="4" w:space="0" w:color="auto"/>
              <w:right w:val="single" w:sz="4" w:space="0" w:color="auto"/>
            </w:tcBorders>
          </w:tcPr>
          <w:p w14:paraId="31CC7BD1" w14:textId="3E301569" w:rsidR="00BF35C5" w:rsidRPr="000D756E" w:rsidRDefault="00784B37" w:rsidP="00BB3AA7">
            <w:pPr>
              <w:jc w:val="right"/>
              <w:rPr>
                <w:rFonts w:ascii="Arial" w:hAnsi="Arial" w:cs="Arial"/>
                <w:bCs/>
                <w:sz w:val="23"/>
                <w:szCs w:val="23"/>
              </w:rPr>
            </w:pPr>
            <w:r>
              <w:rPr>
                <w:rFonts w:ascii="Arial" w:hAnsi="Arial" w:cs="Arial"/>
                <w:bCs/>
                <w:sz w:val="23"/>
                <w:szCs w:val="23"/>
              </w:rPr>
              <w:t>117</w:t>
            </w:r>
          </w:p>
        </w:tc>
      </w:tr>
      <w:tr w:rsidR="000D756E" w:rsidRPr="000D756E" w14:paraId="2484FAAE" w14:textId="77777777" w:rsidTr="00C27938">
        <w:trPr>
          <w:trHeight w:val="494"/>
        </w:trPr>
        <w:tc>
          <w:tcPr>
            <w:tcW w:w="7479" w:type="dxa"/>
            <w:tcBorders>
              <w:top w:val="single" w:sz="4" w:space="0" w:color="auto"/>
              <w:bottom w:val="nil"/>
              <w:right w:val="single" w:sz="4" w:space="0" w:color="auto"/>
            </w:tcBorders>
            <w:vAlign w:val="center"/>
          </w:tcPr>
          <w:p w14:paraId="19BE41B3" w14:textId="77777777" w:rsidR="00E95D16" w:rsidRPr="000D756E" w:rsidRDefault="00E95D16" w:rsidP="00E95D16">
            <w:pPr>
              <w:rPr>
                <w:rFonts w:ascii="Arial" w:hAnsi="Arial" w:cs="Arial"/>
                <w:b/>
              </w:rPr>
            </w:pPr>
            <w:r w:rsidRPr="000D756E">
              <w:rPr>
                <w:rFonts w:ascii="Arial" w:hAnsi="Arial" w:cs="Arial"/>
                <w:b/>
              </w:rPr>
              <w:t>Insertion of items not debited or credited to the Comp I&amp;E Statement:</w:t>
            </w:r>
          </w:p>
          <w:p w14:paraId="32EB2E85" w14:textId="77777777" w:rsidR="00E95D16" w:rsidRPr="000D756E" w:rsidRDefault="00E95D16" w:rsidP="00E95D16">
            <w:pPr>
              <w:rPr>
                <w:rFonts w:ascii="Arial" w:hAnsi="Arial" w:cs="Arial"/>
                <w:b/>
              </w:rPr>
            </w:pPr>
          </w:p>
        </w:tc>
        <w:tc>
          <w:tcPr>
            <w:tcW w:w="1134" w:type="dxa"/>
            <w:tcBorders>
              <w:top w:val="single" w:sz="4" w:space="0" w:color="auto"/>
              <w:left w:val="single" w:sz="4" w:space="0" w:color="auto"/>
              <w:bottom w:val="nil"/>
              <w:right w:val="single" w:sz="4" w:space="0" w:color="auto"/>
            </w:tcBorders>
          </w:tcPr>
          <w:p w14:paraId="3E577816" w14:textId="6848424D" w:rsidR="00282A4B" w:rsidRPr="000D756E" w:rsidRDefault="00282A4B" w:rsidP="00BB3AA7">
            <w:pPr>
              <w:jc w:val="right"/>
              <w:rPr>
                <w:rFonts w:ascii="Arial" w:hAnsi="Arial" w:cs="Arial"/>
                <w:b/>
                <w:sz w:val="23"/>
                <w:szCs w:val="23"/>
              </w:rPr>
            </w:pPr>
          </w:p>
        </w:tc>
        <w:tc>
          <w:tcPr>
            <w:tcW w:w="1276" w:type="dxa"/>
            <w:tcBorders>
              <w:top w:val="single" w:sz="4" w:space="0" w:color="auto"/>
              <w:left w:val="single" w:sz="4" w:space="0" w:color="auto"/>
              <w:bottom w:val="nil"/>
              <w:right w:val="single" w:sz="4" w:space="0" w:color="auto"/>
            </w:tcBorders>
          </w:tcPr>
          <w:p w14:paraId="6490DD41" w14:textId="77777777" w:rsidR="00282A4B" w:rsidRPr="000D756E" w:rsidRDefault="00282A4B" w:rsidP="00BB3AA7">
            <w:pPr>
              <w:jc w:val="right"/>
              <w:rPr>
                <w:rFonts w:ascii="Arial" w:hAnsi="Arial" w:cs="Arial"/>
                <w:b/>
                <w:sz w:val="23"/>
                <w:szCs w:val="23"/>
              </w:rPr>
            </w:pPr>
          </w:p>
        </w:tc>
      </w:tr>
      <w:tr w:rsidR="000D756E" w:rsidRPr="000D756E" w14:paraId="3FDC69A6" w14:textId="77777777" w:rsidTr="00BF3D6C">
        <w:trPr>
          <w:trHeight w:val="494"/>
        </w:trPr>
        <w:tc>
          <w:tcPr>
            <w:tcW w:w="7479" w:type="dxa"/>
            <w:tcBorders>
              <w:top w:val="nil"/>
              <w:bottom w:val="nil"/>
              <w:right w:val="single" w:sz="4" w:space="0" w:color="auto"/>
            </w:tcBorders>
            <w:vAlign w:val="center"/>
          </w:tcPr>
          <w:p w14:paraId="1C91A68D" w14:textId="77777777" w:rsidR="00E95D16" w:rsidRPr="000D756E" w:rsidRDefault="00E95D16" w:rsidP="00E95D16">
            <w:pPr>
              <w:rPr>
                <w:rFonts w:ascii="Arial" w:hAnsi="Arial" w:cs="Arial"/>
              </w:rPr>
            </w:pPr>
            <w:r w:rsidRPr="000D756E">
              <w:rPr>
                <w:rFonts w:ascii="Arial" w:hAnsi="Arial" w:cs="Arial"/>
              </w:rPr>
              <w:t xml:space="preserve">Statutory provision for the financing of capital investment       </w:t>
            </w:r>
            <w:r w:rsidR="00DE0FD6" w:rsidRPr="000D756E">
              <w:rPr>
                <w:rFonts w:ascii="Arial" w:hAnsi="Arial" w:cs="Arial"/>
              </w:rPr>
              <w:t xml:space="preserve">                  </w:t>
            </w:r>
          </w:p>
          <w:p w14:paraId="1AAF31B0" w14:textId="77777777" w:rsidR="00E95D16" w:rsidRPr="000D756E" w:rsidRDefault="00E95D16" w:rsidP="00E95D16">
            <w:pPr>
              <w:rPr>
                <w:rFonts w:ascii="Arial" w:hAnsi="Arial" w:cs="Arial"/>
              </w:rPr>
            </w:pPr>
          </w:p>
        </w:tc>
        <w:tc>
          <w:tcPr>
            <w:tcW w:w="1134" w:type="dxa"/>
            <w:tcBorders>
              <w:top w:val="nil"/>
              <w:left w:val="single" w:sz="4" w:space="0" w:color="auto"/>
              <w:bottom w:val="nil"/>
              <w:right w:val="single" w:sz="4" w:space="0" w:color="auto"/>
            </w:tcBorders>
          </w:tcPr>
          <w:p w14:paraId="4E11E4D5" w14:textId="3EA5EDAE" w:rsidR="00F84F9F" w:rsidRPr="000D756E" w:rsidRDefault="005A7C34" w:rsidP="00E95D16">
            <w:pPr>
              <w:jc w:val="right"/>
              <w:rPr>
                <w:rFonts w:ascii="Arial" w:hAnsi="Arial" w:cs="Arial"/>
                <w:sz w:val="23"/>
                <w:szCs w:val="23"/>
              </w:rPr>
            </w:pPr>
            <w:r>
              <w:rPr>
                <w:rFonts w:ascii="Arial" w:hAnsi="Arial" w:cs="Arial"/>
                <w:sz w:val="23"/>
                <w:szCs w:val="23"/>
              </w:rPr>
              <w:t>387</w:t>
            </w:r>
          </w:p>
        </w:tc>
        <w:tc>
          <w:tcPr>
            <w:tcW w:w="1276" w:type="dxa"/>
            <w:tcBorders>
              <w:top w:val="nil"/>
              <w:left w:val="single" w:sz="4" w:space="0" w:color="auto"/>
              <w:bottom w:val="nil"/>
              <w:right w:val="single" w:sz="4" w:space="0" w:color="auto"/>
            </w:tcBorders>
          </w:tcPr>
          <w:p w14:paraId="1F84AC8D" w14:textId="59425192" w:rsidR="00E95D16" w:rsidRPr="000D756E" w:rsidRDefault="00784B37" w:rsidP="00E95D16">
            <w:pPr>
              <w:jc w:val="right"/>
              <w:rPr>
                <w:rFonts w:ascii="Arial" w:hAnsi="Arial" w:cs="Arial"/>
                <w:sz w:val="23"/>
                <w:szCs w:val="23"/>
              </w:rPr>
            </w:pPr>
            <w:r>
              <w:rPr>
                <w:rFonts w:ascii="Arial" w:hAnsi="Arial" w:cs="Arial"/>
                <w:sz w:val="23"/>
                <w:szCs w:val="23"/>
              </w:rPr>
              <w:t>-387</w:t>
            </w:r>
          </w:p>
        </w:tc>
      </w:tr>
      <w:tr w:rsidR="000D756E" w:rsidRPr="000D756E" w14:paraId="3EC25BB6" w14:textId="77777777" w:rsidTr="004906D8">
        <w:trPr>
          <w:trHeight w:val="544"/>
        </w:trPr>
        <w:tc>
          <w:tcPr>
            <w:tcW w:w="7479" w:type="dxa"/>
            <w:tcBorders>
              <w:top w:val="nil"/>
              <w:bottom w:val="single" w:sz="4" w:space="0" w:color="auto"/>
              <w:right w:val="single" w:sz="4" w:space="0" w:color="auto"/>
            </w:tcBorders>
          </w:tcPr>
          <w:p w14:paraId="05CDE9A3" w14:textId="77777777" w:rsidR="00E95D16" w:rsidRPr="000D756E" w:rsidRDefault="00E95D16" w:rsidP="004906D8">
            <w:pPr>
              <w:rPr>
                <w:rFonts w:ascii="Arial" w:hAnsi="Arial" w:cs="Arial"/>
              </w:rPr>
            </w:pPr>
            <w:r w:rsidRPr="000D756E">
              <w:rPr>
                <w:rFonts w:ascii="Arial" w:hAnsi="Arial" w:cs="Arial"/>
              </w:rPr>
              <w:t xml:space="preserve">Capital expenditure charged against the General Fund Balance     </w:t>
            </w:r>
            <w:r w:rsidR="00DE0FD6" w:rsidRPr="000D756E">
              <w:rPr>
                <w:rFonts w:ascii="Arial" w:hAnsi="Arial" w:cs="Arial"/>
              </w:rPr>
              <w:t xml:space="preserve">           </w:t>
            </w:r>
          </w:p>
        </w:tc>
        <w:tc>
          <w:tcPr>
            <w:tcW w:w="1134" w:type="dxa"/>
            <w:tcBorders>
              <w:top w:val="nil"/>
              <w:left w:val="single" w:sz="4" w:space="0" w:color="auto"/>
              <w:bottom w:val="single" w:sz="4" w:space="0" w:color="auto"/>
              <w:right w:val="single" w:sz="4" w:space="0" w:color="auto"/>
            </w:tcBorders>
          </w:tcPr>
          <w:p w14:paraId="4788CE02" w14:textId="63B8E07D" w:rsidR="00974E64" w:rsidRPr="000D756E" w:rsidRDefault="005A7C34" w:rsidP="004906D8">
            <w:pPr>
              <w:jc w:val="right"/>
              <w:rPr>
                <w:rFonts w:ascii="Arial" w:hAnsi="Arial" w:cs="Arial"/>
                <w:sz w:val="23"/>
                <w:szCs w:val="23"/>
              </w:rPr>
            </w:pPr>
            <w:r>
              <w:rPr>
                <w:rFonts w:ascii="Arial" w:hAnsi="Arial" w:cs="Arial"/>
                <w:sz w:val="23"/>
                <w:szCs w:val="23"/>
              </w:rPr>
              <w:t>3,96</w:t>
            </w:r>
            <w:r w:rsidR="00784B37">
              <w:rPr>
                <w:rFonts w:ascii="Arial" w:hAnsi="Arial" w:cs="Arial"/>
                <w:sz w:val="23"/>
                <w:szCs w:val="23"/>
              </w:rPr>
              <w:t>8</w:t>
            </w:r>
          </w:p>
        </w:tc>
        <w:tc>
          <w:tcPr>
            <w:tcW w:w="1276" w:type="dxa"/>
            <w:tcBorders>
              <w:top w:val="nil"/>
              <w:left w:val="single" w:sz="4" w:space="0" w:color="auto"/>
              <w:bottom w:val="single" w:sz="4" w:space="0" w:color="auto"/>
              <w:right w:val="single" w:sz="4" w:space="0" w:color="auto"/>
            </w:tcBorders>
          </w:tcPr>
          <w:p w14:paraId="6653FA9E" w14:textId="2DFF0AFC" w:rsidR="0066771E" w:rsidRPr="000D756E" w:rsidRDefault="00784B37" w:rsidP="00A64A62">
            <w:pPr>
              <w:jc w:val="right"/>
              <w:rPr>
                <w:rFonts w:ascii="Arial" w:hAnsi="Arial" w:cs="Arial"/>
                <w:sz w:val="23"/>
                <w:szCs w:val="23"/>
              </w:rPr>
            </w:pPr>
            <w:r>
              <w:rPr>
                <w:rFonts w:ascii="Arial" w:hAnsi="Arial" w:cs="Arial"/>
                <w:sz w:val="23"/>
                <w:szCs w:val="23"/>
              </w:rPr>
              <w:t>-3,968</w:t>
            </w:r>
          </w:p>
        </w:tc>
      </w:tr>
      <w:tr w:rsidR="000D756E" w:rsidRPr="000D756E" w14:paraId="2A75FE64" w14:textId="77777777" w:rsidTr="009E6247">
        <w:trPr>
          <w:trHeight w:val="570"/>
        </w:trPr>
        <w:tc>
          <w:tcPr>
            <w:tcW w:w="7479" w:type="dxa"/>
            <w:tcBorders>
              <w:bottom w:val="nil"/>
            </w:tcBorders>
            <w:vAlign w:val="center"/>
          </w:tcPr>
          <w:p w14:paraId="41452691" w14:textId="77777777" w:rsidR="00E95D16" w:rsidRPr="000D756E" w:rsidRDefault="00E95D16" w:rsidP="00E95D16">
            <w:pPr>
              <w:rPr>
                <w:rFonts w:ascii="Arial" w:hAnsi="Arial" w:cs="Arial"/>
                <w:b/>
              </w:rPr>
            </w:pPr>
            <w:r w:rsidRPr="000D756E">
              <w:rPr>
                <w:rFonts w:ascii="Arial" w:hAnsi="Arial" w:cs="Arial"/>
                <w:b/>
              </w:rPr>
              <w:t xml:space="preserve">Adjustments primarily involving the Pensions Reserves: </w:t>
            </w:r>
            <w:r w:rsidR="00877316" w:rsidRPr="000D756E">
              <w:rPr>
                <w:rFonts w:ascii="Arial" w:hAnsi="Arial" w:cs="Arial"/>
                <w:b/>
              </w:rPr>
              <w:t xml:space="preserve">  </w:t>
            </w:r>
            <w:r w:rsidRPr="000D756E">
              <w:rPr>
                <w:rFonts w:ascii="Arial" w:hAnsi="Arial" w:cs="Arial"/>
                <w:b/>
              </w:rPr>
              <w:t xml:space="preserve">    </w:t>
            </w:r>
            <w:r w:rsidR="00DE0FD6" w:rsidRPr="000D756E">
              <w:rPr>
                <w:rFonts w:ascii="Arial" w:hAnsi="Arial" w:cs="Arial"/>
                <w:b/>
              </w:rPr>
              <w:t xml:space="preserve">  </w:t>
            </w:r>
            <w:r w:rsidRPr="000D756E">
              <w:rPr>
                <w:rFonts w:ascii="Arial" w:hAnsi="Arial" w:cs="Arial"/>
                <w:b/>
              </w:rPr>
              <w:t xml:space="preserve"> </w:t>
            </w:r>
          </w:p>
          <w:p w14:paraId="14E54D2A" w14:textId="77777777" w:rsidR="00E95D16" w:rsidRPr="000D756E" w:rsidRDefault="00E95D16" w:rsidP="00E95D16">
            <w:pPr>
              <w:rPr>
                <w:rFonts w:ascii="Arial" w:hAnsi="Arial" w:cs="Arial"/>
                <w:b/>
              </w:rPr>
            </w:pPr>
            <w:r w:rsidRPr="000D756E">
              <w:rPr>
                <w:rFonts w:ascii="Arial" w:hAnsi="Arial" w:cs="Arial"/>
                <w:b/>
              </w:rPr>
              <w:t xml:space="preserve">                                                                                                             </w:t>
            </w:r>
          </w:p>
        </w:tc>
        <w:tc>
          <w:tcPr>
            <w:tcW w:w="1134" w:type="dxa"/>
            <w:tcBorders>
              <w:bottom w:val="nil"/>
            </w:tcBorders>
          </w:tcPr>
          <w:p w14:paraId="3BCDF87C" w14:textId="77777777" w:rsidR="00875A00" w:rsidRPr="000D756E" w:rsidRDefault="00875A00" w:rsidP="00875A00">
            <w:pPr>
              <w:rPr>
                <w:rFonts w:ascii="Arial" w:hAnsi="Arial" w:cs="Arial"/>
                <w:b/>
                <w:sz w:val="23"/>
                <w:szCs w:val="23"/>
                <w:highlight w:val="green"/>
              </w:rPr>
            </w:pPr>
          </w:p>
        </w:tc>
        <w:tc>
          <w:tcPr>
            <w:tcW w:w="1276" w:type="dxa"/>
            <w:tcBorders>
              <w:bottom w:val="nil"/>
            </w:tcBorders>
          </w:tcPr>
          <w:p w14:paraId="67C277AC" w14:textId="77777777" w:rsidR="00282A4B" w:rsidRPr="000D756E" w:rsidRDefault="00282A4B" w:rsidP="00282A4B">
            <w:pPr>
              <w:rPr>
                <w:rFonts w:ascii="Arial" w:hAnsi="Arial" w:cs="Arial"/>
                <w:b/>
                <w:sz w:val="23"/>
                <w:szCs w:val="23"/>
                <w:highlight w:val="green"/>
              </w:rPr>
            </w:pPr>
          </w:p>
        </w:tc>
      </w:tr>
      <w:tr w:rsidR="000D756E" w:rsidRPr="000D756E" w14:paraId="2FB47B27" w14:textId="77777777" w:rsidTr="009E6247">
        <w:trPr>
          <w:trHeight w:val="419"/>
        </w:trPr>
        <w:tc>
          <w:tcPr>
            <w:tcW w:w="7479" w:type="dxa"/>
            <w:tcBorders>
              <w:top w:val="nil"/>
              <w:bottom w:val="nil"/>
            </w:tcBorders>
            <w:vAlign w:val="center"/>
          </w:tcPr>
          <w:p w14:paraId="0BAD144E" w14:textId="77777777" w:rsidR="00E95D16" w:rsidRPr="000D756E" w:rsidRDefault="00E95D16" w:rsidP="00E95D16">
            <w:pPr>
              <w:rPr>
                <w:rFonts w:ascii="Arial" w:hAnsi="Arial" w:cs="Arial"/>
              </w:rPr>
            </w:pPr>
            <w:r w:rsidRPr="000D756E">
              <w:rPr>
                <w:rFonts w:ascii="Arial" w:hAnsi="Arial" w:cs="Arial"/>
              </w:rPr>
              <w:t xml:space="preserve">Reversal of items relating to retirement benefits debited or credited to the Comp I&amp;E Statement         </w:t>
            </w:r>
          </w:p>
        </w:tc>
        <w:tc>
          <w:tcPr>
            <w:tcW w:w="1134" w:type="dxa"/>
            <w:tcBorders>
              <w:top w:val="nil"/>
              <w:bottom w:val="nil"/>
            </w:tcBorders>
          </w:tcPr>
          <w:p w14:paraId="09F09CE0" w14:textId="73F1AB04" w:rsidR="00480041" w:rsidRPr="00092556" w:rsidRDefault="00457851" w:rsidP="00233EE7">
            <w:pPr>
              <w:jc w:val="right"/>
              <w:rPr>
                <w:rFonts w:ascii="Arial" w:hAnsi="Arial" w:cs="Arial"/>
                <w:sz w:val="23"/>
                <w:szCs w:val="23"/>
              </w:rPr>
            </w:pPr>
            <w:r w:rsidRPr="00092556">
              <w:rPr>
                <w:rFonts w:ascii="Arial" w:hAnsi="Arial" w:cs="Arial"/>
                <w:sz w:val="23"/>
                <w:szCs w:val="23"/>
              </w:rPr>
              <w:t>-16,096</w:t>
            </w:r>
          </w:p>
        </w:tc>
        <w:tc>
          <w:tcPr>
            <w:tcW w:w="1276" w:type="dxa"/>
            <w:tcBorders>
              <w:top w:val="nil"/>
              <w:bottom w:val="nil"/>
            </w:tcBorders>
          </w:tcPr>
          <w:p w14:paraId="6EBEFB1D" w14:textId="45927CFE" w:rsidR="00480041" w:rsidRPr="000D756E" w:rsidRDefault="00457851" w:rsidP="00E95D16">
            <w:pPr>
              <w:jc w:val="right"/>
              <w:rPr>
                <w:rFonts w:ascii="Arial" w:hAnsi="Arial" w:cs="Arial"/>
                <w:sz w:val="23"/>
                <w:szCs w:val="23"/>
              </w:rPr>
            </w:pPr>
            <w:r>
              <w:rPr>
                <w:rFonts w:ascii="Arial" w:hAnsi="Arial" w:cs="Arial"/>
                <w:sz w:val="23"/>
                <w:szCs w:val="23"/>
              </w:rPr>
              <w:t>16,096</w:t>
            </w:r>
          </w:p>
        </w:tc>
      </w:tr>
      <w:tr w:rsidR="000D756E" w:rsidRPr="000D756E" w14:paraId="6D332535" w14:textId="77777777" w:rsidTr="009E6247">
        <w:trPr>
          <w:trHeight w:val="553"/>
        </w:trPr>
        <w:tc>
          <w:tcPr>
            <w:tcW w:w="7479" w:type="dxa"/>
            <w:tcBorders>
              <w:top w:val="nil"/>
              <w:bottom w:val="single" w:sz="4" w:space="0" w:color="auto"/>
            </w:tcBorders>
            <w:vAlign w:val="center"/>
          </w:tcPr>
          <w:p w14:paraId="39E54522" w14:textId="77777777" w:rsidR="00E95D16" w:rsidRPr="000D756E" w:rsidRDefault="00E95D16" w:rsidP="00E95D16">
            <w:pPr>
              <w:rPr>
                <w:rFonts w:ascii="Arial" w:hAnsi="Arial" w:cs="Arial"/>
              </w:rPr>
            </w:pPr>
            <w:r w:rsidRPr="000D756E">
              <w:rPr>
                <w:rFonts w:ascii="Arial" w:hAnsi="Arial" w:cs="Arial"/>
              </w:rPr>
              <w:t>Employer’s pensions contributions and direct payments to pensioners payable in the year</w:t>
            </w:r>
          </w:p>
        </w:tc>
        <w:tc>
          <w:tcPr>
            <w:tcW w:w="1134" w:type="dxa"/>
            <w:tcBorders>
              <w:top w:val="nil"/>
              <w:bottom w:val="single" w:sz="4" w:space="0" w:color="auto"/>
            </w:tcBorders>
          </w:tcPr>
          <w:p w14:paraId="2B9A0B82" w14:textId="7C76793D" w:rsidR="00480041" w:rsidRPr="00092556" w:rsidRDefault="00457851" w:rsidP="004E6C65">
            <w:pPr>
              <w:jc w:val="right"/>
              <w:rPr>
                <w:rFonts w:ascii="Arial" w:hAnsi="Arial" w:cs="Arial"/>
                <w:sz w:val="23"/>
                <w:szCs w:val="23"/>
              </w:rPr>
            </w:pPr>
            <w:r w:rsidRPr="00092556">
              <w:rPr>
                <w:rFonts w:ascii="Arial" w:hAnsi="Arial" w:cs="Arial"/>
                <w:sz w:val="23"/>
                <w:szCs w:val="23"/>
              </w:rPr>
              <w:t>7,349</w:t>
            </w:r>
          </w:p>
        </w:tc>
        <w:tc>
          <w:tcPr>
            <w:tcW w:w="1276" w:type="dxa"/>
            <w:tcBorders>
              <w:top w:val="nil"/>
              <w:bottom w:val="single" w:sz="4" w:space="0" w:color="auto"/>
            </w:tcBorders>
          </w:tcPr>
          <w:p w14:paraId="4FB8521E" w14:textId="5C9DA7ED" w:rsidR="00480041" w:rsidRPr="000D756E" w:rsidRDefault="00457851" w:rsidP="004E6C65">
            <w:pPr>
              <w:jc w:val="right"/>
              <w:rPr>
                <w:rFonts w:ascii="Arial" w:hAnsi="Arial" w:cs="Arial"/>
                <w:sz w:val="23"/>
                <w:szCs w:val="23"/>
              </w:rPr>
            </w:pPr>
            <w:r>
              <w:rPr>
                <w:rFonts w:ascii="Arial" w:hAnsi="Arial" w:cs="Arial"/>
                <w:sz w:val="23"/>
                <w:szCs w:val="23"/>
              </w:rPr>
              <w:t>-7,349</w:t>
            </w:r>
          </w:p>
        </w:tc>
      </w:tr>
      <w:tr w:rsidR="000D756E" w:rsidRPr="000D756E" w14:paraId="7526DA17" w14:textId="77777777" w:rsidTr="009E6247">
        <w:trPr>
          <w:trHeight w:val="703"/>
        </w:trPr>
        <w:tc>
          <w:tcPr>
            <w:tcW w:w="7479" w:type="dxa"/>
            <w:tcBorders>
              <w:bottom w:val="nil"/>
            </w:tcBorders>
            <w:vAlign w:val="center"/>
          </w:tcPr>
          <w:p w14:paraId="5E275A10" w14:textId="77777777" w:rsidR="00E95D16" w:rsidRPr="000D756E" w:rsidRDefault="00E95D16" w:rsidP="00E95D16">
            <w:pPr>
              <w:rPr>
                <w:rFonts w:ascii="Arial" w:hAnsi="Arial" w:cs="Arial"/>
                <w:b/>
              </w:rPr>
            </w:pPr>
            <w:r w:rsidRPr="000D756E">
              <w:rPr>
                <w:rFonts w:ascii="Arial" w:hAnsi="Arial" w:cs="Arial"/>
                <w:b/>
              </w:rPr>
              <w:t xml:space="preserve">Adjustment primarily involving the Collection Fund Adjustment Account:  </w:t>
            </w:r>
          </w:p>
          <w:p w14:paraId="26B702BD" w14:textId="77777777" w:rsidR="00E95D16" w:rsidRPr="000D756E" w:rsidRDefault="00E95D16" w:rsidP="00E95D16">
            <w:pPr>
              <w:rPr>
                <w:rFonts w:ascii="Arial" w:hAnsi="Arial" w:cs="Arial"/>
                <w:b/>
              </w:rPr>
            </w:pPr>
          </w:p>
        </w:tc>
        <w:tc>
          <w:tcPr>
            <w:tcW w:w="1134" w:type="dxa"/>
            <w:tcBorders>
              <w:bottom w:val="nil"/>
            </w:tcBorders>
          </w:tcPr>
          <w:p w14:paraId="55F0C7DA" w14:textId="77777777" w:rsidR="00E95D16" w:rsidRPr="000D756E" w:rsidRDefault="00E95D16" w:rsidP="00E95D16">
            <w:pPr>
              <w:jc w:val="right"/>
              <w:rPr>
                <w:rFonts w:ascii="Arial" w:hAnsi="Arial" w:cs="Arial"/>
                <w:b/>
                <w:sz w:val="23"/>
                <w:szCs w:val="23"/>
              </w:rPr>
            </w:pPr>
          </w:p>
        </w:tc>
        <w:tc>
          <w:tcPr>
            <w:tcW w:w="1276" w:type="dxa"/>
            <w:tcBorders>
              <w:bottom w:val="nil"/>
            </w:tcBorders>
          </w:tcPr>
          <w:p w14:paraId="112FE312" w14:textId="77777777" w:rsidR="00E95D16" w:rsidRPr="000D756E" w:rsidRDefault="00E95D16" w:rsidP="00E95D16">
            <w:pPr>
              <w:jc w:val="right"/>
              <w:rPr>
                <w:rFonts w:ascii="Arial" w:hAnsi="Arial" w:cs="Arial"/>
                <w:b/>
                <w:sz w:val="23"/>
                <w:szCs w:val="23"/>
              </w:rPr>
            </w:pPr>
          </w:p>
        </w:tc>
      </w:tr>
      <w:tr w:rsidR="000D756E" w:rsidRPr="000D756E" w14:paraId="035C0A74" w14:textId="77777777" w:rsidTr="00BF3D6C">
        <w:trPr>
          <w:trHeight w:val="698"/>
        </w:trPr>
        <w:tc>
          <w:tcPr>
            <w:tcW w:w="7479" w:type="dxa"/>
            <w:tcBorders>
              <w:top w:val="nil"/>
            </w:tcBorders>
            <w:vAlign w:val="center"/>
          </w:tcPr>
          <w:p w14:paraId="6E89992B" w14:textId="77777777" w:rsidR="00E95D16" w:rsidRPr="000D756E" w:rsidRDefault="00E95D16" w:rsidP="00E95D16">
            <w:pPr>
              <w:rPr>
                <w:rFonts w:ascii="Arial" w:hAnsi="Arial" w:cs="Arial"/>
              </w:rPr>
            </w:pPr>
            <w:r w:rsidRPr="000D756E">
              <w:rPr>
                <w:rFonts w:ascii="Arial" w:hAnsi="Arial" w:cs="Arial"/>
              </w:rPr>
              <w:t xml:space="preserve">Amount by which council tax income credited to the Comp I&amp;E Statement is different from council tax calculated for the year in accordance with statutory requirements    </w:t>
            </w:r>
          </w:p>
          <w:p w14:paraId="2FC5E75B" w14:textId="77777777" w:rsidR="00E95D16" w:rsidRPr="000D756E" w:rsidRDefault="00E95D16" w:rsidP="00E95D16">
            <w:pPr>
              <w:rPr>
                <w:rFonts w:ascii="Arial" w:hAnsi="Arial" w:cs="Arial"/>
              </w:rPr>
            </w:pPr>
          </w:p>
        </w:tc>
        <w:tc>
          <w:tcPr>
            <w:tcW w:w="1134" w:type="dxa"/>
            <w:tcBorders>
              <w:top w:val="nil"/>
            </w:tcBorders>
          </w:tcPr>
          <w:p w14:paraId="2FADEFD3" w14:textId="77777777" w:rsidR="006650E2" w:rsidRDefault="006650E2" w:rsidP="00E95D16">
            <w:pPr>
              <w:jc w:val="right"/>
              <w:rPr>
                <w:rFonts w:ascii="Arial" w:hAnsi="Arial" w:cs="Arial"/>
                <w:sz w:val="23"/>
                <w:szCs w:val="23"/>
              </w:rPr>
            </w:pPr>
          </w:p>
          <w:p w14:paraId="564954B7" w14:textId="42422FCF" w:rsidR="00DA4632" w:rsidRPr="000D756E" w:rsidRDefault="00DA4632" w:rsidP="00E95D16">
            <w:pPr>
              <w:jc w:val="right"/>
              <w:rPr>
                <w:rFonts w:ascii="Arial" w:hAnsi="Arial" w:cs="Arial"/>
                <w:sz w:val="23"/>
                <w:szCs w:val="23"/>
              </w:rPr>
            </w:pPr>
            <w:r>
              <w:rPr>
                <w:rFonts w:ascii="Arial" w:hAnsi="Arial" w:cs="Arial"/>
                <w:sz w:val="23"/>
                <w:szCs w:val="23"/>
              </w:rPr>
              <w:t>26</w:t>
            </w:r>
            <w:r w:rsidR="007869D4">
              <w:rPr>
                <w:rFonts w:ascii="Arial" w:hAnsi="Arial" w:cs="Arial"/>
                <w:sz w:val="23"/>
                <w:szCs w:val="23"/>
              </w:rPr>
              <w:t>6</w:t>
            </w:r>
          </w:p>
        </w:tc>
        <w:tc>
          <w:tcPr>
            <w:tcW w:w="1276" w:type="dxa"/>
            <w:tcBorders>
              <w:top w:val="nil"/>
            </w:tcBorders>
          </w:tcPr>
          <w:p w14:paraId="492D78A1" w14:textId="77777777" w:rsidR="006650E2" w:rsidRDefault="006650E2" w:rsidP="00E95D16">
            <w:pPr>
              <w:jc w:val="right"/>
              <w:rPr>
                <w:rFonts w:ascii="Arial" w:hAnsi="Arial" w:cs="Arial"/>
                <w:sz w:val="23"/>
                <w:szCs w:val="23"/>
              </w:rPr>
            </w:pPr>
          </w:p>
          <w:p w14:paraId="5643D555" w14:textId="2BA13046" w:rsidR="00784B37" w:rsidRPr="000D756E" w:rsidRDefault="00784B37" w:rsidP="00E95D16">
            <w:pPr>
              <w:jc w:val="right"/>
              <w:rPr>
                <w:rFonts w:ascii="Arial" w:hAnsi="Arial" w:cs="Arial"/>
                <w:sz w:val="23"/>
                <w:szCs w:val="23"/>
              </w:rPr>
            </w:pPr>
            <w:r>
              <w:rPr>
                <w:rFonts w:ascii="Arial" w:hAnsi="Arial" w:cs="Arial"/>
                <w:sz w:val="23"/>
                <w:szCs w:val="23"/>
              </w:rPr>
              <w:t>-266</w:t>
            </w:r>
          </w:p>
        </w:tc>
      </w:tr>
      <w:tr w:rsidR="000D756E" w:rsidRPr="000D756E" w14:paraId="6B29C61C" w14:textId="77777777" w:rsidTr="00BF3D6C">
        <w:trPr>
          <w:trHeight w:val="612"/>
        </w:trPr>
        <w:tc>
          <w:tcPr>
            <w:tcW w:w="7479" w:type="dxa"/>
            <w:vAlign w:val="center"/>
          </w:tcPr>
          <w:p w14:paraId="7D09BF2E" w14:textId="77777777" w:rsidR="00E95D16" w:rsidRPr="000D756E" w:rsidRDefault="00E95D16" w:rsidP="00E95D16">
            <w:pPr>
              <w:rPr>
                <w:rFonts w:ascii="Arial" w:hAnsi="Arial" w:cs="Arial"/>
                <w:b/>
              </w:rPr>
            </w:pPr>
            <w:r w:rsidRPr="000D756E">
              <w:rPr>
                <w:rFonts w:ascii="Arial" w:hAnsi="Arial" w:cs="Arial"/>
                <w:b/>
              </w:rPr>
              <w:t xml:space="preserve">Adjustment primarily involving the Accumulated Absences Account:  </w:t>
            </w:r>
          </w:p>
        </w:tc>
        <w:tc>
          <w:tcPr>
            <w:tcW w:w="1134" w:type="dxa"/>
          </w:tcPr>
          <w:p w14:paraId="79F84D01" w14:textId="77777777" w:rsidR="00E95D16" w:rsidRPr="000D756E" w:rsidRDefault="00E95D16" w:rsidP="00E95D16">
            <w:pPr>
              <w:jc w:val="right"/>
              <w:rPr>
                <w:rFonts w:ascii="Arial" w:hAnsi="Arial" w:cs="Arial"/>
                <w:b/>
                <w:sz w:val="23"/>
                <w:szCs w:val="23"/>
                <w:highlight w:val="green"/>
              </w:rPr>
            </w:pPr>
          </w:p>
        </w:tc>
        <w:tc>
          <w:tcPr>
            <w:tcW w:w="1276" w:type="dxa"/>
          </w:tcPr>
          <w:p w14:paraId="45AF24F6" w14:textId="77777777" w:rsidR="00E95D16" w:rsidRPr="000D756E" w:rsidRDefault="00E95D16" w:rsidP="00E95D16">
            <w:pPr>
              <w:jc w:val="right"/>
              <w:rPr>
                <w:rFonts w:ascii="Arial" w:hAnsi="Arial" w:cs="Arial"/>
                <w:b/>
                <w:sz w:val="23"/>
                <w:szCs w:val="23"/>
                <w:highlight w:val="green"/>
              </w:rPr>
            </w:pPr>
          </w:p>
        </w:tc>
      </w:tr>
      <w:tr w:rsidR="000D756E" w:rsidRPr="000D756E" w14:paraId="424A94A8" w14:textId="77777777" w:rsidTr="00BF3D6C">
        <w:trPr>
          <w:trHeight w:val="977"/>
        </w:trPr>
        <w:tc>
          <w:tcPr>
            <w:tcW w:w="7479" w:type="dxa"/>
            <w:vAlign w:val="center"/>
          </w:tcPr>
          <w:p w14:paraId="3CA20AB8" w14:textId="77777777" w:rsidR="00E95D16" w:rsidRPr="000D756E" w:rsidRDefault="00E95D16" w:rsidP="00E95D16">
            <w:pPr>
              <w:rPr>
                <w:rFonts w:ascii="Arial" w:hAnsi="Arial" w:cs="Arial"/>
              </w:rPr>
            </w:pPr>
            <w:r w:rsidRPr="000D756E">
              <w:rPr>
                <w:rFonts w:ascii="Arial" w:hAnsi="Arial" w:cs="Arial"/>
              </w:rPr>
              <w:t xml:space="preserve">Amount by which officer remuneration charged to the Comp I&amp;E Statement on an accruals basis is different from remuneration chargeable in the year in accordance with statutory requirements       </w:t>
            </w:r>
          </w:p>
        </w:tc>
        <w:tc>
          <w:tcPr>
            <w:tcW w:w="1134" w:type="dxa"/>
          </w:tcPr>
          <w:p w14:paraId="09D9CE86" w14:textId="77777777" w:rsidR="006650E2" w:rsidRDefault="006650E2" w:rsidP="00E95D16">
            <w:pPr>
              <w:jc w:val="right"/>
              <w:rPr>
                <w:rFonts w:ascii="Arial" w:hAnsi="Arial" w:cs="Arial"/>
                <w:sz w:val="23"/>
                <w:szCs w:val="23"/>
              </w:rPr>
            </w:pPr>
          </w:p>
          <w:p w14:paraId="2D2F0D97" w14:textId="0E05ADB9" w:rsidR="00DA4632" w:rsidRPr="000D756E" w:rsidRDefault="00DA4632" w:rsidP="00E95D16">
            <w:pPr>
              <w:jc w:val="right"/>
              <w:rPr>
                <w:rFonts w:ascii="Arial" w:hAnsi="Arial" w:cs="Arial"/>
                <w:sz w:val="23"/>
                <w:szCs w:val="23"/>
              </w:rPr>
            </w:pPr>
            <w:r>
              <w:rPr>
                <w:rFonts w:ascii="Arial" w:hAnsi="Arial" w:cs="Arial"/>
                <w:sz w:val="23"/>
                <w:szCs w:val="23"/>
              </w:rPr>
              <w:t>-11</w:t>
            </w:r>
          </w:p>
        </w:tc>
        <w:tc>
          <w:tcPr>
            <w:tcW w:w="1276" w:type="dxa"/>
          </w:tcPr>
          <w:p w14:paraId="7AD97AFA" w14:textId="77777777" w:rsidR="006650E2" w:rsidRDefault="006650E2" w:rsidP="00E95D16">
            <w:pPr>
              <w:jc w:val="right"/>
              <w:rPr>
                <w:rFonts w:ascii="Arial" w:hAnsi="Arial" w:cs="Arial"/>
                <w:sz w:val="23"/>
                <w:szCs w:val="23"/>
              </w:rPr>
            </w:pPr>
          </w:p>
          <w:p w14:paraId="22BCDBD7" w14:textId="03E57CAC" w:rsidR="00784B37" w:rsidRPr="000D756E" w:rsidRDefault="00784B37" w:rsidP="00E95D16">
            <w:pPr>
              <w:jc w:val="right"/>
              <w:rPr>
                <w:rFonts w:ascii="Arial" w:hAnsi="Arial" w:cs="Arial"/>
                <w:sz w:val="23"/>
                <w:szCs w:val="23"/>
              </w:rPr>
            </w:pPr>
            <w:r>
              <w:rPr>
                <w:rFonts w:ascii="Arial" w:hAnsi="Arial" w:cs="Arial"/>
                <w:sz w:val="23"/>
                <w:szCs w:val="23"/>
              </w:rPr>
              <w:t>11</w:t>
            </w:r>
          </w:p>
        </w:tc>
      </w:tr>
      <w:tr w:rsidR="00CB6672" w:rsidRPr="000D756E" w14:paraId="485965CD" w14:textId="77777777" w:rsidTr="00BF3D6C">
        <w:trPr>
          <w:trHeight w:val="569"/>
        </w:trPr>
        <w:tc>
          <w:tcPr>
            <w:tcW w:w="7479" w:type="dxa"/>
            <w:vAlign w:val="center"/>
          </w:tcPr>
          <w:p w14:paraId="4235D64C" w14:textId="77777777" w:rsidR="00E95D16" w:rsidRPr="000D756E" w:rsidRDefault="00E95D16" w:rsidP="00E95D16">
            <w:pPr>
              <w:rPr>
                <w:rFonts w:ascii="Arial" w:hAnsi="Arial" w:cs="Arial"/>
                <w:b/>
              </w:rPr>
            </w:pPr>
          </w:p>
          <w:p w14:paraId="266AFAED" w14:textId="77777777" w:rsidR="00E95D16" w:rsidRPr="000D756E" w:rsidRDefault="00E95D16" w:rsidP="00E95D16">
            <w:pPr>
              <w:rPr>
                <w:rFonts w:ascii="Arial" w:hAnsi="Arial" w:cs="Arial"/>
                <w:b/>
              </w:rPr>
            </w:pPr>
            <w:r w:rsidRPr="000D756E">
              <w:rPr>
                <w:rFonts w:ascii="Arial" w:hAnsi="Arial" w:cs="Arial"/>
                <w:b/>
              </w:rPr>
              <w:t>Total Adjustments</w:t>
            </w:r>
          </w:p>
          <w:p w14:paraId="71291D5A" w14:textId="77777777" w:rsidR="00E95D16" w:rsidRPr="000D756E" w:rsidRDefault="00E95D16" w:rsidP="00E95D16">
            <w:pPr>
              <w:rPr>
                <w:rFonts w:ascii="Arial" w:hAnsi="Arial" w:cs="Arial"/>
                <w:b/>
              </w:rPr>
            </w:pPr>
          </w:p>
        </w:tc>
        <w:tc>
          <w:tcPr>
            <w:tcW w:w="1134" w:type="dxa"/>
          </w:tcPr>
          <w:p w14:paraId="127144AE" w14:textId="77777777" w:rsidR="008911EB" w:rsidRDefault="008911EB" w:rsidP="00E95D16">
            <w:pPr>
              <w:jc w:val="right"/>
              <w:rPr>
                <w:rFonts w:ascii="Arial" w:hAnsi="Arial" w:cs="Arial"/>
                <w:b/>
                <w:sz w:val="23"/>
                <w:szCs w:val="23"/>
              </w:rPr>
            </w:pPr>
          </w:p>
          <w:p w14:paraId="3768CB94" w14:textId="387D9583" w:rsidR="00784B37" w:rsidRPr="000D756E" w:rsidRDefault="00784B37" w:rsidP="00E95D16">
            <w:pPr>
              <w:jc w:val="right"/>
              <w:rPr>
                <w:rFonts w:ascii="Arial" w:hAnsi="Arial" w:cs="Arial"/>
                <w:b/>
                <w:sz w:val="23"/>
                <w:szCs w:val="23"/>
              </w:rPr>
            </w:pPr>
            <w:r>
              <w:rPr>
                <w:rFonts w:ascii="Arial" w:hAnsi="Arial" w:cs="Arial"/>
                <w:b/>
                <w:sz w:val="23"/>
                <w:szCs w:val="23"/>
              </w:rPr>
              <w:t>-7,157</w:t>
            </w:r>
          </w:p>
        </w:tc>
        <w:tc>
          <w:tcPr>
            <w:tcW w:w="1276" w:type="dxa"/>
          </w:tcPr>
          <w:p w14:paraId="2D4D4826" w14:textId="77777777" w:rsidR="00194A9D" w:rsidRDefault="00194A9D" w:rsidP="00E95D16">
            <w:pPr>
              <w:jc w:val="right"/>
              <w:rPr>
                <w:rFonts w:ascii="Arial" w:hAnsi="Arial" w:cs="Arial"/>
                <w:b/>
                <w:sz w:val="23"/>
                <w:szCs w:val="23"/>
              </w:rPr>
            </w:pPr>
          </w:p>
          <w:p w14:paraId="7BFA31E7" w14:textId="4D988F82" w:rsidR="00895089" w:rsidRPr="000D756E" w:rsidRDefault="00895089" w:rsidP="00E95D16">
            <w:pPr>
              <w:jc w:val="right"/>
              <w:rPr>
                <w:rFonts w:ascii="Arial" w:hAnsi="Arial" w:cs="Arial"/>
                <w:b/>
                <w:sz w:val="23"/>
                <w:szCs w:val="23"/>
              </w:rPr>
            </w:pPr>
            <w:r>
              <w:rPr>
                <w:rFonts w:ascii="Arial" w:hAnsi="Arial" w:cs="Arial"/>
                <w:b/>
                <w:sz w:val="23"/>
                <w:szCs w:val="23"/>
              </w:rPr>
              <w:t>7,157</w:t>
            </w:r>
          </w:p>
        </w:tc>
      </w:tr>
      <w:bookmarkEnd w:id="1"/>
    </w:tbl>
    <w:p w14:paraId="6D69906F" w14:textId="54D0E247" w:rsidR="0E6F239C" w:rsidRPr="000D756E" w:rsidRDefault="0E6F239C"/>
    <w:p w14:paraId="28A33F1E" w14:textId="77777777" w:rsidR="008212A1" w:rsidRPr="000D756E" w:rsidRDefault="00357691" w:rsidP="002A7C01">
      <w:pPr>
        <w:rPr>
          <w:rFonts w:ascii="Arial" w:hAnsi="Arial" w:cs="Arial"/>
          <w:b/>
          <w:sz w:val="24"/>
          <w:szCs w:val="24"/>
        </w:rPr>
      </w:pPr>
      <w:r w:rsidRPr="000D756E">
        <w:rPr>
          <w:rFonts w:ascii="Arial" w:hAnsi="Arial" w:cs="Arial"/>
          <w:b/>
          <w:sz w:val="24"/>
          <w:szCs w:val="24"/>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134"/>
        <w:gridCol w:w="1276"/>
      </w:tblGrid>
      <w:tr w:rsidR="000D756E" w:rsidRPr="000D756E" w14:paraId="2605C203" w14:textId="77777777" w:rsidTr="00127D82">
        <w:trPr>
          <w:trHeight w:val="1200"/>
        </w:trPr>
        <w:tc>
          <w:tcPr>
            <w:tcW w:w="7479" w:type="dxa"/>
            <w:vAlign w:val="center"/>
          </w:tcPr>
          <w:p w14:paraId="19B92CFB" w14:textId="7E90B9A5" w:rsidR="0039102A" w:rsidRPr="000D756E" w:rsidRDefault="0039102A" w:rsidP="0039102A">
            <w:pPr>
              <w:ind w:right="-2438"/>
              <w:rPr>
                <w:rFonts w:ascii="Arial" w:hAnsi="Arial" w:cs="Arial"/>
                <w:b/>
                <w:sz w:val="23"/>
                <w:szCs w:val="23"/>
              </w:rPr>
            </w:pPr>
            <w:r w:rsidRPr="000D756E">
              <w:rPr>
                <w:rFonts w:ascii="Arial" w:hAnsi="Arial" w:cs="Arial"/>
                <w:b/>
                <w:sz w:val="23"/>
                <w:szCs w:val="23"/>
              </w:rPr>
              <w:lastRenderedPageBreak/>
              <w:t>20</w:t>
            </w:r>
            <w:r w:rsidR="00A86357" w:rsidRPr="000D756E">
              <w:rPr>
                <w:rFonts w:ascii="Arial" w:hAnsi="Arial" w:cs="Arial"/>
                <w:b/>
                <w:sz w:val="23"/>
                <w:szCs w:val="23"/>
              </w:rPr>
              <w:t>2</w:t>
            </w:r>
            <w:r w:rsidR="00B735D7">
              <w:rPr>
                <w:rFonts w:ascii="Arial" w:hAnsi="Arial" w:cs="Arial"/>
                <w:b/>
                <w:sz w:val="23"/>
                <w:szCs w:val="23"/>
              </w:rPr>
              <w:t>3/24</w:t>
            </w:r>
          </w:p>
        </w:tc>
        <w:tc>
          <w:tcPr>
            <w:tcW w:w="1134" w:type="dxa"/>
          </w:tcPr>
          <w:p w14:paraId="7014BA6D" w14:textId="77777777" w:rsidR="0039102A" w:rsidRPr="000D756E" w:rsidRDefault="0039102A" w:rsidP="0039102A">
            <w:pPr>
              <w:jc w:val="right"/>
              <w:rPr>
                <w:rFonts w:ascii="Arial" w:hAnsi="Arial" w:cs="Arial"/>
                <w:b/>
              </w:rPr>
            </w:pPr>
          </w:p>
          <w:p w14:paraId="6640DDFC" w14:textId="77777777" w:rsidR="0039102A" w:rsidRPr="000D756E" w:rsidRDefault="0039102A" w:rsidP="0039102A">
            <w:pPr>
              <w:jc w:val="right"/>
              <w:rPr>
                <w:rFonts w:ascii="Arial" w:hAnsi="Arial" w:cs="Arial"/>
                <w:b/>
              </w:rPr>
            </w:pPr>
            <w:r w:rsidRPr="000D756E">
              <w:rPr>
                <w:rFonts w:ascii="Arial" w:hAnsi="Arial" w:cs="Arial"/>
                <w:b/>
              </w:rPr>
              <w:t xml:space="preserve"> General Fund Balance</w:t>
            </w:r>
          </w:p>
          <w:p w14:paraId="6190F1A0" w14:textId="77777777" w:rsidR="0039102A" w:rsidRPr="000D756E" w:rsidRDefault="0039102A" w:rsidP="0039102A">
            <w:pPr>
              <w:jc w:val="right"/>
              <w:rPr>
                <w:rFonts w:ascii="Arial" w:hAnsi="Arial" w:cs="Arial"/>
                <w:b/>
              </w:rPr>
            </w:pPr>
          </w:p>
          <w:p w14:paraId="1092623E" w14:textId="77777777" w:rsidR="0039102A" w:rsidRPr="000D756E" w:rsidRDefault="0039102A" w:rsidP="0039102A">
            <w:pPr>
              <w:jc w:val="right"/>
              <w:rPr>
                <w:rFonts w:ascii="Arial" w:hAnsi="Arial" w:cs="Arial"/>
                <w:b/>
              </w:rPr>
            </w:pPr>
          </w:p>
          <w:p w14:paraId="167B9269" w14:textId="5ACF9334" w:rsidR="0039102A" w:rsidRPr="000D756E" w:rsidRDefault="0039102A" w:rsidP="0039102A">
            <w:pPr>
              <w:jc w:val="right"/>
              <w:rPr>
                <w:rFonts w:ascii="Arial" w:hAnsi="Arial" w:cs="Arial"/>
                <w:b/>
              </w:rPr>
            </w:pPr>
            <w:r w:rsidRPr="000D756E">
              <w:rPr>
                <w:rFonts w:ascii="Arial" w:hAnsi="Arial" w:cs="Arial"/>
                <w:b/>
              </w:rPr>
              <w:t>£’000</w:t>
            </w:r>
          </w:p>
        </w:tc>
        <w:tc>
          <w:tcPr>
            <w:tcW w:w="1276" w:type="dxa"/>
          </w:tcPr>
          <w:p w14:paraId="3C706BDF" w14:textId="77777777" w:rsidR="0039102A" w:rsidRPr="000D756E" w:rsidRDefault="0039102A" w:rsidP="0039102A">
            <w:pPr>
              <w:jc w:val="right"/>
              <w:rPr>
                <w:rFonts w:ascii="Arial" w:hAnsi="Arial" w:cs="Arial"/>
                <w:b/>
              </w:rPr>
            </w:pPr>
          </w:p>
          <w:p w14:paraId="3FE726A0" w14:textId="77777777" w:rsidR="0039102A" w:rsidRPr="000D756E" w:rsidRDefault="0039102A" w:rsidP="0039102A">
            <w:pPr>
              <w:jc w:val="right"/>
              <w:rPr>
                <w:rFonts w:ascii="Arial" w:hAnsi="Arial" w:cs="Arial"/>
                <w:b/>
              </w:rPr>
            </w:pPr>
            <w:r w:rsidRPr="000D756E">
              <w:rPr>
                <w:rFonts w:ascii="Arial" w:hAnsi="Arial" w:cs="Arial"/>
                <w:b/>
              </w:rPr>
              <w:t>Movement in Unusable Reserves</w:t>
            </w:r>
          </w:p>
          <w:p w14:paraId="21C18F16" w14:textId="77777777" w:rsidR="0039102A" w:rsidRPr="000D756E" w:rsidRDefault="0039102A" w:rsidP="0039102A">
            <w:pPr>
              <w:jc w:val="right"/>
              <w:rPr>
                <w:rFonts w:ascii="Arial" w:hAnsi="Arial" w:cs="Arial"/>
                <w:b/>
              </w:rPr>
            </w:pPr>
          </w:p>
          <w:p w14:paraId="14C35E4F" w14:textId="199AF2FF" w:rsidR="0039102A" w:rsidRPr="000D756E" w:rsidRDefault="0039102A" w:rsidP="0039102A">
            <w:pPr>
              <w:jc w:val="right"/>
              <w:rPr>
                <w:rFonts w:ascii="Arial" w:hAnsi="Arial" w:cs="Arial"/>
                <w:b/>
              </w:rPr>
            </w:pPr>
            <w:r w:rsidRPr="000D756E">
              <w:rPr>
                <w:rFonts w:ascii="Arial" w:hAnsi="Arial" w:cs="Arial"/>
                <w:b/>
              </w:rPr>
              <w:t>£’000</w:t>
            </w:r>
          </w:p>
        </w:tc>
      </w:tr>
      <w:tr w:rsidR="00B735D7" w:rsidRPr="000D756E" w14:paraId="72837841" w14:textId="77777777" w:rsidTr="00127D82">
        <w:trPr>
          <w:trHeight w:val="423"/>
        </w:trPr>
        <w:tc>
          <w:tcPr>
            <w:tcW w:w="7479" w:type="dxa"/>
            <w:tcBorders>
              <w:bottom w:val="single" w:sz="4" w:space="0" w:color="auto"/>
            </w:tcBorders>
            <w:vAlign w:val="center"/>
          </w:tcPr>
          <w:p w14:paraId="45F0A13D" w14:textId="11A8BE92" w:rsidR="00B735D7" w:rsidRPr="000D756E" w:rsidRDefault="00B735D7" w:rsidP="00B735D7">
            <w:pPr>
              <w:rPr>
                <w:rFonts w:ascii="Arial" w:hAnsi="Arial" w:cs="Arial"/>
                <w:b/>
              </w:rPr>
            </w:pPr>
            <w:r w:rsidRPr="000D756E">
              <w:rPr>
                <w:rFonts w:ascii="Arial" w:hAnsi="Arial" w:cs="Arial"/>
                <w:b/>
              </w:rPr>
              <w:t xml:space="preserve">Adjustments primarily involving the Capital Adjustment Account:      </w:t>
            </w:r>
          </w:p>
        </w:tc>
        <w:tc>
          <w:tcPr>
            <w:tcW w:w="1134" w:type="dxa"/>
            <w:tcBorders>
              <w:bottom w:val="single" w:sz="4" w:space="0" w:color="auto"/>
            </w:tcBorders>
          </w:tcPr>
          <w:p w14:paraId="3B668B2F" w14:textId="77777777" w:rsidR="00B735D7" w:rsidRPr="000D756E" w:rsidRDefault="00B735D7" w:rsidP="00B735D7">
            <w:pPr>
              <w:jc w:val="right"/>
              <w:rPr>
                <w:rFonts w:ascii="Arial" w:hAnsi="Arial" w:cs="Arial"/>
                <w:sz w:val="23"/>
                <w:szCs w:val="23"/>
                <w:highlight w:val="green"/>
              </w:rPr>
            </w:pPr>
          </w:p>
        </w:tc>
        <w:tc>
          <w:tcPr>
            <w:tcW w:w="1276" w:type="dxa"/>
            <w:tcBorders>
              <w:bottom w:val="single" w:sz="4" w:space="0" w:color="auto"/>
            </w:tcBorders>
          </w:tcPr>
          <w:p w14:paraId="67F664BC" w14:textId="77777777" w:rsidR="00B735D7" w:rsidRPr="000D756E" w:rsidRDefault="00B735D7" w:rsidP="00B735D7">
            <w:pPr>
              <w:jc w:val="right"/>
              <w:rPr>
                <w:rFonts w:ascii="Arial" w:hAnsi="Arial" w:cs="Arial"/>
                <w:sz w:val="23"/>
                <w:szCs w:val="23"/>
                <w:highlight w:val="green"/>
              </w:rPr>
            </w:pPr>
          </w:p>
        </w:tc>
      </w:tr>
      <w:tr w:rsidR="00B735D7" w:rsidRPr="000D756E" w14:paraId="2E872BCC" w14:textId="77777777" w:rsidTr="00127D82">
        <w:trPr>
          <w:trHeight w:val="418"/>
        </w:trPr>
        <w:tc>
          <w:tcPr>
            <w:tcW w:w="7479" w:type="dxa"/>
            <w:tcBorders>
              <w:bottom w:val="nil"/>
              <w:right w:val="single" w:sz="4" w:space="0" w:color="auto"/>
            </w:tcBorders>
            <w:vAlign w:val="center"/>
          </w:tcPr>
          <w:p w14:paraId="38A94E66" w14:textId="4FB8A59A" w:rsidR="00B735D7" w:rsidRPr="000D756E" w:rsidRDefault="00B735D7" w:rsidP="00B735D7">
            <w:pPr>
              <w:rPr>
                <w:rFonts w:ascii="Arial" w:hAnsi="Arial" w:cs="Arial"/>
                <w:b/>
              </w:rPr>
            </w:pPr>
            <w:r w:rsidRPr="000D756E">
              <w:rPr>
                <w:rFonts w:ascii="Arial" w:hAnsi="Arial" w:cs="Arial"/>
                <w:b/>
              </w:rPr>
              <w:t>Reversal of items debited or credited to the Comp I&amp;E Statement:</w:t>
            </w:r>
          </w:p>
        </w:tc>
        <w:tc>
          <w:tcPr>
            <w:tcW w:w="1134" w:type="dxa"/>
            <w:tcBorders>
              <w:left w:val="single" w:sz="4" w:space="0" w:color="auto"/>
              <w:bottom w:val="nil"/>
              <w:right w:val="single" w:sz="4" w:space="0" w:color="auto"/>
            </w:tcBorders>
          </w:tcPr>
          <w:p w14:paraId="4DD847CC" w14:textId="77777777" w:rsidR="00B735D7" w:rsidRPr="000D756E" w:rsidRDefault="00B735D7" w:rsidP="00B735D7">
            <w:pPr>
              <w:rPr>
                <w:rFonts w:ascii="Arial" w:hAnsi="Arial" w:cs="Arial"/>
                <w:sz w:val="23"/>
                <w:szCs w:val="23"/>
                <w:highlight w:val="green"/>
              </w:rPr>
            </w:pPr>
          </w:p>
        </w:tc>
        <w:tc>
          <w:tcPr>
            <w:tcW w:w="1276" w:type="dxa"/>
            <w:tcBorders>
              <w:left w:val="single" w:sz="4" w:space="0" w:color="auto"/>
              <w:bottom w:val="nil"/>
              <w:right w:val="single" w:sz="4" w:space="0" w:color="auto"/>
            </w:tcBorders>
          </w:tcPr>
          <w:p w14:paraId="7D472C9B" w14:textId="77777777" w:rsidR="00B735D7" w:rsidRPr="000D756E" w:rsidRDefault="00B735D7" w:rsidP="00B735D7">
            <w:pPr>
              <w:jc w:val="right"/>
              <w:rPr>
                <w:rFonts w:ascii="Arial" w:hAnsi="Arial" w:cs="Arial"/>
                <w:sz w:val="23"/>
                <w:szCs w:val="23"/>
                <w:highlight w:val="green"/>
              </w:rPr>
            </w:pPr>
          </w:p>
        </w:tc>
      </w:tr>
      <w:tr w:rsidR="00B735D7" w:rsidRPr="000D756E" w14:paraId="29AE36E2" w14:textId="77777777" w:rsidTr="00127D82">
        <w:trPr>
          <w:trHeight w:val="383"/>
        </w:trPr>
        <w:tc>
          <w:tcPr>
            <w:tcW w:w="7479" w:type="dxa"/>
            <w:tcBorders>
              <w:top w:val="nil"/>
              <w:bottom w:val="nil"/>
              <w:right w:val="single" w:sz="4" w:space="0" w:color="auto"/>
            </w:tcBorders>
            <w:vAlign w:val="center"/>
          </w:tcPr>
          <w:p w14:paraId="12A803C2" w14:textId="53867BCA" w:rsidR="00B735D7" w:rsidRPr="000D756E" w:rsidRDefault="00B735D7" w:rsidP="00B735D7">
            <w:pPr>
              <w:rPr>
                <w:rFonts w:ascii="Arial" w:hAnsi="Arial" w:cs="Arial"/>
              </w:rPr>
            </w:pPr>
            <w:r w:rsidRPr="000D756E">
              <w:rPr>
                <w:rFonts w:ascii="Arial" w:hAnsi="Arial" w:cs="Arial"/>
              </w:rPr>
              <w:t xml:space="preserve">Charges for depreciation of non current assets                     </w:t>
            </w:r>
          </w:p>
        </w:tc>
        <w:tc>
          <w:tcPr>
            <w:tcW w:w="1134" w:type="dxa"/>
            <w:tcBorders>
              <w:top w:val="nil"/>
              <w:left w:val="single" w:sz="4" w:space="0" w:color="auto"/>
              <w:bottom w:val="nil"/>
              <w:right w:val="single" w:sz="4" w:space="0" w:color="auto"/>
            </w:tcBorders>
          </w:tcPr>
          <w:p w14:paraId="52A4EA5D" w14:textId="030EADAB" w:rsidR="00B735D7" w:rsidRPr="000D756E" w:rsidRDefault="00B735D7" w:rsidP="00B735D7">
            <w:pPr>
              <w:jc w:val="right"/>
              <w:rPr>
                <w:rFonts w:ascii="Arial" w:hAnsi="Arial" w:cs="Arial"/>
                <w:sz w:val="23"/>
                <w:szCs w:val="23"/>
              </w:rPr>
            </w:pPr>
            <w:r w:rsidRPr="000D756E">
              <w:rPr>
                <w:rFonts w:ascii="Arial" w:hAnsi="Arial" w:cs="Arial"/>
                <w:sz w:val="23"/>
                <w:szCs w:val="23"/>
              </w:rPr>
              <w:t>-2,677</w:t>
            </w:r>
          </w:p>
        </w:tc>
        <w:tc>
          <w:tcPr>
            <w:tcW w:w="1276" w:type="dxa"/>
            <w:tcBorders>
              <w:top w:val="nil"/>
              <w:left w:val="single" w:sz="4" w:space="0" w:color="auto"/>
              <w:bottom w:val="nil"/>
              <w:right w:val="single" w:sz="4" w:space="0" w:color="auto"/>
            </w:tcBorders>
          </w:tcPr>
          <w:p w14:paraId="1BBFD72A" w14:textId="74B83CC0" w:rsidR="00B735D7" w:rsidRPr="000D756E" w:rsidRDefault="00B735D7" w:rsidP="00B735D7">
            <w:pPr>
              <w:jc w:val="right"/>
              <w:rPr>
                <w:rFonts w:ascii="Arial" w:hAnsi="Arial" w:cs="Arial"/>
                <w:sz w:val="23"/>
                <w:szCs w:val="23"/>
              </w:rPr>
            </w:pPr>
            <w:r w:rsidRPr="000D756E">
              <w:rPr>
                <w:rFonts w:ascii="Arial" w:hAnsi="Arial" w:cs="Arial"/>
                <w:sz w:val="23"/>
                <w:szCs w:val="23"/>
              </w:rPr>
              <w:t>2,677</w:t>
            </w:r>
          </w:p>
        </w:tc>
      </w:tr>
      <w:tr w:rsidR="00B735D7" w:rsidRPr="000D756E" w14:paraId="3B718F95" w14:textId="77777777">
        <w:trPr>
          <w:trHeight w:val="405"/>
        </w:trPr>
        <w:tc>
          <w:tcPr>
            <w:tcW w:w="7479" w:type="dxa"/>
            <w:tcBorders>
              <w:top w:val="nil"/>
              <w:left w:val="single" w:sz="4" w:space="0" w:color="auto"/>
              <w:bottom w:val="nil"/>
              <w:right w:val="single" w:sz="4" w:space="0" w:color="auto"/>
            </w:tcBorders>
            <w:vAlign w:val="center"/>
          </w:tcPr>
          <w:p w14:paraId="67F047C3" w14:textId="4C23E8BD" w:rsidR="00B735D7" w:rsidRPr="000D756E" w:rsidRDefault="00B735D7" w:rsidP="00B735D7">
            <w:pPr>
              <w:rPr>
                <w:rFonts w:ascii="Arial" w:hAnsi="Arial" w:cs="Arial"/>
              </w:rPr>
            </w:pPr>
            <w:r w:rsidRPr="000D756E">
              <w:rPr>
                <w:rFonts w:ascii="Arial" w:hAnsi="Arial" w:cs="Arial"/>
              </w:rPr>
              <w:t>Revaluation losses on Property Plant and Equipment</w:t>
            </w:r>
          </w:p>
        </w:tc>
        <w:tc>
          <w:tcPr>
            <w:tcW w:w="1134" w:type="dxa"/>
            <w:tcBorders>
              <w:top w:val="nil"/>
              <w:left w:val="single" w:sz="4" w:space="0" w:color="auto"/>
              <w:bottom w:val="nil"/>
              <w:right w:val="single" w:sz="4" w:space="0" w:color="auto"/>
            </w:tcBorders>
          </w:tcPr>
          <w:p w14:paraId="41BDD2D9" w14:textId="162AF672" w:rsidR="00B735D7" w:rsidRPr="000D756E" w:rsidRDefault="00B735D7" w:rsidP="00B735D7">
            <w:pPr>
              <w:jc w:val="right"/>
              <w:rPr>
                <w:rFonts w:ascii="Arial" w:hAnsi="Arial" w:cs="Arial"/>
                <w:sz w:val="23"/>
                <w:szCs w:val="23"/>
              </w:rPr>
            </w:pPr>
            <w:r w:rsidRPr="000D756E">
              <w:rPr>
                <w:rFonts w:ascii="Arial" w:hAnsi="Arial" w:cs="Arial"/>
                <w:sz w:val="23"/>
                <w:szCs w:val="23"/>
              </w:rPr>
              <w:t>-5,165</w:t>
            </w:r>
          </w:p>
        </w:tc>
        <w:tc>
          <w:tcPr>
            <w:tcW w:w="1276" w:type="dxa"/>
            <w:tcBorders>
              <w:top w:val="nil"/>
              <w:left w:val="single" w:sz="4" w:space="0" w:color="auto"/>
              <w:bottom w:val="nil"/>
              <w:right w:val="single" w:sz="4" w:space="0" w:color="auto"/>
            </w:tcBorders>
          </w:tcPr>
          <w:p w14:paraId="1CDF3E9B" w14:textId="0D8D8206" w:rsidR="00B735D7" w:rsidRPr="000D756E" w:rsidRDefault="00B735D7" w:rsidP="00B735D7">
            <w:pPr>
              <w:jc w:val="right"/>
              <w:rPr>
                <w:rFonts w:ascii="Arial" w:hAnsi="Arial" w:cs="Arial"/>
                <w:sz w:val="23"/>
                <w:szCs w:val="23"/>
              </w:rPr>
            </w:pPr>
            <w:r w:rsidRPr="000D756E">
              <w:rPr>
                <w:rFonts w:ascii="Arial" w:hAnsi="Arial" w:cs="Arial"/>
                <w:sz w:val="23"/>
                <w:szCs w:val="23"/>
              </w:rPr>
              <w:t>5,165</w:t>
            </w:r>
          </w:p>
        </w:tc>
      </w:tr>
      <w:tr w:rsidR="00B735D7" w:rsidRPr="000D756E" w14:paraId="78237111" w14:textId="77777777">
        <w:trPr>
          <w:trHeight w:val="405"/>
        </w:trPr>
        <w:tc>
          <w:tcPr>
            <w:tcW w:w="7479" w:type="dxa"/>
            <w:tcBorders>
              <w:top w:val="nil"/>
              <w:left w:val="single" w:sz="4" w:space="0" w:color="auto"/>
              <w:bottom w:val="single" w:sz="4" w:space="0" w:color="auto"/>
              <w:right w:val="single" w:sz="4" w:space="0" w:color="auto"/>
            </w:tcBorders>
            <w:vAlign w:val="center"/>
          </w:tcPr>
          <w:p w14:paraId="28248275" w14:textId="6B7E9326" w:rsidR="00B735D7" w:rsidRPr="000D756E" w:rsidRDefault="00B735D7" w:rsidP="00B735D7">
            <w:pPr>
              <w:rPr>
                <w:rFonts w:ascii="Arial" w:hAnsi="Arial" w:cs="Arial"/>
              </w:rPr>
            </w:pPr>
            <w:r w:rsidRPr="000D756E">
              <w:rPr>
                <w:rFonts w:ascii="Arial" w:hAnsi="Arial" w:cs="Arial"/>
                <w:bCs/>
              </w:rPr>
              <w:t>Non-current assets written off on disposal</w:t>
            </w:r>
          </w:p>
        </w:tc>
        <w:tc>
          <w:tcPr>
            <w:tcW w:w="1134" w:type="dxa"/>
            <w:tcBorders>
              <w:top w:val="nil"/>
              <w:left w:val="single" w:sz="4" w:space="0" w:color="auto"/>
              <w:bottom w:val="single" w:sz="4" w:space="0" w:color="auto"/>
              <w:right w:val="single" w:sz="4" w:space="0" w:color="auto"/>
            </w:tcBorders>
          </w:tcPr>
          <w:p w14:paraId="1BAD8DE2" w14:textId="10FB2D86" w:rsidR="00B735D7" w:rsidRPr="000D756E" w:rsidRDefault="00B735D7" w:rsidP="00B735D7">
            <w:pPr>
              <w:jc w:val="right"/>
              <w:rPr>
                <w:rFonts w:ascii="Arial" w:hAnsi="Arial" w:cs="Arial"/>
                <w:sz w:val="23"/>
                <w:szCs w:val="23"/>
              </w:rPr>
            </w:pPr>
            <w:r w:rsidRPr="000D756E">
              <w:rPr>
                <w:rFonts w:ascii="Arial" w:hAnsi="Arial" w:cs="Arial"/>
                <w:bCs/>
                <w:sz w:val="23"/>
                <w:szCs w:val="23"/>
              </w:rPr>
              <w:t>-93</w:t>
            </w:r>
          </w:p>
        </w:tc>
        <w:tc>
          <w:tcPr>
            <w:tcW w:w="1276" w:type="dxa"/>
            <w:tcBorders>
              <w:top w:val="nil"/>
              <w:left w:val="single" w:sz="4" w:space="0" w:color="auto"/>
              <w:bottom w:val="single" w:sz="4" w:space="0" w:color="auto"/>
              <w:right w:val="single" w:sz="4" w:space="0" w:color="auto"/>
            </w:tcBorders>
          </w:tcPr>
          <w:p w14:paraId="6C28E699" w14:textId="2B8833CD" w:rsidR="00B735D7" w:rsidRPr="000D756E" w:rsidRDefault="00B735D7" w:rsidP="00B735D7">
            <w:pPr>
              <w:jc w:val="right"/>
              <w:rPr>
                <w:rFonts w:ascii="Arial" w:hAnsi="Arial" w:cs="Arial"/>
                <w:sz w:val="23"/>
                <w:szCs w:val="23"/>
              </w:rPr>
            </w:pPr>
            <w:r w:rsidRPr="000D756E">
              <w:rPr>
                <w:rFonts w:ascii="Arial" w:hAnsi="Arial" w:cs="Arial"/>
                <w:bCs/>
                <w:sz w:val="23"/>
                <w:szCs w:val="23"/>
              </w:rPr>
              <w:t>93</w:t>
            </w:r>
          </w:p>
        </w:tc>
      </w:tr>
      <w:tr w:rsidR="00B735D7" w:rsidRPr="000D756E" w14:paraId="5E3CB860" w14:textId="77777777">
        <w:trPr>
          <w:trHeight w:val="494"/>
        </w:trPr>
        <w:tc>
          <w:tcPr>
            <w:tcW w:w="7479" w:type="dxa"/>
            <w:tcBorders>
              <w:top w:val="single" w:sz="4" w:space="0" w:color="auto"/>
              <w:bottom w:val="nil"/>
              <w:right w:val="single" w:sz="4" w:space="0" w:color="auto"/>
            </w:tcBorders>
            <w:vAlign w:val="center"/>
          </w:tcPr>
          <w:p w14:paraId="174681BE" w14:textId="77777777" w:rsidR="00B735D7" w:rsidRPr="000D756E" w:rsidRDefault="00B735D7" w:rsidP="00B735D7">
            <w:pPr>
              <w:rPr>
                <w:rFonts w:ascii="Arial" w:hAnsi="Arial" w:cs="Arial"/>
                <w:b/>
              </w:rPr>
            </w:pPr>
            <w:r w:rsidRPr="000D756E">
              <w:rPr>
                <w:rFonts w:ascii="Arial" w:hAnsi="Arial" w:cs="Arial"/>
                <w:b/>
              </w:rPr>
              <w:t>Insertion of items not debited or credited to the Comp I&amp;E Statement:</w:t>
            </w:r>
          </w:p>
          <w:p w14:paraId="64665020" w14:textId="77777777" w:rsidR="00B735D7" w:rsidRPr="000D756E" w:rsidRDefault="00B735D7" w:rsidP="00B735D7">
            <w:pPr>
              <w:rPr>
                <w:rFonts w:ascii="Arial" w:hAnsi="Arial" w:cs="Arial"/>
                <w:b/>
              </w:rPr>
            </w:pPr>
          </w:p>
        </w:tc>
        <w:tc>
          <w:tcPr>
            <w:tcW w:w="1134" w:type="dxa"/>
            <w:tcBorders>
              <w:top w:val="single" w:sz="4" w:space="0" w:color="auto"/>
              <w:left w:val="single" w:sz="4" w:space="0" w:color="auto"/>
              <w:bottom w:val="nil"/>
              <w:right w:val="single" w:sz="4" w:space="0" w:color="auto"/>
            </w:tcBorders>
          </w:tcPr>
          <w:p w14:paraId="441CC1C1" w14:textId="77777777" w:rsidR="00B735D7" w:rsidRPr="000D756E" w:rsidRDefault="00B735D7" w:rsidP="00B735D7">
            <w:pPr>
              <w:jc w:val="right"/>
              <w:rPr>
                <w:rFonts w:ascii="Arial" w:hAnsi="Arial" w:cs="Arial"/>
                <w:b/>
                <w:sz w:val="23"/>
                <w:szCs w:val="23"/>
                <w:highlight w:val="green"/>
              </w:rPr>
            </w:pPr>
          </w:p>
        </w:tc>
        <w:tc>
          <w:tcPr>
            <w:tcW w:w="1276" w:type="dxa"/>
            <w:tcBorders>
              <w:top w:val="single" w:sz="4" w:space="0" w:color="auto"/>
              <w:left w:val="single" w:sz="4" w:space="0" w:color="auto"/>
              <w:bottom w:val="nil"/>
              <w:right w:val="single" w:sz="4" w:space="0" w:color="auto"/>
            </w:tcBorders>
          </w:tcPr>
          <w:p w14:paraId="1E41D2B2" w14:textId="77777777" w:rsidR="00B735D7" w:rsidRPr="000D756E" w:rsidRDefault="00B735D7" w:rsidP="00B735D7">
            <w:pPr>
              <w:jc w:val="right"/>
              <w:rPr>
                <w:rFonts w:ascii="Arial" w:hAnsi="Arial" w:cs="Arial"/>
                <w:b/>
                <w:sz w:val="23"/>
                <w:szCs w:val="23"/>
                <w:highlight w:val="green"/>
              </w:rPr>
            </w:pPr>
          </w:p>
        </w:tc>
      </w:tr>
      <w:tr w:rsidR="00B735D7" w:rsidRPr="000D756E" w14:paraId="2CD590A2" w14:textId="77777777" w:rsidTr="00127D82">
        <w:trPr>
          <w:trHeight w:val="494"/>
        </w:trPr>
        <w:tc>
          <w:tcPr>
            <w:tcW w:w="7479" w:type="dxa"/>
            <w:tcBorders>
              <w:top w:val="nil"/>
              <w:bottom w:val="nil"/>
              <w:right w:val="single" w:sz="4" w:space="0" w:color="auto"/>
            </w:tcBorders>
            <w:vAlign w:val="center"/>
          </w:tcPr>
          <w:p w14:paraId="06EC0A07" w14:textId="77777777" w:rsidR="00B735D7" w:rsidRPr="000D756E" w:rsidRDefault="00B735D7" w:rsidP="00B735D7">
            <w:pPr>
              <w:rPr>
                <w:rFonts w:ascii="Arial" w:hAnsi="Arial" w:cs="Arial"/>
              </w:rPr>
            </w:pPr>
            <w:r w:rsidRPr="000D756E">
              <w:rPr>
                <w:rFonts w:ascii="Arial" w:hAnsi="Arial" w:cs="Arial"/>
              </w:rPr>
              <w:t xml:space="preserve">Statutory provision for the financing of capital investment                         </w:t>
            </w:r>
          </w:p>
          <w:p w14:paraId="1A314E5E" w14:textId="77777777" w:rsidR="00B735D7" w:rsidRPr="000D756E" w:rsidRDefault="00B735D7" w:rsidP="00B735D7">
            <w:pPr>
              <w:rPr>
                <w:rFonts w:ascii="Arial" w:hAnsi="Arial" w:cs="Arial"/>
              </w:rPr>
            </w:pPr>
          </w:p>
        </w:tc>
        <w:tc>
          <w:tcPr>
            <w:tcW w:w="1134" w:type="dxa"/>
            <w:tcBorders>
              <w:top w:val="nil"/>
              <w:left w:val="single" w:sz="4" w:space="0" w:color="auto"/>
              <w:bottom w:val="nil"/>
              <w:right w:val="single" w:sz="4" w:space="0" w:color="auto"/>
            </w:tcBorders>
          </w:tcPr>
          <w:p w14:paraId="709834D4" w14:textId="371F270B" w:rsidR="00B735D7" w:rsidRPr="000D756E" w:rsidRDefault="00B735D7" w:rsidP="00B735D7">
            <w:pPr>
              <w:jc w:val="right"/>
              <w:rPr>
                <w:rFonts w:ascii="Arial" w:hAnsi="Arial" w:cs="Arial"/>
                <w:sz w:val="23"/>
                <w:szCs w:val="23"/>
              </w:rPr>
            </w:pPr>
            <w:r w:rsidRPr="000D756E">
              <w:rPr>
                <w:rFonts w:ascii="Arial" w:hAnsi="Arial" w:cs="Arial"/>
                <w:sz w:val="23"/>
                <w:szCs w:val="23"/>
              </w:rPr>
              <w:t>260</w:t>
            </w:r>
          </w:p>
        </w:tc>
        <w:tc>
          <w:tcPr>
            <w:tcW w:w="1276" w:type="dxa"/>
            <w:tcBorders>
              <w:top w:val="nil"/>
              <w:left w:val="single" w:sz="4" w:space="0" w:color="auto"/>
              <w:bottom w:val="nil"/>
              <w:right w:val="single" w:sz="4" w:space="0" w:color="auto"/>
            </w:tcBorders>
          </w:tcPr>
          <w:p w14:paraId="1A2F8A33" w14:textId="729AB2CE" w:rsidR="00B735D7" w:rsidRPr="000D756E" w:rsidRDefault="00B735D7" w:rsidP="00B735D7">
            <w:pPr>
              <w:jc w:val="right"/>
              <w:rPr>
                <w:rFonts w:ascii="Arial" w:hAnsi="Arial" w:cs="Arial"/>
                <w:sz w:val="23"/>
                <w:szCs w:val="23"/>
              </w:rPr>
            </w:pPr>
            <w:r w:rsidRPr="000D756E">
              <w:rPr>
                <w:rFonts w:ascii="Arial" w:hAnsi="Arial" w:cs="Arial"/>
                <w:sz w:val="23"/>
                <w:szCs w:val="23"/>
              </w:rPr>
              <w:t>-260</w:t>
            </w:r>
          </w:p>
        </w:tc>
      </w:tr>
      <w:tr w:rsidR="00B735D7" w:rsidRPr="000D756E" w14:paraId="491161F3" w14:textId="77777777" w:rsidTr="00127D82">
        <w:trPr>
          <w:trHeight w:val="544"/>
        </w:trPr>
        <w:tc>
          <w:tcPr>
            <w:tcW w:w="7479" w:type="dxa"/>
            <w:tcBorders>
              <w:top w:val="nil"/>
              <w:bottom w:val="single" w:sz="4" w:space="0" w:color="auto"/>
              <w:right w:val="single" w:sz="4" w:space="0" w:color="auto"/>
            </w:tcBorders>
          </w:tcPr>
          <w:p w14:paraId="181A62FB" w14:textId="6DA936D3" w:rsidR="00B735D7" w:rsidRPr="000D756E" w:rsidRDefault="00B735D7" w:rsidP="00B735D7">
            <w:pPr>
              <w:rPr>
                <w:rFonts w:ascii="Arial" w:hAnsi="Arial" w:cs="Arial"/>
              </w:rPr>
            </w:pPr>
            <w:r w:rsidRPr="000D756E">
              <w:rPr>
                <w:rFonts w:ascii="Arial" w:hAnsi="Arial" w:cs="Arial"/>
              </w:rPr>
              <w:t xml:space="preserve">Capital expenditure charged against the General Fund Balance                </w:t>
            </w:r>
          </w:p>
        </w:tc>
        <w:tc>
          <w:tcPr>
            <w:tcW w:w="1134" w:type="dxa"/>
            <w:tcBorders>
              <w:top w:val="nil"/>
              <w:left w:val="single" w:sz="4" w:space="0" w:color="auto"/>
              <w:bottom w:val="single" w:sz="4" w:space="0" w:color="auto"/>
              <w:right w:val="single" w:sz="4" w:space="0" w:color="auto"/>
            </w:tcBorders>
          </w:tcPr>
          <w:p w14:paraId="4753FFA4" w14:textId="7A34CAC1" w:rsidR="00B735D7" w:rsidRPr="000D756E" w:rsidRDefault="00B735D7" w:rsidP="00B735D7">
            <w:pPr>
              <w:jc w:val="right"/>
              <w:rPr>
                <w:rFonts w:ascii="Arial" w:hAnsi="Arial" w:cs="Arial"/>
                <w:sz w:val="23"/>
                <w:szCs w:val="23"/>
              </w:rPr>
            </w:pPr>
            <w:r w:rsidRPr="000D756E">
              <w:rPr>
                <w:rFonts w:ascii="Arial" w:hAnsi="Arial" w:cs="Arial"/>
                <w:sz w:val="23"/>
                <w:szCs w:val="23"/>
              </w:rPr>
              <w:t>1,214</w:t>
            </w:r>
          </w:p>
        </w:tc>
        <w:tc>
          <w:tcPr>
            <w:tcW w:w="1276" w:type="dxa"/>
            <w:tcBorders>
              <w:top w:val="nil"/>
              <w:left w:val="single" w:sz="4" w:space="0" w:color="auto"/>
              <w:bottom w:val="single" w:sz="4" w:space="0" w:color="auto"/>
              <w:right w:val="single" w:sz="4" w:space="0" w:color="auto"/>
            </w:tcBorders>
          </w:tcPr>
          <w:p w14:paraId="7C8302DA" w14:textId="562F5CE4" w:rsidR="00B735D7" w:rsidRPr="000D756E" w:rsidRDefault="00B735D7" w:rsidP="00B735D7">
            <w:pPr>
              <w:jc w:val="right"/>
              <w:rPr>
                <w:rFonts w:ascii="Arial" w:hAnsi="Arial" w:cs="Arial"/>
                <w:sz w:val="23"/>
                <w:szCs w:val="23"/>
              </w:rPr>
            </w:pPr>
            <w:r w:rsidRPr="000D756E">
              <w:rPr>
                <w:rFonts w:ascii="Arial" w:hAnsi="Arial" w:cs="Arial"/>
                <w:sz w:val="23"/>
                <w:szCs w:val="23"/>
              </w:rPr>
              <w:t>-1,214</w:t>
            </w:r>
          </w:p>
        </w:tc>
      </w:tr>
      <w:tr w:rsidR="00B735D7" w:rsidRPr="000D756E" w14:paraId="1E828E1C" w14:textId="77777777" w:rsidTr="00127D82">
        <w:trPr>
          <w:trHeight w:val="441"/>
        </w:trPr>
        <w:tc>
          <w:tcPr>
            <w:tcW w:w="7479" w:type="dxa"/>
            <w:tcBorders>
              <w:bottom w:val="nil"/>
            </w:tcBorders>
            <w:vAlign w:val="center"/>
          </w:tcPr>
          <w:p w14:paraId="3C4DEBF6" w14:textId="77777777" w:rsidR="00B735D7" w:rsidRPr="000D756E" w:rsidRDefault="00B735D7" w:rsidP="00B735D7">
            <w:pPr>
              <w:rPr>
                <w:rFonts w:ascii="Arial" w:hAnsi="Arial" w:cs="Arial"/>
                <w:b/>
              </w:rPr>
            </w:pPr>
            <w:r w:rsidRPr="000D756E">
              <w:rPr>
                <w:rFonts w:ascii="Arial" w:hAnsi="Arial" w:cs="Arial"/>
                <w:b/>
              </w:rPr>
              <w:t xml:space="preserve">Adjustments primarily involving the Pensions Reserves:          </w:t>
            </w:r>
          </w:p>
          <w:p w14:paraId="60CF50DC" w14:textId="146210D0" w:rsidR="00B735D7" w:rsidRPr="000D756E" w:rsidRDefault="00B735D7" w:rsidP="00B735D7">
            <w:pPr>
              <w:rPr>
                <w:rFonts w:ascii="Arial" w:hAnsi="Arial" w:cs="Arial"/>
                <w:b/>
              </w:rPr>
            </w:pPr>
            <w:r w:rsidRPr="000D756E">
              <w:rPr>
                <w:rFonts w:ascii="Arial" w:hAnsi="Arial" w:cs="Arial"/>
                <w:b/>
              </w:rPr>
              <w:t xml:space="preserve">                                                                                                             </w:t>
            </w:r>
          </w:p>
        </w:tc>
        <w:tc>
          <w:tcPr>
            <w:tcW w:w="1134" w:type="dxa"/>
            <w:tcBorders>
              <w:bottom w:val="nil"/>
            </w:tcBorders>
          </w:tcPr>
          <w:p w14:paraId="0C5DE729" w14:textId="77777777" w:rsidR="00B735D7" w:rsidRPr="000D756E" w:rsidRDefault="00B735D7" w:rsidP="00B735D7">
            <w:pPr>
              <w:rPr>
                <w:rFonts w:ascii="Arial" w:hAnsi="Arial" w:cs="Arial"/>
                <w:b/>
                <w:sz w:val="23"/>
                <w:szCs w:val="23"/>
                <w:highlight w:val="green"/>
              </w:rPr>
            </w:pPr>
          </w:p>
        </w:tc>
        <w:tc>
          <w:tcPr>
            <w:tcW w:w="1276" w:type="dxa"/>
            <w:tcBorders>
              <w:bottom w:val="nil"/>
            </w:tcBorders>
          </w:tcPr>
          <w:p w14:paraId="0979BE34" w14:textId="77777777" w:rsidR="00B735D7" w:rsidRPr="000D756E" w:rsidRDefault="00B735D7" w:rsidP="00B735D7">
            <w:pPr>
              <w:jc w:val="right"/>
              <w:rPr>
                <w:rFonts w:ascii="Arial" w:hAnsi="Arial" w:cs="Arial"/>
                <w:b/>
                <w:sz w:val="23"/>
                <w:szCs w:val="23"/>
                <w:highlight w:val="green"/>
              </w:rPr>
            </w:pPr>
          </w:p>
        </w:tc>
      </w:tr>
      <w:tr w:rsidR="00B735D7" w:rsidRPr="000D756E" w14:paraId="74918F68" w14:textId="77777777" w:rsidTr="00CE25FF">
        <w:trPr>
          <w:trHeight w:val="419"/>
        </w:trPr>
        <w:tc>
          <w:tcPr>
            <w:tcW w:w="7479" w:type="dxa"/>
            <w:tcBorders>
              <w:top w:val="nil"/>
              <w:bottom w:val="nil"/>
            </w:tcBorders>
            <w:vAlign w:val="center"/>
          </w:tcPr>
          <w:p w14:paraId="11928B03" w14:textId="57FA555C" w:rsidR="00B735D7" w:rsidRPr="000D756E" w:rsidRDefault="00B735D7" w:rsidP="00B735D7">
            <w:pPr>
              <w:rPr>
                <w:rFonts w:ascii="Arial" w:hAnsi="Arial" w:cs="Arial"/>
              </w:rPr>
            </w:pPr>
            <w:r w:rsidRPr="000D756E">
              <w:rPr>
                <w:rFonts w:ascii="Arial" w:hAnsi="Arial" w:cs="Arial"/>
              </w:rPr>
              <w:t xml:space="preserve">Reversal of items relating to retirement benefits debited or credited to the Comp I&amp;E Statement         </w:t>
            </w:r>
          </w:p>
        </w:tc>
        <w:tc>
          <w:tcPr>
            <w:tcW w:w="1134" w:type="dxa"/>
            <w:tcBorders>
              <w:top w:val="nil"/>
              <w:bottom w:val="nil"/>
            </w:tcBorders>
          </w:tcPr>
          <w:p w14:paraId="3DEBA677" w14:textId="3E63A579" w:rsidR="00B735D7" w:rsidRPr="000D756E" w:rsidRDefault="00B735D7" w:rsidP="00B735D7">
            <w:pPr>
              <w:jc w:val="right"/>
              <w:rPr>
                <w:rFonts w:ascii="Arial" w:hAnsi="Arial" w:cs="Arial"/>
                <w:sz w:val="23"/>
                <w:szCs w:val="23"/>
              </w:rPr>
            </w:pPr>
            <w:r w:rsidRPr="000D756E">
              <w:rPr>
                <w:rFonts w:ascii="Arial" w:hAnsi="Arial" w:cs="Arial"/>
                <w:sz w:val="23"/>
                <w:szCs w:val="23"/>
              </w:rPr>
              <w:t>-11,821</w:t>
            </w:r>
          </w:p>
        </w:tc>
        <w:tc>
          <w:tcPr>
            <w:tcW w:w="1276" w:type="dxa"/>
            <w:tcBorders>
              <w:top w:val="nil"/>
              <w:bottom w:val="nil"/>
            </w:tcBorders>
          </w:tcPr>
          <w:p w14:paraId="145DFBCC" w14:textId="33A88338" w:rsidR="00B735D7" w:rsidRPr="000D756E" w:rsidRDefault="00B735D7" w:rsidP="00B735D7">
            <w:pPr>
              <w:jc w:val="right"/>
              <w:rPr>
                <w:rFonts w:ascii="Arial" w:hAnsi="Arial" w:cs="Arial"/>
                <w:sz w:val="23"/>
                <w:szCs w:val="23"/>
              </w:rPr>
            </w:pPr>
            <w:r w:rsidRPr="000D756E">
              <w:rPr>
                <w:rFonts w:ascii="Arial" w:hAnsi="Arial" w:cs="Arial"/>
                <w:sz w:val="23"/>
                <w:szCs w:val="23"/>
              </w:rPr>
              <w:t>11,821</w:t>
            </w:r>
          </w:p>
        </w:tc>
      </w:tr>
      <w:tr w:rsidR="00B735D7" w:rsidRPr="000D756E" w14:paraId="03AA0543" w14:textId="77777777" w:rsidTr="00CE25FF">
        <w:trPr>
          <w:trHeight w:val="553"/>
        </w:trPr>
        <w:tc>
          <w:tcPr>
            <w:tcW w:w="7479" w:type="dxa"/>
            <w:tcBorders>
              <w:top w:val="nil"/>
              <w:bottom w:val="single" w:sz="4" w:space="0" w:color="auto"/>
            </w:tcBorders>
            <w:vAlign w:val="center"/>
          </w:tcPr>
          <w:p w14:paraId="0F3781DE" w14:textId="4BC6B22F" w:rsidR="00B735D7" w:rsidRPr="000D756E" w:rsidRDefault="00B735D7" w:rsidP="00B735D7">
            <w:pPr>
              <w:rPr>
                <w:rFonts w:ascii="Arial" w:hAnsi="Arial" w:cs="Arial"/>
              </w:rPr>
            </w:pPr>
            <w:r w:rsidRPr="000D756E">
              <w:rPr>
                <w:rFonts w:ascii="Arial" w:hAnsi="Arial" w:cs="Arial"/>
              </w:rPr>
              <w:t>Employer’s pensions contributions and direct payments to pensioners payable in the year</w:t>
            </w:r>
          </w:p>
        </w:tc>
        <w:tc>
          <w:tcPr>
            <w:tcW w:w="1134" w:type="dxa"/>
            <w:tcBorders>
              <w:top w:val="nil"/>
              <w:bottom w:val="single" w:sz="4" w:space="0" w:color="auto"/>
            </w:tcBorders>
          </w:tcPr>
          <w:p w14:paraId="5F7DE981" w14:textId="4AB26407" w:rsidR="00B735D7" w:rsidRPr="000D756E" w:rsidRDefault="00B735D7" w:rsidP="00B735D7">
            <w:pPr>
              <w:jc w:val="right"/>
              <w:rPr>
                <w:rFonts w:ascii="Arial" w:hAnsi="Arial" w:cs="Arial"/>
                <w:sz w:val="23"/>
                <w:szCs w:val="23"/>
              </w:rPr>
            </w:pPr>
            <w:r w:rsidRPr="000D756E">
              <w:rPr>
                <w:rFonts w:ascii="Arial" w:hAnsi="Arial" w:cs="Arial"/>
                <w:sz w:val="23"/>
                <w:szCs w:val="23"/>
              </w:rPr>
              <w:t>6,990</w:t>
            </w:r>
          </w:p>
        </w:tc>
        <w:tc>
          <w:tcPr>
            <w:tcW w:w="1276" w:type="dxa"/>
            <w:tcBorders>
              <w:top w:val="nil"/>
              <w:bottom w:val="single" w:sz="4" w:space="0" w:color="auto"/>
            </w:tcBorders>
          </w:tcPr>
          <w:p w14:paraId="7C73DB1E" w14:textId="73F4617F" w:rsidR="00B735D7" w:rsidRPr="000D756E" w:rsidRDefault="00B735D7" w:rsidP="00B735D7">
            <w:pPr>
              <w:jc w:val="right"/>
              <w:rPr>
                <w:rFonts w:ascii="Arial" w:hAnsi="Arial" w:cs="Arial"/>
                <w:sz w:val="23"/>
                <w:szCs w:val="23"/>
              </w:rPr>
            </w:pPr>
            <w:r w:rsidRPr="000D756E">
              <w:rPr>
                <w:rFonts w:ascii="Arial" w:hAnsi="Arial" w:cs="Arial"/>
                <w:sz w:val="23"/>
                <w:szCs w:val="23"/>
              </w:rPr>
              <w:t>-6,990</w:t>
            </w:r>
          </w:p>
        </w:tc>
      </w:tr>
      <w:tr w:rsidR="00B735D7" w:rsidRPr="000D756E" w14:paraId="7B52FB5A" w14:textId="77777777" w:rsidTr="00CE25FF">
        <w:trPr>
          <w:trHeight w:val="703"/>
        </w:trPr>
        <w:tc>
          <w:tcPr>
            <w:tcW w:w="7479" w:type="dxa"/>
            <w:tcBorders>
              <w:bottom w:val="nil"/>
            </w:tcBorders>
            <w:vAlign w:val="center"/>
          </w:tcPr>
          <w:p w14:paraId="50DB1EBC" w14:textId="77777777" w:rsidR="00B735D7" w:rsidRPr="000D756E" w:rsidRDefault="00B735D7" w:rsidP="00B735D7">
            <w:pPr>
              <w:rPr>
                <w:rFonts w:ascii="Arial" w:hAnsi="Arial" w:cs="Arial"/>
                <w:b/>
              </w:rPr>
            </w:pPr>
            <w:r w:rsidRPr="000D756E">
              <w:rPr>
                <w:rFonts w:ascii="Arial" w:hAnsi="Arial" w:cs="Arial"/>
                <w:b/>
              </w:rPr>
              <w:t xml:space="preserve">Adjustment primarily involving the Collection Fund Adjustment Account:  </w:t>
            </w:r>
          </w:p>
          <w:p w14:paraId="75B6E20F" w14:textId="77777777" w:rsidR="00B735D7" w:rsidRPr="000D756E" w:rsidRDefault="00B735D7" w:rsidP="00B735D7">
            <w:pPr>
              <w:rPr>
                <w:rFonts w:ascii="Arial" w:hAnsi="Arial" w:cs="Arial"/>
                <w:b/>
              </w:rPr>
            </w:pPr>
          </w:p>
        </w:tc>
        <w:tc>
          <w:tcPr>
            <w:tcW w:w="1134" w:type="dxa"/>
            <w:tcBorders>
              <w:bottom w:val="nil"/>
            </w:tcBorders>
          </w:tcPr>
          <w:p w14:paraId="040B4413" w14:textId="77777777" w:rsidR="00B735D7" w:rsidRPr="000D756E" w:rsidRDefault="00B735D7" w:rsidP="00B735D7">
            <w:pPr>
              <w:jc w:val="right"/>
              <w:rPr>
                <w:rFonts w:ascii="Arial" w:hAnsi="Arial" w:cs="Arial"/>
                <w:b/>
                <w:sz w:val="23"/>
                <w:szCs w:val="23"/>
                <w:highlight w:val="green"/>
              </w:rPr>
            </w:pPr>
          </w:p>
        </w:tc>
        <w:tc>
          <w:tcPr>
            <w:tcW w:w="1276" w:type="dxa"/>
            <w:tcBorders>
              <w:bottom w:val="nil"/>
            </w:tcBorders>
          </w:tcPr>
          <w:p w14:paraId="3F3F52A9" w14:textId="77777777" w:rsidR="00B735D7" w:rsidRPr="000D756E" w:rsidRDefault="00B735D7" w:rsidP="00B735D7">
            <w:pPr>
              <w:jc w:val="right"/>
              <w:rPr>
                <w:rFonts w:ascii="Arial" w:hAnsi="Arial" w:cs="Arial"/>
                <w:b/>
                <w:sz w:val="23"/>
                <w:szCs w:val="23"/>
                <w:highlight w:val="green"/>
              </w:rPr>
            </w:pPr>
          </w:p>
        </w:tc>
      </w:tr>
      <w:tr w:rsidR="00B735D7" w:rsidRPr="000D756E" w14:paraId="4EC7979C" w14:textId="77777777" w:rsidTr="00127D82">
        <w:trPr>
          <w:trHeight w:val="698"/>
        </w:trPr>
        <w:tc>
          <w:tcPr>
            <w:tcW w:w="7479" w:type="dxa"/>
            <w:tcBorders>
              <w:top w:val="nil"/>
            </w:tcBorders>
            <w:vAlign w:val="center"/>
          </w:tcPr>
          <w:p w14:paraId="0136EF49" w14:textId="77777777" w:rsidR="00B735D7" w:rsidRPr="000D756E" w:rsidRDefault="00B735D7" w:rsidP="00B735D7">
            <w:pPr>
              <w:rPr>
                <w:rFonts w:ascii="Arial" w:hAnsi="Arial" w:cs="Arial"/>
              </w:rPr>
            </w:pPr>
            <w:r w:rsidRPr="000D756E">
              <w:rPr>
                <w:rFonts w:ascii="Arial" w:hAnsi="Arial" w:cs="Arial"/>
              </w:rPr>
              <w:t xml:space="preserve">Amount by which council tax income credited to the Comp I&amp;E Statement is different from council tax calculated for the year in accordance with statutory requirements    </w:t>
            </w:r>
          </w:p>
          <w:p w14:paraId="3D64B70C" w14:textId="77777777" w:rsidR="00B735D7" w:rsidRPr="000D756E" w:rsidRDefault="00B735D7" w:rsidP="00B735D7">
            <w:pPr>
              <w:rPr>
                <w:rFonts w:ascii="Arial" w:hAnsi="Arial" w:cs="Arial"/>
              </w:rPr>
            </w:pPr>
          </w:p>
        </w:tc>
        <w:tc>
          <w:tcPr>
            <w:tcW w:w="1134" w:type="dxa"/>
            <w:tcBorders>
              <w:top w:val="nil"/>
            </w:tcBorders>
          </w:tcPr>
          <w:p w14:paraId="5BCF0ACB" w14:textId="0B4A794A" w:rsidR="00B735D7" w:rsidRPr="000D756E" w:rsidRDefault="00B735D7" w:rsidP="00B735D7">
            <w:pPr>
              <w:jc w:val="right"/>
              <w:rPr>
                <w:rFonts w:ascii="Arial" w:hAnsi="Arial" w:cs="Arial"/>
                <w:sz w:val="23"/>
                <w:szCs w:val="23"/>
              </w:rPr>
            </w:pPr>
            <w:r w:rsidRPr="000D756E">
              <w:rPr>
                <w:rFonts w:ascii="Arial" w:hAnsi="Arial" w:cs="Arial"/>
                <w:sz w:val="23"/>
                <w:szCs w:val="23"/>
              </w:rPr>
              <w:t>-109</w:t>
            </w:r>
          </w:p>
        </w:tc>
        <w:tc>
          <w:tcPr>
            <w:tcW w:w="1276" w:type="dxa"/>
            <w:tcBorders>
              <w:top w:val="nil"/>
            </w:tcBorders>
          </w:tcPr>
          <w:p w14:paraId="30DDF9DE" w14:textId="1A07AF6B" w:rsidR="00B735D7" w:rsidRPr="000D756E" w:rsidRDefault="00B735D7" w:rsidP="00B735D7">
            <w:pPr>
              <w:jc w:val="right"/>
              <w:rPr>
                <w:rFonts w:ascii="Arial" w:hAnsi="Arial" w:cs="Arial"/>
                <w:sz w:val="23"/>
                <w:szCs w:val="23"/>
              </w:rPr>
            </w:pPr>
            <w:r w:rsidRPr="000D756E">
              <w:rPr>
                <w:rFonts w:ascii="Arial" w:hAnsi="Arial" w:cs="Arial"/>
                <w:sz w:val="23"/>
                <w:szCs w:val="23"/>
              </w:rPr>
              <w:t>109</w:t>
            </w:r>
          </w:p>
        </w:tc>
      </w:tr>
      <w:tr w:rsidR="00B735D7" w:rsidRPr="000D756E" w14:paraId="1049480C" w14:textId="77777777" w:rsidTr="00127D82">
        <w:trPr>
          <w:trHeight w:val="612"/>
        </w:trPr>
        <w:tc>
          <w:tcPr>
            <w:tcW w:w="7479" w:type="dxa"/>
            <w:vAlign w:val="center"/>
          </w:tcPr>
          <w:p w14:paraId="5A100CF8" w14:textId="433C3466" w:rsidR="00B735D7" w:rsidRPr="000D756E" w:rsidRDefault="00B735D7" w:rsidP="00B735D7">
            <w:pPr>
              <w:rPr>
                <w:rFonts w:ascii="Arial" w:hAnsi="Arial" w:cs="Arial"/>
                <w:b/>
              </w:rPr>
            </w:pPr>
            <w:r w:rsidRPr="000D756E">
              <w:rPr>
                <w:rFonts w:ascii="Arial" w:hAnsi="Arial" w:cs="Arial"/>
                <w:b/>
              </w:rPr>
              <w:t xml:space="preserve">Adjustment primarily involving the Accumulated Absences Account:  </w:t>
            </w:r>
          </w:p>
        </w:tc>
        <w:tc>
          <w:tcPr>
            <w:tcW w:w="1134" w:type="dxa"/>
          </w:tcPr>
          <w:p w14:paraId="34CE6301" w14:textId="77777777" w:rsidR="00B735D7" w:rsidRPr="000D756E" w:rsidRDefault="00B735D7" w:rsidP="00B735D7">
            <w:pPr>
              <w:jc w:val="right"/>
              <w:rPr>
                <w:rFonts w:ascii="Arial" w:hAnsi="Arial" w:cs="Arial"/>
                <w:b/>
                <w:sz w:val="23"/>
                <w:szCs w:val="23"/>
                <w:highlight w:val="green"/>
              </w:rPr>
            </w:pPr>
          </w:p>
        </w:tc>
        <w:tc>
          <w:tcPr>
            <w:tcW w:w="1276" w:type="dxa"/>
          </w:tcPr>
          <w:p w14:paraId="6CB90031" w14:textId="77777777" w:rsidR="00B735D7" w:rsidRPr="000D756E" w:rsidRDefault="00B735D7" w:rsidP="00B735D7">
            <w:pPr>
              <w:jc w:val="right"/>
              <w:rPr>
                <w:rFonts w:ascii="Arial" w:hAnsi="Arial" w:cs="Arial"/>
                <w:b/>
                <w:sz w:val="23"/>
                <w:szCs w:val="23"/>
                <w:highlight w:val="green"/>
              </w:rPr>
            </w:pPr>
          </w:p>
        </w:tc>
      </w:tr>
      <w:tr w:rsidR="00B735D7" w:rsidRPr="000D756E" w14:paraId="078B1543" w14:textId="77777777" w:rsidTr="00127D82">
        <w:trPr>
          <w:trHeight w:val="977"/>
        </w:trPr>
        <w:tc>
          <w:tcPr>
            <w:tcW w:w="7479" w:type="dxa"/>
            <w:vAlign w:val="center"/>
          </w:tcPr>
          <w:p w14:paraId="665DABBB" w14:textId="2ADFC812" w:rsidR="00B735D7" w:rsidRPr="000D756E" w:rsidRDefault="00B735D7" w:rsidP="00B735D7">
            <w:pPr>
              <w:rPr>
                <w:rFonts w:ascii="Arial" w:hAnsi="Arial" w:cs="Arial"/>
              </w:rPr>
            </w:pPr>
            <w:r w:rsidRPr="000D756E">
              <w:rPr>
                <w:rFonts w:ascii="Arial" w:hAnsi="Arial" w:cs="Arial"/>
              </w:rPr>
              <w:t xml:space="preserve">Amount by which officer remuneration charged to the Comp I&amp;E Statement on an accruals basis is different from remuneration chargeable in the year in accordance with statutory requirements       </w:t>
            </w:r>
          </w:p>
        </w:tc>
        <w:tc>
          <w:tcPr>
            <w:tcW w:w="1134" w:type="dxa"/>
          </w:tcPr>
          <w:p w14:paraId="273DD437" w14:textId="66DBAD6C" w:rsidR="00B735D7" w:rsidRPr="000D756E" w:rsidRDefault="00B735D7" w:rsidP="00B735D7">
            <w:pPr>
              <w:jc w:val="right"/>
              <w:rPr>
                <w:rFonts w:ascii="Arial" w:hAnsi="Arial" w:cs="Arial"/>
                <w:sz w:val="23"/>
                <w:szCs w:val="23"/>
              </w:rPr>
            </w:pPr>
            <w:r w:rsidRPr="000D756E">
              <w:rPr>
                <w:rFonts w:ascii="Arial" w:hAnsi="Arial" w:cs="Arial"/>
                <w:sz w:val="23"/>
                <w:szCs w:val="23"/>
              </w:rPr>
              <w:t>-22</w:t>
            </w:r>
          </w:p>
        </w:tc>
        <w:tc>
          <w:tcPr>
            <w:tcW w:w="1276" w:type="dxa"/>
          </w:tcPr>
          <w:p w14:paraId="2FBD2D99" w14:textId="4C3935A1" w:rsidR="00B735D7" w:rsidRPr="000D756E" w:rsidRDefault="00B735D7" w:rsidP="00B735D7">
            <w:pPr>
              <w:jc w:val="right"/>
              <w:rPr>
                <w:rFonts w:ascii="Arial" w:hAnsi="Arial" w:cs="Arial"/>
                <w:sz w:val="23"/>
                <w:szCs w:val="23"/>
              </w:rPr>
            </w:pPr>
            <w:r w:rsidRPr="000D756E">
              <w:rPr>
                <w:rFonts w:ascii="Arial" w:hAnsi="Arial" w:cs="Arial"/>
                <w:sz w:val="23"/>
                <w:szCs w:val="23"/>
              </w:rPr>
              <w:t>22</w:t>
            </w:r>
          </w:p>
        </w:tc>
      </w:tr>
      <w:tr w:rsidR="00B735D7" w:rsidRPr="000D756E" w14:paraId="3B5F8878" w14:textId="77777777" w:rsidTr="00127D82">
        <w:trPr>
          <w:trHeight w:val="569"/>
        </w:trPr>
        <w:tc>
          <w:tcPr>
            <w:tcW w:w="7479" w:type="dxa"/>
            <w:vAlign w:val="center"/>
          </w:tcPr>
          <w:p w14:paraId="52E6DD01" w14:textId="77777777" w:rsidR="00B735D7" w:rsidRPr="000D756E" w:rsidRDefault="00B735D7" w:rsidP="00B735D7">
            <w:pPr>
              <w:rPr>
                <w:rFonts w:ascii="Arial" w:hAnsi="Arial" w:cs="Arial"/>
                <w:b/>
              </w:rPr>
            </w:pPr>
          </w:p>
          <w:p w14:paraId="7DB954AA" w14:textId="77777777" w:rsidR="00B735D7" w:rsidRPr="000D756E" w:rsidRDefault="00B735D7" w:rsidP="00B735D7">
            <w:pPr>
              <w:rPr>
                <w:rFonts w:ascii="Arial" w:hAnsi="Arial" w:cs="Arial"/>
                <w:b/>
              </w:rPr>
            </w:pPr>
            <w:r w:rsidRPr="000D756E">
              <w:rPr>
                <w:rFonts w:ascii="Arial" w:hAnsi="Arial" w:cs="Arial"/>
                <w:b/>
              </w:rPr>
              <w:t>Total Adjustments</w:t>
            </w:r>
          </w:p>
          <w:p w14:paraId="0AD28F80" w14:textId="77777777" w:rsidR="00B735D7" w:rsidRPr="000D756E" w:rsidRDefault="00B735D7" w:rsidP="00B735D7">
            <w:pPr>
              <w:rPr>
                <w:rFonts w:ascii="Arial" w:hAnsi="Arial" w:cs="Arial"/>
                <w:b/>
              </w:rPr>
            </w:pPr>
          </w:p>
        </w:tc>
        <w:tc>
          <w:tcPr>
            <w:tcW w:w="1134" w:type="dxa"/>
          </w:tcPr>
          <w:p w14:paraId="14A73794" w14:textId="77777777" w:rsidR="00B735D7" w:rsidRPr="000D756E" w:rsidRDefault="00B735D7" w:rsidP="00B735D7">
            <w:pPr>
              <w:jc w:val="right"/>
              <w:rPr>
                <w:rFonts w:ascii="Arial" w:hAnsi="Arial" w:cs="Arial"/>
                <w:b/>
                <w:sz w:val="23"/>
                <w:szCs w:val="23"/>
              </w:rPr>
            </w:pPr>
          </w:p>
          <w:p w14:paraId="56DB57EE" w14:textId="6E0BE827" w:rsidR="00B735D7" w:rsidRPr="000D756E" w:rsidRDefault="00B735D7" w:rsidP="00B735D7">
            <w:pPr>
              <w:jc w:val="right"/>
              <w:rPr>
                <w:rFonts w:ascii="Arial" w:hAnsi="Arial" w:cs="Arial"/>
                <w:b/>
                <w:sz w:val="23"/>
                <w:szCs w:val="23"/>
              </w:rPr>
            </w:pPr>
            <w:r w:rsidRPr="000D756E">
              <w:rPr>
                <w:rFonts w:ascii="Arial" w:hAnsi="Arial" w:cs="Arial"/>
                <w:b/>
                <w:sz w:val="23"/>
                <w:szCs w:val="23"/>
              </w:rPr>
              <w:t>-11,423</w:t>
            </w:r>
          </w:p>
        </w:tc>
        <w:tc>
          <w:tcPr>
            <w:tcW w:w="1276" w:type="dxa"/>
          </w:tcPr>
          <w:p w14:paraId="04BC043F" w14:textId="77777777" w:rsidR="00B735D7" w:rsidRPr="000D756E" w:rsidRDefault="00B735D7" w:rsidP="00B735D7">
            <w:pPr>
              <w:jc w:val="right"/>
              <w:rPr>
                <w:rFonts w:ascii="Arial" w:hAnsi="Arial" w:cs="Arial"/>
                <w:b/>
                <w:sz w:val="23"/>
                <w:szCs w:val="23"/>
              </w:rPr>
            </w:pPr>
          </w:p>
          <w:p w14:paraId="393B84B9" w14:textId="3BFBA8EC" w:rsidR="00B735D7" w:rsidRPr="000D756E" w:rsidRDefault="00B735D7" w:rsidP="00B735D7">
            <w:pPr>
              <w:jc w:val="right"/>
              <w:rPr>
                <w:rFonts w:ascii="Arial" w:hAnsi="Arial" w:cs="Arial"/>
                <w:b/>
                <w:sz w:val="23"/>
                <w:szCs w:val="23"/>
              </w:rPr>
            </w:pPr>
            <w:r w:rsidRPr="000D756E">
              <w:rPr>
                <w:rFonts w:ascii="Arial" w:hAnsi="Arial" w:cs="Arial"/>
                <w:b/>
                <w:sz w:val="23"/>
                <w:szCs w:val="23"/>
              </w:rPr>
              <w:t>11,423</w:t>
            </w:r>
          </w:p>
        </w:tc>
      </w:tr>
    </w:tbl>
    <w:p w14:paraId="76192F72" w14:textId="5641027D" w:rsidR="0E6F239C" w:rsidRPr="000D756E" w:rsidRDefault="0E6F239C"/>
    <w:p w14:paraId="5B034693" w14:textId="77777777" w:rsidR="00FD0B27" w:rsidRPr="000D756E" w:rsidRDefault="00FD0B27" w:rsidP="002A7C01">
      <w:pPr>
        <w:rPr>
          <w:rFonts w:ascii="Arial" w:hAnsi="Arial" w:cs="Arial"/>
          <w:b/>
          <w:sz w:val="24"/>
          <w:szCs w:val="24"/>
        </w:rPr>
      </w:pPr>
    </w:p>
    <w:p w14:paraId="27B74D38" w14:textId="77777777" w:rsidR="00820E23" w:rsidRPr="000D756E" w:rsidRDefault="00D17F81" w:rsidP="002A7C01">
      <w:pPr>
        <w:rPr>
          <w:rFonts w:ascii="Arial" w:hAnsi="Arial" w:cs="Arial"/>
          <w:b/>
          <w:sz w:val="24"/>
          <w:szCs w:val="24"/>
        </w:rPr>
      </w:pPr>
      <w:r w:rsidRPr="000D756E">
        <w:rPr>
          <w:rFonts w:ascii="Arial" w:hAnsi="Arial" w:cs="Arial"/>
          <w:b/>
          <w:sz w:val="24"/>
          <w:szCs w:val="24"/>
        </w:rPr>
        <w:br w:type="page"/>
      </w:r>
    </w:p>
    <w:p w14:paraId="3E1A32B0" w14:textId="77777777" w:rsidR="006E002A" w:rsidRPr="000D756E" w:rsidRDefault="006E002A" w:rsidP="001C227A">
      <w:pPr>
        <w:numPr>
          <w:ilvl w:val="0"/>
          <w:numId w:val="15"/>
        </w:numPr>
        <w:rPr>
          <w:rFonts w:ascii="Arial" w:hAnsi="Arial" w:cs="Arial"/>
          <w:b/>
          <w:sz w:val="24"/>
          <w:szCs w:val="24"/>
        </w:rPr>
      </w:pPr>
      <w:r w:rsidRPr="000D756E">
        <w:rPr>
          <w:rFonts w:ascii="Arial" w:hAnsi="Arial" w:cs="Arial"/>
          <w:b/>
          <w:sz w:val="24"/>
          <w:szCs w:val="24"/>
        </w:rPr>
        <w:lastRenderedPageBreak/>
        <w:t xml:space="preserve">FINANCING AND INVESTMENT INCOME AND EXPENDITURE </w:t>
      </w:r>
      <w:r w:rsidR="00F13483" w:rsidRPr="000D756E">
        <w:rPr>
          <w:rFonts w:ascii="Arial" w:hAnsi="Arial" w:cs="Arial"/>
          <w:b/>
          <w:sz w:val="24"/>
          <w:szCs w:val="24"/>
        </w:rPr>
        <w:t xml:space="preserve"> </w:t>
      </w:r>
    </w:p>
    <w:p w14:paraId="0E175F82" w14:textId="77777777" w:rsidR="006E002A" w:rsidRPr="000D756E" w:rsidRDefault="006E002A" w:rsidP="002A7C01">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275"/>
        <w:gridCol w:w="1418"/>
      </w:tblGrid>
      <w:tr w:rsidR="000D756E" w:rsidRPr="000D756E" w14:paraId="2D0AF0A7" w14:textId="77777777" w:rsidTr="043A1228">
        <w:tc>
          <w:tcPr>
            <w:tcW w:w="6204" w:type="dxa"/>
          </w:tcPr>
          <w:p w14:paraId="31B7C256" w14:textId="77777777" w:rsidR="000D16A9" w:rsidRPr="000D756E" w:rsidRDefault="000D16A9" w:rsidP="000D16A9">
            <w:pPr>
              <w:rPr>
                <w:rFonts w:ascii="Arial" w:hAnsi="Arial" w:cs="Arial"/>
                <w:b/>
                <w:sz w:val="22"/>
                <w:szCs w:val="22"/>
              </w:rPr>
            </w:pPr>
            <w:r w:rsidRPr="000D756E">
              <w:rPr>
                <w:rFonts w:ascii="Arial" w:hAnsi="Arial" w:cs="Arial"/>
                <w:b/>
                <w:sz w:val="22"/>
                <w:szCs w:val="22"/>
              </w:rPr>
              <w:t xml:space="preserve">   </w:t>
            </w:r>
          </w:p>
          <w:p w14:paraId="71A73B59" w14:textId="77777777" w:rsidR="000D16A9" w:rsidRPr="000D756E" w:rsidRDefault="000D16A9" w:rsidP="000D16A9">
            <w:pPr>
              <w:rPr>
                <w:rFonts w:ascii="Arial" w:hAnsi="Arial" w:cs="Arial"/>
                <w:b/>
                <w:sz w:val="22"/>
                <w:szCs w:val="22"/>
              </w:rPr>
            </w:pPr>
          </w:p>
        </w:tc>
        <w:tc>
          <w:tcPr>
            <w:tcW w:w="1275" w:type="dxa"/>
          </w:tcPr>
          <w:p w14:paraId="379CCAEE" w14:textId="77777777" w:rsidR="000D16A9" w:rsidRPr="000D756E" w:rsidRDefault="000D16A9" w:rsidP="000D16A9">
            <w:pPr>
              <w:jc w:val="right"/>
              <w:rPr>
                <w:rFonts w:ascii="Arial" w:hAnsi="Arial" w:cs="Arial"/>
                <w:b/>
                <w:sz w:val="22"/>
                <w:szCs w:val="22"/>
              </w:rPr>
            </w:pPr>
          </w:p>
          <w:p w14:paraId="1521E135" w14:textId="6532CA16" w:rsidR="000D16A9" w:rsidRPr="000D756E" w:rsidRDefault="000D16A9" w:rsidP="000D16A9">
            <w:pPr>
              <w:jc w:val="right"/>
              <w:rPr>
                <w:rFonts w:ascii="Arial" w:hAnsi="Arial" w:cs="Arial"/>
                <w:b/>
                <w:sz w:val="22"/>
                <w:szCs w:val="22"/>
              </w:rPr>
            </w:pPr>
            <w:r w:rsidRPr="000D756E">
              <w:rPr>
                <w:rFonts w:ascii="Arial" w:hAnsi="Arial" w:cs="Arial"/>
                <w:b/>
                <w:sz w:val="22"/>
                <w:szCs w:val="22"/>
              </w:rPr>
              <w:t>20</w:t>
            </w:r>
            <w:r w:rsidR="00123EBE" w:rsidRPr="000D756E">
              <w:rPr>
                <w:rFonts w:ascii="Arial" w:hAnsi="Arial" w:cs="Arial"/>
                <w:b/>
                <w:sz w:val="22"/>
                <w:szCs w:val="22"/>
              </w:rPr>
              <w:t>2</w:t>
            </w:r>
            <w:r w:rsidR="00B735D7">
              <w:rPr>
                <w:rFonts w:ascii="Arial" w:hAnsi="Arial" w:cs="Arial"/>
                <w:b/>
                <w:sz w:val="22"/>
                <w:szCs w:val="22"/>
              </w:rPr>
              <w:t>4/25</w:t>
            </w:r>
            <w:r w:rsidRPr="000D756E">
              <w:rPr>
                <w:rFonts w:ascii="Arial" w:hAnsi="Arial" w:cs="Arial"/>
                <w:b/>
                <w:sz w:val="22"/>
                <w:szCs w:val="22"/>
              </w:rPr>
              <w:t xml:space="preserve"> </w:t>
            </w:r>
          </w:p>
          <w:p w14:paraId="4FC97270" w14:textId="77777777" w:rsidR="000D16A9" w:rsidRPr="000D756E" w:rsidRDefault="000D16A9" w:rsidP="000D16A9">
            <w:pPr>
              <w:jc w:val="right"/>
              <w:rPr>
                <w:rFonts w:ascii="Arial" w:hAnsi="Arial" w:cs="Arial"/>
                <w:b/>
                <w:sz w:val="22"/>
                <w:szCs w:val="22"/>
              </w:rPr>
            </w:pPr>
            <w:r w:rsidRPr="000D756E">
              <w:rPr>
                <w:rFonts w:ascii="Arial" w:hAnsi="Arial" w:cs="Arial"/>
                <w:b/>
                <w:sz w:val="22"/>
                <w:szCs w:val="22"/>
              </w:rPr>
              <w:t>£’000</w:t>
            </w:r>
          </w:p>
        </w:tc>
        <w:tc>
          <w:tcPr>
            <w:tcW w:w="1418" w:type="dxa"/>
          </w:tcPr>
          <w:p w14:paraId="492A537C" w14:textId="77777777" w:rsidR="000D16A9" w:rsidRPr="000D756E" w:rsidRDefault="000D16A9" w:rsidP="000D16A9">
            <w:pPr>
              <w:jc w:val="right"/>
              <w:rPr>
                <w:rFonts w:ascii="Arial" w:hAnsi="Arial" w:cs="Arial"/>
                <w:b/>
                <w:sz w:val="22"/>
                <w:szCs w:val="22"/>
              </w:rPr>
            </w:pPr>
          </w:p>
          <w:p w14:paraId="77D18FE3" w14:textId="134CFDDA" w:rsidR="000D16A9" w:rsidRPr="000D756E" w:rsidRDefault="000D16A9" w:rsidP="000D16A9">
            <w:pPr>
              <w:jc w:val="right"/>
              <w:rPr>
                <w:rFonts w:ascii="Arial" w:hAnsi="Arial" w:cs="Arial"/>
                <w:b/>
                <w:sz w:val="22"/>
                <w:szCs w:val="22"/>
              </w:rPr>
            </w:pPr>
            <w:r w:rsidRPr="000D756E">
              <w:rPr>
                <w:rFonts w:ascii="Arial" w:hAnsi="Arial" w:cs="Arial"/>
                <w:b/>
                <w:sz w:val="22"/>
                <w:szCs w:val="22"/>
              </w:rPr>
              <w:t>20</w:t>
            </w:r>
            <w:r w:rsidR="0083415C" w:rsidRPr="000D756E">
              <w:rPr>
                <w:rFonts w:ascii="Arial" w:hAnsi="Arial" w:cs="Arial"/>
                <w:b/>
                <w:sz w:val="22"/>
                <w:szCs w:val="22"/>
              </w:rPr>
              <w:t>2</w:t>
            </w:r>
            <w:r w:rsidR="00B735D7">
              <w:rPr>
                <w:rFonts w:ascii="Arial" w:hAnsi="Arial" w:cs="Arial"/>
                <w:b/>
                <w:sz w:val="22"/>
                <w:szCs w:val="22"/>
              </w:rPr>
              <w:t>3/24</w:t>
            </w:r>
            <w:r w:rsidRPr="000D756E">
              <w:rPr>
                <w:rFonts w:ascii="Arial" w:hAnsi="Arial" w:cs="Arial"/>
                <w:b/>
                <w:sz w:val="22"/>
                <w:szCs w:val="22"/>
              </w:rPr>
              <w:t xml:space="preserve"> </w:t>
            </w:r>
          </w:p>
          <w:p w14:paraId="72434909" w14:textId="3D8A017C" w:rsidR="000D16A9" w:rsidRPr="000D756E" w:rsidRDefault="000D16A9" w:rsidP="000D16A9">
            <w:pPr>
              <w:jc w:val="right"/>
              <w:rPr>
                <w:rFonts w:ascii="Arial" w:hAnsi="Arial" w:cs="Arial"/>
                <w:b/>
                <w:sz w:val="22"/>
                <w:szCs w:val="22"/>
              </w:rPr>
            </w:pPr>
            <w:r w:rsidRPr="000D756E">
              <w:rPr>
                <w:rFonts w:ascii="Arial" w:hAnsi="Arial" w:cs="Arial"/>
                <w:b/>
                <w:sz w:val="22"/>
                <w:szCs w:val="22"/>
              </w:rPr>
              <w:t>£’000</w:t>
            </w:r>
          </w:p>
        </w:tc>
      </w:tr>
      <w:tr w:rsidR="00B735D7" w:rsidRPr="000D756E" w14:paraId="3EC2BA21" w14:textId="77777777" w:rsidTr="043A1228">
        <w:tc>
          <w:tcPr>
            <w:tcW w:w="6204" w:type="dxa"/>
          </w:tcPr>
          <w:p w14:paraId="17BF0B44" w14:textId="77777777" w:rsidR="00B735D7" w:rsidRPr="000D756E" w:rsidRDefault="00B735D7" w:rsidP="00B735D7">
            <w:pPr>
              <w:rPr>
                <w:rFonts w:ascii="Arial" w:hAnsi="Arial" w:cs="Arial"/>
                <w:sz w:val="22"/>
                <w:szCs w:val="22"/>
              </w:rPr>
            </w:pPr>
          </w:p>
          <w:p w14:paraId="171FE5F4" w14:textId="77777777" w:rsidR="00B735D7" w:rsidRPr="000D756E" w:rsidRDefault="00B735D7" w:rsidP="00B735D7">
            <w:pPr>
              <w:rPr>
                <w:rFonts w:ascii="Arial" w:hAnsi="Arial" w:cs="Arial"/>
                <w:sz w:val="22"/>
                <w:szCs w:val="22"/>
              </w:rPr>
            </w:pPr>
            <w:r w:rsidRPr="000D756E">
              <w:rPr>
                <w:rFonts w:ascii="Arial" w:hAnsi="Arial" w:cs="Arial"/>
                <w:sz w:val="22"/>
                <w:szCs w:val="22"/>
              </w:rPr>
              <w:t>Interest payable and similar charges</w:t>
            </w:r>
          </w:p>
        </w:tc>
        <w:tc>
          <w:tcPr>
            <w:tcW w:w="1275" w:type="dxa"/>
          </w:tcPr>
          <w:p w14:paraId="047686F1" w14:textId="77777777" w:rsidR="00B735D7" w:rsidRDefault="00B735D7" w:rsidP="00B735D7">
            <w:pPr>
              <w:jc w:val="right"/>
              <w:rPr>
                <w:rFonts w:ascii="Arial" w:hAnsi="Arial" w:cs="Arial"/>
                <w:sz w:val="22"/>
                <w:szCs w:val="22"/>
              </w:rPr>
            </w:pPr>
          </w:p>
          <w:p w14:paraId="5E162FF2" w14:textId="3C97CA5A" w:rsidR="00895089" w:rsidRPr="000D756E" w:rsidRDefault="00AB1D16" w:rsidP="00B735D7">
            <w:pPr>
              <w:jc w:val="right"/>
              <w:rPr>
                <w:rFonts w:ascii="Arial" w:hAnsi="Arial" w:cs="Arial"/>
                <w:sz w:val="22"/>
                <w:szCs w:val="22"/>
              </w:rPr>
            </w:pPr>
            <w:r>
              <w:rPr>
                <w:rFonts w:ascii="Arial" w:hAnsi="Arial" w:cs="Arial"/>
                <w:sz w:val="22"/>
                <w:szCs w:val="22"/>
              </w:rPr>
              <w:t>232</w:t>
            </w:r>
          </w:p>
        </w:tc>
        <w:tc>
          <w:tcPr>
            <w:tcW w:w="1418" w:type="dxa"/>
          </w:tcPr>
          <w:p w14:paraId="06B66693" w14:textId="77777777" w:rsidR="00B735D7" w:rsidRPr="000D756E" w:rsidRDefault="00B735D7" w:rsidP="00B735D7">
            <w:pPr>
              <w:jc w:val="right"/>
              <w:rPr>
                <w:rFonts w:ascii="Arial" w:hAnsi="Arial" w:cs="Arial"/>
                <w:sz w:val="22"/>
                <w:szCs w:val="22"/>
              </w:rPr>
            </w:pPr>
          </w:p>
          <w:p w14:paraId="7A8ED34C" w14:textId="1E89CBBA" w:rsidR="00B735D7" w:rsidRPr="000D756E" w:rsidRDefault="00B735D7" w:rsidP="00B735D7">
            <w:pPr>
              <w:jc w:val="right"/>
              <w:rPr>
                <w:rFonts w:ascii="Arial" w:hAnsi="Arial" w:cs="Arial"/>
                <w:sz w:val="22"/>
                <w:szCs w:val="22"/>
              </w:rPr>
            </w:pPr>
            <w:r w:rsidRPr="000D756E">
              <w:rPr>
                <w:rFonts w:ascii="Arial" w:hAnsi="Arial" w:cs="Arial"/>
                <w:sz w:val="22"/>
                <w:szCs w:val="22"/>
              </w:rPr>
              <w:t>234</w:t>
            </w:r>
          </w:p>
        </w:tc>
      </w:tr>
      <w:tr w:rsidR="00B735D7" w:rsidRPr="000D756E" w14:paraId="5F90FAF0" w14:textId="77777777" w:rsidTr="043A1228">
        <w:tc>
          <w:tcPr>
            <w:tcW w:w="6204" w:type="dxa"/>
          </w:tcPr>
          <w:p w14:paraId="4F6B5D74" w14:textId="77777777" w:rsidR="00B735D7" w:rsidRPr="000D756E" w:rsidRDefault="00B735D7" w:rsidP="00B735D7">
            <w:pPr>
              <w:rPr>
                <w:rFonts w:ascii="Arial" w:hAnsi="Arial" w:cs="Arial"/>
                <w:sz w:val="22"/>
                <w:szCs w:val="22"/>
              </w:rPr>
            </w:pPr>
          </w:p>
          <w:p w14:paraId="64ED0055" w14:textId="77777777" w:rsidR="00B735D7" w:rsidRPr="000D756E" w:rsidRDefault="00B735D7" w:rsidP="00B735D7">
            <w:pPr>
              <w:rPr>
                <w:rFonts w:ascii="Arial" w:hAnsi="Arial" w:cs="Arial"/>
                <w:sz w:val="22"/>
                <w:szCs w:val="22"/>
              </w:rPr>
            </w:pPr>
            <w:r w:rsidRPr="000D756E">
              <w:rPr>
                <w:rFonts w:ascii="Arial" w:hAnsi="Arial" w:cs="Arial"/>
                <w:sz w:val="22"/>
                <w:szCs w:val="22"/>
              </w:rPr>
              <w:t>Pensions interest cost and expected return on pensions assets</w:t>
            </w:r>
          </w:p>
        </w:tc>
        <w:tc>
          <w:tcPr>
            <w:tcW w:w="1275" w:type="dxa"/>
          </w:tcPr>
          <w:p w14:paraId="34AC7E1E" w14:textId="77777777" w:rsidR="00B735D7" w:rsidRDefault="00B735D7" w:rsidP="00B735D7">
            <w:pPr>
              <w:jc w:val="right"/>
              <w:rPr>
                <w:rFonts w:ascii="Arial" w:hAnsi="Arial" w:cs="Arial"/>
                <w:sz w:val="22"/>
                <w:szCs w:val="22"/>
              </w:rPr>
            </w:pPr>
          </w:p>
          <w:p w14:paraId="79D21FB9" w14:textId="0AB9CE7E" w:rsidR="00AB1D16" w:rsidRPr="000D756E" w:rsidRDefault="00AB1D16" w:rsidP="00B735D7">
            <w:pPr>
              <w:jc w:val="right"/>
              <w:rPr>
                <w:rFonts w:ascii="Arial" w:hAnsi="Arial" w:cs="Arial"/>
                <w:sz w:val="22"/>
                <w:szCs w:val="22"/>
              </w:rPr>
            </w:pPr>
            <w:r>
              <w:rPr>
                <w:rFonts w:ascii="Arial" w:hAnsi="Arial" w:cs="Arial"/>
                <w:sz w:val="22"/>
                <w:szCs w:val="22"/>
              </w:rPr>
              <w:t>8,780</w:t>
            </w:r>
          </w:p>
        </w:tc>
        <w:tc>
          <w:tcPr>
            <w:tcW w:w="1418" w:type="dxa"/>
          </w:tcPr>
          <w:p w14:paraId="2CA41A61" w14:textId="77777777" w:rsidR="00B735D7" w:rsidRPr="000D756E" w:rsidRDefault="00B735D7" w:rsidP="00B735D7">
            <w:pPr>
              <w:jc w:val="right"/>
              <w:rPr>
                <w:rFonts w:ascii="Arial" w:hAnsi="Arial" w:cs="Arial"/>
                <w:sz w:val="22"/>
                <w:szCs w:val="22"/>
              </w:rPr>
            </w:pPr>
          </w:p>
          <w:p w14:paraId="0C369CA2" w14:textId="2E94D7B4" w:rsidR="00B735D7" w:rsidRPr="000D756E" w:rsidRDefault="00B735D7" w:rsidP="00B735D7">
            <w:pPr>
              <w:jc w:val="right"/>
              <w:rPr>
                <w:rFonts w:ascii="Arial" w:hAnsi="Arial" w:cs="Arial"/>
                <w:sz w:val="22"/>
                <w:szCs w:val="22"/>
              </w:rPr>
            </w:pPr>
            <w:r w:rsidRPr="000D756E">
              <w:rPr>
                <w:rFonts w:ascii="Arial" w:hAnsi="Arial" w:cs="Arial"/>
                <w:sz w:val="22"/>
                <w:szCs w:val="22"/>
              </w:rPr>
              <w:t>8,749</w:t>
            </w:r>
          </w:p>
        </w:tc>
      </w:tr>
      <w:tr w:rsidR="00B735D7" w:rsidRPr="000D756E" w14:paraId="20B2A906" w14:textId="77777777" w:rsidTr="043A1228">
        <w:tc>
          <w:tcPr>
            <w:tcW w:w="6204" w:type="dxa"/>
          </w:tcPr>
          <w:p w14:paraId="57F7A56C" w14:textId="77777777" w:rsidR="00B735D7" w:rsidRPr="000D756E" w:rsidRDefault="00B735D7" w:rsidP="00B735D7">
            <w:pPr>
              <w:rPr>
                <w:rFonts w:ascii="Arial" w:hAnsi="Arial" w:cs="Arial"/>
                <w:sz w:val="22"/>
                <w:szCs w:val="22"/>
              </w:rPr>
            </w:pPr>
          </w:p>
          <w:p w14:paraId="52921113" w14:textId="77777777" w:rsidR="00B735D7" w:rsidRPr="000D756E" w:rsidRDefault="00B735D7" w:rsidP="00B735D7">
            <w:pPr>
              <w:rPr>
                <w:rFonts w:ascii="Arial" w:hAnsi="Arial" w:cs="Arial"/>
                <w:sz w:val="22"/>
                <w:szCs w:val="22"/>
              </w:rPr>
            </w:pPr>
            <w:r w:rsidRPr="000D756E">
              <w:rPr>
                <w:rFonts w:ascii="Arial" w:hAnsi="Arial" w:cs="Arial"/>
                <w:sz w:val="22"/>
                <w:szCs w:val="22"/>
              </w:rPr>
              <w:t>Interest receivable and similar income</w:t>
            </w:r>
          </w:p>
        </w:tc>
        <w:tc>
          <w:tcPr>
            <w:tcW w:w="1275" w:type="dxa"/>
          </w:tcPr>
          <w:p w14:paraId="6FBD7265" w14:textId="77777777" w:rsidR="00B735D7" w:rsidRDefault="00B735D7" w:rsidP="00B735D7">
            <w:pPr>
              <w:jc w:val="right"/>
              <w:rPr>
                <w:rFonts w:ascii="Arial" w:hAnsi="Arial" w:cs="Arial"/>
                <w:sz w:val="22"/>
                <w:szCs w:val="22"/>
              </w:rPr>
            </w:pPr>
          </w:p>
          <w:p w14:paraId="21AFE93A" w14:textId="1F754281" w:rsidR="00AB1D16" w:rsidRPr="000D756E" w:rsidRDefault="00AB1D16" w:rsidP="00B735D7">
            <w:pPr>
              <w:jc w:val="right"/>
              <w:rPr>
                <w:rFonts w:ascii="Arial" w:hAnsi="Arial" w:cs="Arial"/>
                <w:sz w:val="22"/>
                <w:szCs w:val="22"/>
              </w:rPr>
            </w:pPr>
            <w:r>
              <w:rPr>
                <w:rFonts w:ascii="Arial" w:hAnsi="Arial" w:cs="Arial"/>
                <w:sz w:val="22"/>
                <w:szCs w:val="22"/>
              </w:rPr>
              <w:t>-47</w:t>
            </w:r>
            <w:r w:rsidR="0037696A">
              <w:rPr>
                <w:rFonts w:ascii="Arial" w:hAnsi="Arial" w:cs="Arial"/>
                <w:sz w:val="22"/>
                <w:szCs w:val="22"/>
              </w:rPr>
              <w:t>4</w:t>
            </w:r>
          </w:p>
        </w:tc>
        <w:tc>
          <w:tcPr>
            <w:tcW w:w="1418" w:type="dxa"/>
          </w:tcPr>
          <w:p w14:paraId="3B8C17C0" w14:textId="77777777" w:rsidR="00B735D7" w:rsidRPr="000D756E" w:rsidRDefault="00B735D7" w:rsidP="00B735D7">
            <w:pPr>
              <w:jc w:val="right"/>
              <w:rPr>
                <w:rFonts w:ascii="Arial" w:hAnsi="Arial" w:cs="Arial"/>
                <w:sz w:val="22"/>
                <w:szCs w:val="22"/>
              </w:rPr>
            </w:pPr>
          </w:p>
          <w:p w14:paraId="41BD173E" w14:textId="0877FC17" w:rsidR="00B735D7" w:rsidRPr="000D756E" w:rsidRDefault="00B735D7" w:rsidP="00B735D7">
            <w:pPr>
              <w:jc w:val="right"/>
              <w:rPr>
                <w:rFonts w:ascii="Arial" w:hAnsi="Arial" w:cs="Arial"/>
                <w:sz w:val="22"/>
                <w:szCs w:val="22"/>
              </w:rPr>
            </w:pPr>
            <w:r w:rsidRPr="000D756E">
              <w:rPr>
                <w:rFonts w:ascii="Arial" w:hAnsi="Arial" w:cs="Arial"/>
                <w:sz w:val="22"/>
                <w:szCs w:val="22"/>
              </w:rPr>
              <w:t>-543</w:t>
            </w:r>
          </w:p>
        </w:tc>
      </w:tr>
      <w:tr w:rsidR="00B735D7" w:rsidRPr="000D756E" w14:paraId="5713F0B0" w14:textId="77777777" w:rsidTr="043A1228">
        <w:tc>
          <w:tcPr>
            <w:tcW w:w="6204" w:type="dxa"/>
          </w:tcPr>
          <w:p w14:paraId="010B1344" w14:textId="77777777" w:rsidR="00B735D7" w:rsidRPr="000D756E" w:rsidRDefault="00B735D7" w:rsidP="00B735D7">
            <w:pPr>
              <w:rPr>
                <w:rFonts w:ascii="Arial" w:hAnsi="Arial" w:cs="Arial"/>
                <w:b/>
                <w:sz w:val="22"/>
                <w:szCs w:val="22"/>
              </w:rPr>
            </w:pPr>
          </w:p>
          <w:p w14:paraId="20EEC124" w14:textId="77777777" w:rsidR="00B735D7" w:rsidRPr="000D756E" w:rsidRDefault="00B735D7" w:rsidP="00B735D7">
            <w:pPr>
              <w:rPr>
                <w:rFonts w:ascii="Arial" w:hAnsi="Arial" w:cs="Arial"/>
                <w:b/>
                <w:sz w:val="22"/>
                <w:szCs w:val="22"/>
              </w:rPr>
            </w:pPr>
            <w:r w:rsidRPr="000D756E">
              <w:rPr>
                <w:rFonts w:ascii="Arial" w:hAnsi="Arial" w:cs="Arial"/>
                <w:b/>
                <w:sz w:val="22"/>
                <w:szCs w:val="22"/>
              </w:rPr>
              <w:t>Total</w:t>
            </w:r>
          </w:p>
        </w:tc>
        <w:tc>
          <w:tcPr>
            <w:tcW w:w="1275" w:type="dxa"/>
          </w:tcPr>
          <w:p w14:paraId="154B02E3" w14:textId="77777777" w:rsidR="00B735D7" w:rsidRDefault="00B735D7" w:rsidP="00B735D7">
            <w:pPr>
              <w:jc w:val="right"/>
              <w:rPr>
                <w:rFonts w:ascii="Arial" w:hAnsi="Arial" w:cs="Arial"/>
                <w:b/>
                <w:sz w:val="24"/>
                <w:szCs w:val="24"/>
              </w:rPr>
            </w:pPr>
          </w:p>
          <w:p w14:paraId="41C9A825" w14:textId="3E10033B" w:rsidR="00AB1D16" w:rsidRPr="000D756E" w:rsidRDefault="00AB1D16" w:rsidP="00B735D7">
            <w:pPr>
              <w:jc w:val="right"/>
              <w:rPr>
                <w:rFonts w:ascii="Arial" w:hAnsi="Arial" w:cs="Arial"/>
                <w:b/>
                <w:sz w:val="24"/>
                <w:szCs w:val="24"/>
              </w:rPr>
            </w:pPr>
            <w:r>
              <w:rPr>
                <w:rFonts w:ascii="Arial" w:hAnsi="Arial" w:cs="Arial"/>
                <w:b/>
                <w:sz w:val="24"/>
                <w:szCs w:val="24"/>
              </w:rPr>
              <w:t>8,53</w:t>
            </w:r>
            <w:r w:rsidR="0037696A">
              <w:rPr>
                <w:rFonts w:ascii="Arial" w:hAnsi="Arial" w:cs="Arial"/>
                <w:b/>
                <w:sz w:val="24"/>
                <w:szCs w:val="24"/>
              </w:rPr>
              <w:t>8</w:t>
            </w:r>
          </w:p>
        </w:tc>
        <w:tc>
          <w:tcPr>
            <w:tcW w:w="1418" w:type="dxa"/>
          </w:tcPr>
          <w:p w14:paraId="17330E40" w14:textId="77777777" w:rsidR="00B735D7" w:rsidRPr="000D756E" w:rsidRDefault="00B735D7" w:rsidP="00B735D7">
            <w:pPr>
              <w:jc w:val="right"/>
              <w:rPr>
                <w:rFonts w:ascii="Arial" w:hAnsi="Arial" w:cs="Arial"/>
                <w:b/>
                <w:sz w:val="24"/>
                <w:szCs w:val="24"/>
              </w:rPr>
            </w:pPr>
          </w:p>
          <w:p w14:paraId="397A529C" w14:textId="1CB65CAF" w:rsidR="00B735D7" w:rsidRPr="000D756E" w:rsidRDefault="00B735D7" w:rsidP="00B735D7">
            <w:pPr>
              <w:jc w:val="right"/>
              <w:rPr>
                <w:rFonts w:ascii="Arial" w:hAnsi="Arial" w:cs="Arial"/>
                <w:b/>
                <w:sz w:val="24"/>
                <w:szCs w:val="24"/>
              </w:rPr>
            </w:pPr>
            <w:r w:rsidRPr="000D756E">
              <w:rPr>
                <w:rFonts w:ascii="Arial" w:hAnsi="Arial" w:cs="Arial"/>
                <w:b/>
                <w:sz w:val="24"/>
                <w:szCs w:val="24"/>
              </w:rPr>
              <w:t>8,440</w:t>
            </w:r>
          </w:p>
        </w:tc>
      </w:tr>
    </w:tbl>
    <w:p w14:paraId="125BA961" w14:textId="4CF471CA" w:rsidR="0E6F239C" w:rsidRPr="000D756E" w:rsidRDefault="0E6F239C"/>
    <w:p w14:paraId="3305758B" w14:textId="77777777" w:rsidR="00D17F81" w:rsidRPr="000D756E" w:rsidRDefault="00D17F81" w:rsidP="002A7C01">
      <w:pPr>
        <w:rPr>
          <w:rFonts w:ascii="Arial" w:hAnsi="Arial" w:cs="Arial"/>
          <w:sz w:val="24"/>
          <w:szCs w:val="24"/>
        </w:rPr>
      </w:pPr>
    </w:p>
    <w:p w14:paraId="737B14A8" w14:textId="77777777" w:rsidR="006E002A" w:rsidRPr="000D756E" w:rsidRDefault="006E002A" w:rsidP="001C227A">
      <w:pPr>
        <w:numPr>
          <w:ilvl w:val="0"/>
          <w:numId w:val="15"/>
        </w:numPr>
        <w:rPr>
          <w:rFonts w:ascii="Arial" w:hAnsi="Arial" w:cs="Arial"/>
          <w:b/>
          <w:sz w:val="24"/>
          <w:szCs w:val="24"/>
        </w:rPr>
      </w:pPr>
      <w:r w:rsidRPr="000D756E">
        <w:rPr>
          <w:rFonts w:ascii="Arial" w:hAnsi="Arial" w:cs="Arial"/>
          <w:b/>
          <w:sz w:val="24"/>
          <w:szCs w:val="24"/>
        </w:rPr>
        <w:t>TAXATION AND NON SPECIFIC GRANT I</w:t>
      </w:r>
      <w:r w:rsidR="00820E23" w:rsidRPr="000D756E">
        <w:rPr>
          <w:rFonts w:ascii="Arial" w:hAnsi="Arial" w:cs="Arial"/>
          <w:b/>
          <w:sz w:val="24"/>
          <w:szCs w:val="24"/>
        </w:rPr>
        <w:t>NCOME</w:t>
      </w:r>
    </w:p>
    <w:p w14:paraId="53D475F4" w14:textId="77777777" w:rsidR="006E002A" w:rsidRPr="000D756E" w:rsidRDefault="006E002A" w:rsidP="002A7C01">
      <w:pPr>
        <w:rPr>
          <w:rFonts w:ascii="Arial" w:hAnsi="Arial" w:cs="Arial"/>
          <w:b/>
          <w:sz w:val="24"/>
          <w:szCs w:val="24"/>
        </w:rPr>
      </w:pPr>
    </w:p>
    <w:tbl>
      <w:tblPr>
        <w:tblW w:w="8937" w:type="dxa"/>
        <w:tblLook w:val="01E0" w:firstRow="1" w:lastRow="1" w:firstColumn="1" w:lastColumn="1" w:noHBand="0" w:noVBand="0"/>
      </w:tblPr>
      <w:tblGrid>
        <w:gridCol w:w="6237"/>
        <w:gridCol w:w="1350"/>
        <w:gridCol w:w="1350"/>
      </w:tblGrid>
      <w:tr w:rsidR="000D756E" w:rsidRPr="000D756E" w14:paraId="6A7D3C76" w14:textId="77777777" w:rsidTr="00123EBE">
        <w:tc>
          <w:tcPr>
            <w:tcW w:w="6237" w:type="dxa"/>
            <w:tcBorders>
              <w:top w:val="single" w:sz="4" w:space="0" w:color="auto"/>
              <w:left w:val="single" w:sz="4" w:space="0" w:color="auto"/>
              <w:bottom w:val="single" w:sz="4" w:space="0" w:color="auto"/>
              <w:right w:val="single" w:sz="4" w:space="0" w:color="auto"/>
            </w:tcBorders>
          </w:tcPr>
          <w:p w14:paraId="18BDF479" w14:textId="77777777" w:rsidR="00123EBE" w:rsidRPr="000D756E" w:rsidRDefault="00123EBE" w:rsidP="00123EBE">
            <w:pPr>
              <w:rPr>
                <w:rFonts w:ascii="Arial" w:hAnsi="Arial" w:cs="Arial"/>
                <w:sz w:val="22"/>
                <w:szCs w:val="22"/>
              </w:rPr>
            </w:pPr>
            <w:r w:rsidRPr="000D756E">
              <w:rPr>
                <w:rFonts w:ascii="Arial" w:hAnsi="Arial" w:cs="Arial"/>
                <w:sz w:val="22"/>
                <w:szCs w:val="22"/>
              </w:rPr>
              <w:t xml:space="preserve"> </w:t>
            </w:r>
          </w:p>
          <w:p w14:paraId="4A588FD6" w14:textId="77777777" w:rsidR="00123EBE" w:rsidRPr="000D756E" w:rsidRDefault="00123EBE" w:rsidP="00123EBE">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292E254" w14:textId="77777777" w:rsidR="00123EBE" w:rsidRPr="000D756E" w:rsidRDefault="00123EBE" w:rsidP="00123EBE">
            <w:pPr>
              <w:jc w:val="right"/>
              <w:rPr>
                <w:rFonts w:ascii="Arial" w:hAnsi="Arial" w:cs="Arial"/>
                <w:b/>
                <w:sz w:val="22"/>
                <w:szCs w:val="22"/>
              </w:rPr>
            </w:pPr>
          </w:p>
          <w:p w14:paraId="18018556" w14:textId="59A5D2FC" w:rsidR="00123EBE" w:rsidRPr="000D756E" w:rsidRDefault="00123EBE" w:rsidP="00123EBE">
            <w:pPr>
              <w:jc w:val="right"/>
              <w:rPr>
                <w:rFonts w:ascii="Arial" w:hAnsi="Arial" w:cs="Arial"/>
                <w:b/>
                <w:sz w:val="22"/>
                <w:szCs w:val="22"/>
              </w:rPr>
            </w:pPr>
            <w:r w:rsidRPr="000D756E">
              <w:rPr>
                <w:rFonts w:ascii="Arial" w:hAnsi="Arial" w:cs="Arial"/>
                <w:b/>
                <w:sz w:val="22"/>
                <w:szCs w:val="22"/>
              </w:rPr>
              <w:t>202</w:t>
            </w:r>
            <w:r w:rsidR="00B735D7">
              <w:rPr>
                <w:rFonts w:ascii="Arial" w:hAnsi="Arial" w:cs="Arial"/>
                <w:b/>
                <w:sz w:val="22"/>
                <w:szCs w:val="22"/>
              </w:rPr>
              <w:t>4/25</w:t>
            </w:r>
          </w:p>
          <w:p w14:paraId="0D64FF66" w14:textId="77777777" w:rsidR="00123EBE" w:rsidRPr="000D756E" w:rsidRDefault="00123EBE" w:rsidP="00123EBE">
            <w:pPr>
              <w:jc w:val="right"/>
              <w:rPr>
                <w:rFonts w:ascii="Arial" w:hAnsi="Arial" w:cs="Arial"/>
                <w:b/>
                <w:sz w:val="22"/>
                <w:szCs w:val="22"/>
              </w:rPr>
            </w:pPr>
            <w:r w:rsidRPr="000D756E">
              <w:rPr>
                <w:rFonts w:ascii="Arial" w:hAnsi="Arial" w:cs="Arial"/>
                <w:b/>
                <w:sz w:val="22"/>
                <w:szCs w:val="22"/>
              </w:rPr>
              <w:t>£’000</w:t>
            </w:r>
          </w:p>
        </w:tc>
        <w:tc>
          <w:tcPr>
            <w:tcW w:w="1350" w:type="dxa"/>
            <w:tcBorders>
              <w:top w:val="single" w:sz="4" w:space="0" w:color="auto"/>
              <w:left w:val="single" w:sz="4" w:space="0" w:color="auto"/>
              <w:bottom w:val="single" w:sz="4" w:space="0" w:color="auto"/>
              <w:right w:val="single" w:sz="4" w:space="0" w:color="auto"/>
            </w:tcBorders>
          </w:tcPr>
          <w:p w14:paraId="4B8C9C60" w14:textId="77777777" w:rsidR="00123EBE" w:rsidRPr="000D756E" w:rsidRDefault="00123EBE" w:rsidP="00123EBE">
            <w:pPr>
              <w:jc w:val="right"/>
              <w:rPr>
                <w:rFonts w:ascii="Arial" w:hAnsi="Arial" w:cs="Arial"/>
                <w:b/>
                <w:sz w:val="22"/>
                <w:szCs w:val="22"/>
              </w:rPr>
            </w:pPr>
          </w:p>
          <w:p w14:paraId="6C57EDCF" w14:textId="1F0F3A10" w:rsidR="00123EBE" w:rsidRPr="000D756E" w:rsidRDefault="00123EBE" w:rsidP="00123EBE">
            <w:pPr>
              <w:jc w:val="right"/>
              <w:rPr>
                <w:rFonts w:ascii="Arial" w:hAnsi="Arial" w:cs="Arial"/>
                <w:b/>
                <w:sz w:val="22"/>
                <w:szCs w:val="22"/>
              </w:rPr>
            </w:pPr>
            <w:r w:rsidRPr="000D756E">
              <w:rPr>
                <w:rFonts w:ascii="Arial" w:hAnsi="Arial" w:cs="Arial"/>
                <w:b/>
                <w:sz w:val="22"/>
                <w:szCs w:val="22"/>
              </w:rPr>
              <w:t>20</w:t>
            </w:r>
            <w:r w:rsidR="0083415C" w:rsidRPr="000D756E">
              <w:rPr>
                <w:rFonts w:ascii="Arial" w:hAnsi="Arial" w:cs="Arial"/>
                <w:b/>
                <w:sz w:val="22"/>
                <w:szCs w:val="22"/>
              </w:rPr>
              <w:t>2</w:t>
            </w:r>
            <w:r w:rsidR="00B735D7">
              <w:rPr>
                <w:rFonts w:ascii="Arial" w:hAnsi="Arial" w:cs="Arial"/>
                <w:b/>
                <w:sz w:val="22"/>
                <w:szCs w:val="22"/>
              </w:rPr>
              <w:t>3/24</w:t>
            </w:r>
          </w:p>
          <w:p w14:paraId="19667DC3" w14:textId="044AFD5D" w:rsidR="00123EBE" w:rsidRPr="000D756E" w:rsidRDefault="00123EBE" w:rsidP="00123EBE">
            <w:pPr>
              <w:jc w:val="right"/>
              <w:rPr>
                <w:rFonts w:ascii="Arial" w:hAnsi="Arial" w:cs="Arial"/>
                <w:b/>
                <w:sz w:val="22"/>
                <w:szCs w:val="22"/>
              </w:rPr>
            </w:pPr>
            <w:r w:rsidRPr="000D756E">
              <w:rPr>
                <w:rFonts w:ascii="Arial" w:hAnsi="Arial" w:cs="Arial"/>
                <w:b/>
                <w:sz w:val="22"/>
                <w:szCs w:val="22"/>
              </w:rPr>
              <w:t>£’000</w:t>
            </w:r>
          </w:p>
        </w:tc>
      </w:tr>
      <w:tr w:rsidR="000D756E" w:rsidRPr="000D756E" w14:paraId="10A36BED" w14:textId="77777777" w:rsidTr="00123EBE">
        <w:tc>
          <w:tcPr>
            <w:tcW w:w="6237" w:type="dxa"/>
            <w:tcBorders>
              <w:top w:val="single" w:sz="4" w:space="0" w:color="auto"/>
              <w:left w:val="single" w:sz="4" w:space="0" w:color="auto"/>
              <w:bottom w:val="single" w:sz="4" w:space="0" w:color="auto"/>
              <w:right w:val="single" w:sz="4" w:space="0" w:color="auto"/>
            </w:tcBorders>
          </w:tcPr>
          <w:p w14:paraId="61857A8B" w14:textId="77777777" w:rsidR="008628D5" w:rsidRPr="000D756E" w:rsidRDefault="008628D5" w:rsidP="008628D5">
            <w:pPr>
              <w:rPr>
                <w:rFonts w:ascii="Arial" w:hAnsi="Arial" w:cs="Arial"/>
                <w:sz w:val="22"/>
                <w:szCs w:val="22"/>
              </w:rPr>
            </w:pPr>
          </w:p>
          <w:p w14:paraId="58BB141D" w14:textId="77777777" w:rsidR="008628D5" w:rsidRPr="000D756E" w:rsidRDefault="008628D5" w:rsidP="008628D5">
            <w:pPr>
              <w:rPr>
                <w:rFonts w:ascii="Arial" w:hAnsi="Arial" w:cs="Arial"/>
                <w:sz w:val="22"/>
                <w:szCs w:val="22"/>
              </w:rPr>
            </w:pPr>
            <w:r w:rsidRPr="000D756E">
              <w:rPr>
                <w:rFonts w:ascii="Arial" w:hAnsi="Arial" w:cs="Arial"/>
                <w:sz w:val="22"/>
                <w:szCs w:val="22"/>
              </w:rPr>
              <w:t>Precept income</w:t>
            </w:r>
          </w:p>
        </w:tc>
        <w:tc>
          <w:tcPr>
            <w:tcW w:w="1350" w:type="dxa"/>
            <w:tcBorders>
              <w:top w:val="single" w:sz="4" w:space="0" w:color="auto"/>
              <w:left w:val="single" w:sz="4" w:space="0" w:color="auto"/>
              <w:bottom w:val="single" w:sz="4" w:space="0" w:color="auto"/>
              <w:right w:val="single" w:sz="4" w:space="0" w:color="auto"/>
            </w:tcBorders>
          </w:tcPr>
          <w:p w14:paraId="7CC26188" w14:textId="77777777" w:rsidR="008628D5" w:rsidRPr="000D756E" w:rsidRDefault="008628D5" w:rsidP="008628D5">
            <w:pPr>
              <w:jc w:val="right"/>
              <w:rPr>
                <w:rFonts w:ascii="Arial" w:hAnsi="Arial" w:cs="Arial"/>
                <w:sz w:val="22"/>
                <w:szCs w:val="22"/>
              </w:rPr>
            </w:pPr>
          </w:p>
          <w:p w14:paraId="36AE8189" w14:textId="04DCAEEC" w:rsidR="00515973" w:rsidRPr="000D756E" w:rsidRDefault="002C74E1" w:rsidP="008628D5">
            <w:pPr>
              <w:jc w:val="right"/>
              <w:rPr>
                <w:rFonts w:ascii="Arial" w:hAnsi="Arial" w:cs="Arial"/>
                <w:sz w:val="22"/>
                <w:szCs w:val="22"/>
              </w:rPr>
            </w:pPr>
            <w:r w:rsidRPr="000D756E">
              <w:rPr>
                <w:rFonts w:ascii="Arial" w:hAnsi="Arial" w:cs="Arial"/>
                <w:sz w:val="22"/>
                <w:szCs w:val="22"/>
              </w:rPr>
              <w:t>-</w:t>
            </w:r>
            <w:r w:rsidR="00D65A56">
              <w:rPr>
                <w:rFonts w:ascii="Arial" w:hAnsi="Arial" w:cs="Arial"/>
                <w:sz w:val="22"/>
                <w:szCs w:val="22"/>
              </w:rPr>
              <w:t>20,</w:t>
            </w:r>
            <w:r w:rsidR="003B4529">
              <w:rPr>
                <w:rFonts w:ascii="Arial" w:hAnsi="Arial" w:cs="Arial"/>
                <w:sz w:val="22"/>
                <w:szCs w:val="22"/>
              </w:rPr>
              <w:t>358</w:t>
            </w:r>
          </w:p>
        </w:tc>
        <w:tc>
          <w:tcPr>
            <w:tcW w:w="1350" w:type="dxa"/>
            <w:tcBorders>
              <w:top w:val="single" w:sz="4" w:space="0" w:color="auto"/>
              <w:left w:val="single" w:sz="4" w:space="0" w:color="auto"/>
              <w:bottom w:val="single" w:sz="4" w:space="0" w:color="auto"/>
              <w:right w:val="single" w:sz="4" w:space="0" w:color="auto"/>
            </w:tcBorders>
          </w:tcPr>
          <w:p w14:paraId="447AC761" w14:textId="77777777" w:rsidR="008628D5" w:rsidRPr="000D756E" w:rsidRDefault="008628D5" w:rsidP="008628D5">
            <w:pPr>
              <w:jc w:val="right"/>
              <w:rPr>
                <w:rFonts w:ascii="Arial" w:hAnsi="Arial" w:cs="Arial"/>
                <w:sz w:val="22"/>
                <w:szCs w:val="22"/>
              </w:rPr>
            </w:pPr>
          </w:p>
          <w:p w14:paraId="43691C73" w14:textId="353FA1B7" w:rsidR="008628D5" w:rsidRPr="000D756E" w:rsidRDefault="008628D5" w:rsidP="008628D5">
            <w:pPr>
              <w:jc w:val="right"/>
              <w:rPr>
                <w:rFonts w:ascii="Arial" w:hAnsi="Arial" w:cs="Arial"/>
                <w:sz w:val="22"/>
                <w:szCs w:val="22"/>
              </w:rPr>
            </w:pPr>
            <w:r w:rsidRPr="000D756E">
              <w:rPr>
                <w:rFonts w:ascii="Arial" w:hAnsi="Arial" w:cs="Arial"/>
                <w:sz w:val="22"/>
                <w:szCs w:val="22"/>
              </w:rPr>
              <w:t>-18,295</w:t>
            </w:r>
          </w:p>
        </w:tc>
      </w:tr>
      <w:tr w:rsidR="000D756E" w:rsidRPr="000D756E" w14:paraId="14931258" w14:textId="77777777" w:rsidTr="00123EBE">
        <w:tc>
          <w:tcPr>
            <w:tcW w:w="6237" w:type="dxa"/>
            <w:tcBorders>
              <w:top w:val="single" w:sz="4" w:space="0" w:color="auto"/>
              <w:left w:val="single" w:sz="4" w:space="0" w:color="auto"/>
              <w:bottom w:val="single" w:sz="4" w:space="0" w:color="auto"/>
              <w:right w:val="single" w:sz="4" w:space="0" w:color="auto"/>
            </w:tcBorders>
          </w:tcPr>
          <w:p w14:paraId="6870196B" w14:textId="77777777" w:rsidR="008628D5" w:rsidRPr="000D756E" w:rsidRDefault="008628D5" w:rsidP="008628D5">
            <w:pPr>
              <w:rPr>
                <w:rFonts w:ascii="Arial" w:hAnsi="Arial" w:cs="Arial"/>
                <w:sz w:val="22"/>
                <w:szCs w:val="22"/>
              </w:rPr>
            </w:pPr>
          </w:p>
          <w:p w14:paraId="2F8C1229" w14:textId="77777777" w:rsidR="008628D5" w:rsidRPr="000D756E" w:rsidRDefault="008628D5" w:rsidP="008628D5">
            <w:pPr>
              <w:rPr>
                <w:rFonts w:ascii="Arial" w:hAnsi="Arial" w:cs="Arial"/>
                <w:sz w:val="22"/>
                <w:szCs w:val="22"/>
              </w:rPr>
            </w:pPr>
            <w:r w:rsidRPr="000D756E">
              <w:rPr>
                <w:rFonts w:ascii="Arial" w:hAnsi="Arial" w:cs="Arial"/>
                <w:sz w:val="22"/>
                <w:szCs w:val="22"/>
              </w:rPr>
              <w:t>Non domestic rates</w:t>
            </w:r>
          </w:p>
        </w:tc>
        <w:tc>
          <w:tcPr>
            <w:tcW w:w="1350" w:type="dxa"/>
            <w:tcBorders>
              <w:top w:val="single" w:sz="4" w:space="0" w:color="auto"/>
              <w:left w:val="single" w:sz="4" w:space="0" w:color="auto"/>
              <w:bottom w:val="single" w:sz="4" w:space="0" w:color="auto"/>
              <w:right w:val="single" w:sz="4" w:space="0" w:color="auto"/>
            </w:tcBorders>
          </w:tcPr>
          <w:p w14:paraId="5E2B2408" w14:textId="77777777" w:rsidR="008628D5" w:rsidRPr="000D756E" w:rsidRDefault="008628D5" w:rsidP="008628D5">
            <w:pPr>
              <w:jc w:val="right"/>
              <w:rPr>
                <w:rFonts w:ascii="Arial" w:hAnsi="Arial" w:cs="Arial"/>
                <w:sz w:val="22"/>
                <w:szCs w:val="22"/>
              </w:rPr>
            </w:pPr>
          </w:p>
          <w:p w14:paraId="6E7D6C2D" w14:textId="612C52F3" w:rsidR="002C74E1" w:rsidRPr="000D756E" w:rsidRDefault="002C74E1" w:rsidP="008628D5">
            <w:pPr>
              <w:jc w:val="right"/>
              <w:rPr>
                <w:rFonts w:ascii="Arial" w:hAnsi="Arial" w:cs="Arial"/>
                <w:sz w:val="22"/>
                <w:szCs w:val="22"/>
              </w:rPr>
            </w:pPr>
            <w:r w:rsidRPr="000D756E">
              <w:rPr>
                <w:rFonts w:ascii="Arial" w:hAnsi="Arial" w:cs="Arial"/>
                <w:sz w:val="22"/>
                <w:szCs w:val="22"/>
              </w:rPr>
              <w:t>-</w:t>
            </w:r>
            <w:r w:rsidR="003B4529">
              <w:rPr>
                <w:rFonts w:ascii="Arial" w:hAnsi="Arial" w:cs="Arial"/>
                <w:sz w:val="22"/>
                <w:szCs w:val="22"/>
              </w:rPr>
              <w:t>4,168</w:t>
            </w:r>
          </w:p>
        </w:tc>
        <w:tc>
          <w:tcPr>
            <w:tcW w:w="1350" w:type="dxa"/>
            <w:tcBorders>
              <w:top w:val="single" w:sz="4" w:space="0" w:color="auto"/>
              <w:left w:val="single" w:sz="4" w:space="0" w:color="auto"/>
              <w:bottom w:val="single" w:sz="4" w:space="0" w:color="auto"/>
              <w:right w:val="single" w:sz="4" w:space="0" w:color="auto"/>
            </w:tcBorders>
          </w:tcPr>
          <w:p w14:paraId="59E2BE9E" w14:textId="77777777" w:rsidR="008628D5" w:rsidRPr="000D756E" w:rsidRDefault="008628D5" w:rsidP="008628D5">
            <w:pPr>
              <w:jc w:val="right"/>
              <w:rPr>
                <w:rFonts w:ascii="Arial" w:hAnsi="Arial" w:cs="Arial"/>
                <w:sz w:val="22"/>
                <w:szCs w:val="22"/>
              </w:rPr>
            </w:pPr>
          </w:p>
          <w:p w14:paraId="3B5CE85E" w14:textId="6AB79088" w:rsidR="008628D5" w:rsidRPr="000D756E" w:rsidRDefault="008628D5" w:rsidP="008628D5">
            <w:pPr>
              <w:jc w:val="right"/>
              <w:rPr>
                <w:rFonts w:ascii="Arial" w:hAnsi="Arial" w:cs="Arial"/>
                <w:sz w:val="22"/>
                <w:szCs w:val="22"/>
              </w:rPr>
            </w:pPr>
            <w:r w:rsidRPr="000D756E">
              <w:rPr>
                <w:rFonts w:ascii="Arial" w:hAnsi="Arial" w:cs="Arial"/>
                <w:sz w:val="22"/>
                <w:szCs w:val="22"/>
              </w:rPr>
              <w:t>-3,722</w:t>
            </w:r>
          </w:p>
        </w:tc>
      </w:tr>
      <w:tr w:rsidR="000D756E" w:rsidRPr="000D756E" w14:paraId="3D4C1402" w14:textId="77777777" w:rsidTr="00123EBE">
        <w:tc>
          <w:tcPr>
            <w:tcW w:w="6237" w:type="dxa"/>
            <w:tcBorders>
              <w:top w:val="single" w:sz="4" w:space="0" w:color="auto"/>
              <w:left w:val="single" w:sz="4" w:space="0" w:color="auto"/>
              <w:bottom w:val="single" w:sz="4" w:space="0" w:color="auto"/>
              <w:right w:val="single" w:sz="4" w:space="0" w:color="auto"/>
            </w:tcBorders>
          </w:tcPr>
          <w:p w14:paraId="2620F6E5" w14:textId="77777777" w:rsidR="008628D5" w:rsidRPr="000D756E" w:rsidRDefault="008628D5" w:rsidP="008628D5">
            <w:pPr>
              <w:rPr>
                <w:rFonts w:ascii="Arial" w:hAnsi="Arial" w:cs="Arial"/>
                <w:sz w:val="22"/>
                <w:szCs w:val="22"/>
              </w:rPr>
            </w:pPr>
          </w:p>
          <w:p w14:paraId="6D7FC658" w14:textId="2B2E312B" w:rsidR="008628D5" w:rsidRPr="000D756E" w:rsidRDefault="008628D5" w:rsidP="008628D5">
            <w:pPr>
              <w:rPr>
                <w:rFonts w:ascii="Arial" w:hAnsi="Arial" w:cs="Arial"/>
                <w:b/>
                <w:bCs/>
                <w:sz w:val="22"/>
                <w:szCs w:val="22"/>
              </w:rPr>
            </w:pPr>
            <w:r w:rsidRPr="000D756E">
              <w:rPr>
                <w:rFonts w:ascii="Arial" w:hAnsi="Arial" w:cs="Arial"/>
                <w:b/>
                <w:bCs/>
                <w:sz w:val="22"/>
                <w:szCs w:val="22"/>
              </w:rPr>
              <w:t>Sub total</w:t>
            </w:r>
          </w:p>
        </w:tc>
        <w:tc>
          <w:tcPr>
            <w:tcW w:w="1350" w:type="dxa"/>
            <w:tcBorders>
              <w:top w:val="single" w:sz="4" w:space="0" w:color="auto"/>
              <w:left w:val="single" w:sz="4" w:space="0" w:color="auto"/>
              <w:bottom w:val="single" w:sz="4" w:space="0" w:color="auto"/>
              <w:right w:val="single" w:sz="4" w:space="0" w:color="auto"/>
            </w:tcBorders>
          </w:tcPr>
          <w:p w14:paraId="05222928" w14:textId="77777777" w:rsidR="008628D5" w:rsidRPr="000D756E" w:rsidRDefault="008628D5" w:rsidP="008628D5">
            <w:pPr>
              <w:jc w:val="right"/>
              <w:rPr>
                <w:rFonts w:ascii="Arial" w:hAnsi="Arial" w:cs="Arial"/>
                <w:sz w:val="22"/>
                <w:szCs w:val="22"/>
              </w:rPr>
            </w:pPr>
          </w:p>
          <w:p w14:paraId="59E904EB" w14:textId="02CFB360" w:rsidR="002C74E1" w:rsidRPr="000D756E" w:rsidRDefault="002C74E1" w:rsidP="008628D5">
            <w:pPr>
              <w:jc w:val="right"/>
              <w:rPr>
                <w:rFonts w:ascii="Arial" w:hAnsi="Arial" w:cs="Arial"/>
                <w:sz w:val="22"/>
                <w:szCs w:val="22"/>
              </w:rPr>
            </w:pPr>
            <w:r w:rsidRPr="000D756E">
              <w:rPr>
                <w:rFonts w:ascii="Arial" w:hAnsi="Arial" w:cs="Arial"/>
                <w:sz w:val="22"/>
                <w:szCs w:val="22"/>
              </w:rPr>
              <w:t>-</w:t>
            </w:r>
            <w:r w:rsidR="003B4529">
              <w:rPr>
                <w:rFonts w:ascii="Arial" w:hAnsi="Arial" w:cs="Arial"/>
                <w:sz w:val="22"/>
                <w:szCs w:val="22"/>
              </w:rPr>
              <w:t>24,526</w:t>
            </w:r>
          </w:p>
        </w:tc>
        <w:tc>
          <w:tcPr>
            <w:tcW w:w="1350" w:type="dxa"/>
            <w:tcBorders>
              <w:top w:val="single" w:sz="4" w:space="0" w:color="auto"/>
              <w:left w:val="single" w:sz="4" w:space="0" w:color="auto"/>
              <w:bottom w:val="single" w:sz="4" w:space="0" w:color="auto"/>
              <w:right w:val="single" w:sz="4" w:space="0" w:color="auto"/>
            </w:tcBorders>
          </w:tcPr>
          <w:p w14:paraId="1F30A925" w14:textId="77777777" w:rsidR="008628D5" w:rsidRPr="000D756E" w:rsidRDefault="008628D5" w:rsidP="008628D5">
            <w:pPr>
              <w:jc w:val="right"/>
              <w:rPr>
                <w:rFonts w:ascii="Arial" w:hAnsi="Arial" w:cs="Arial"/>
                <w:sz w:val="22"/>
                <w:szCs w:val="22"/>
              </w:rPr>
            </w:pPr>
          </w:p>
          <w:p w14:paraId="5B6E9B63" w14:textId="28D5ADF6" w:rsidR="008628D5" w:rsidRPr="000D756E" w:rsidRDefault="008628D5" w:rsidP="008628D5">
            <w:pPr>
              <w:jc w:val="right"/>
              <w:rPr>
                <w:rFonts w:ascii="Arial" w:hAnsi="Arial" w:cs="Arial"/>
                <w:sz w:val="22"/>
                <w:szCs w:val="22"/>
              </w:rPr>
            </w:pPr>
            <w:r w:rsidRPr="000D756E">
              <w:rPr>
                <w:rFonts w:ascii="Arial" w:hAnsi="Arial" w:cs="Arial"/>
                <w:sz w:val="22"/>
                <w:szCs w:val="22"/>
              </w:rPr>
              <w:t>-22,017</w:t>
            </w:r>
          </w:p>
        </w:tc>
      </w:tr>
      <w:tr w:rsidR="000D756E" w:rsidRPr="000D756E" w14:paraId="5F43C15E" w14:textId="77777777" w:rsidTr="00123EBE">
        <w:tc>
          <w:tcPr>
            <w:tcW w:w="6237" w:type="dxa"/>
            <w:tcBorders>
              <w:top w:val="single" w:sz="4" w:space="0" w:color="auto"/>
              <w:left w:val="single" w:sz="4" w:space="0" w:color="auto"/>
              <w:bottom w:val="single" w:sz="4" w:space="0" w:color="auto"/>
              <w:right w:val="single" w:sz="4" w:space="0" w:color="auto"/>
            </w:tcBorders>
          </w:tcPr>
          <w:p w14:paraId="6933796E" w14:textId="77777777" w:rsidR="008628D5" w:rsidRPr="000D756E" w:rsidRDefault="008628D5" w:rsidP="008628D5">
            <w:pPr>
              <w:rPr>
                <w:rFonts w:ascii="Arial" w:hAnsi="Arial" w:cs="Arial"/>
                <w:sz w:val="22"/>
                <w:szCs w:val="22"/>
              </w:rPr>
            </w:pPr>
          </w:p>
          <w:p w14:paraId="76C66B64" w14:textId="6293C9AE" w:rsidR="008628D5" w:rsidRPr="000D756E" w:rsidRDefault="008628D5" w:rsidP="008628D5">
            <w:pPr>
              <w:rPr>
                <w:rFonts w:ascii="Arial" w:hAnsi="Arial" w:cs="Arial"/>
                <w:sz w:val="22"/>
                <w:szCs w:val="22"/>
              </w:rPr>
            </w:pPr>
            <w:r w:rsidRPr="000D756E">
              <w:rPr>
                <w:rFonts w:ascii="Arial" w:hAnsi="Arial" w:cs="Arial"/>
                <w:sz w:val="22"/>
                <w:szCs w:val="22"/>
              </w:rPr>
              <w:t xml:space="preserve">*Non ringfenced government grants </w:t>
            </w:r>
          </w:p>
        </w:tc>
        <w:tc>
          <w:tcPr>
            <w:tcW w:w="1350" w:type="dxa"/>
            <w:tcBorders>
              <w:top w:val="single" w:sz="4" w:space="0" w:color="auto"/>
              <w:left w:val="single" w:sz="4" w:space="0" w:color="auto"/>
              <w:bottom w:val="single" w:sz="4" w:space="0" w:color="auto"/>
              <w:right w:val="single" w:sz="4" w:space="0" w:color="auto"/>
            </w:tcBorders>
          </w:tcPr>
          <w:p w14:paraId="01C5288E" w14:textId="77777777" w:rsidR="008628D5" w:rsidRPr="000D756E" w:rsidRDefault="008628D5" w:rsidP="008628D5">
            <w:pPr>
              <w:jc w:val="right"/>
              <w:rPr>
                <w:rFonts w:ascii="Arial" w:hAnsi="Arial" w:cs="Arial"/>
                <w:sz w:val="22"/>
                <w:szCs w:val="22"/>
              </w:rPr>
            </w:pPr>
          </w:p>
          <w:p w14:paraId="2E578F58" w14:textId="1B703732" w:rsidR="002C74E1" w:rsidRPr="000D756E" w:rsidRDefault="002C74E1" w:rsidP="008628D5">
            <w:pPr>
              <w:jc w:val="right"/>
              <w:rPr>
                <w:rFonts w:ascii="Arial" w:hAnsi="Arial" w:cs="Arial"/>
                <w:sz w:val="22"/>
                <w:szCs w:val="22"/>
              </w:rPr>
            </w:pPr>
            <w:r w:rsidRPr="000D756E">
              <w:rPr>
                <w:rFonts w:ascii="Arial" w:hAnsi="Arial" w:cs="Arial"/>
                <w:sz w:val="22"/>
                <w:szCs w:val="22"/>
              </w:rPr>
              <w:t>-</w:t>
            </w:r>
            <w:r w:rsidR="003B4529">
              <w:rPr>
                <w:rFonts w:ascii="Arial" w:hAnsi="Arial" w:cs="Arial"/>
                <w:sz w:val="22"/>
                <w:szCs w:val="22"/>
              </w:rPr>
              <w:t>5,858</w:t>
            </w:r>
          </w:p>
        </w:tc>
        <w:tc>
          <w:tcPr>
            <w:tcW w:w="1350" w:type="dxa"/>
            <w:tcBorders>
              <w:top w:val="single" w:sz="4" w:space="0" w:color="auto"/>
              <w:left w:val="single" w:sz="4" w:space="0" w:color="auto"/>
              <w:bottom w:val="single" w:sz="4" w:space="0" w:color="auto"/>
              <w:right w:val="single" w:sz="4" w:space="0" w:color="auto"/>
            </w:tcBorders>
          </w:tcPr>
          <w:p w14:paraId="3BC72CBC" w14:textId="77777777" w:rsidR="008628D5" w:rsidRPr="000D756E" w:rsidRDefault="008628D5" w:rsidP="008628D5">
            <w:pPr>
              <w:jc w:val="right"/>
              <w:rPr>
                <w:rFonts w:ascii="Arial" w:hAnsi="Arial" w:cs="Arial"/>
                <w:sz w:val="22"/>
                <w:szCs w:val="22"/>
              </w:rPr>
            </w:pPr>
          </w:p>
          <w:p w14:paraId="66DCA287" w14:textId="630C025C" w:rsidR="008628D5" w:rsidRPr="000D756E" w:rsidRDefault="008628D5" w:rsidP="008628D5">
            <w:pPr>
              <w:jc w:val="right"/>
              <w:rPr>
                <w:rFonts w:ascii="Arial" w:hAnsi="Arial" w:cs="Arial"/>
                <w:sz w:val="22"/>
                <w:szCs w:val="22"/>
              </w:rPr>
            </w:pPr>
            <w:r w:rsidRPr="000D756E">
              <w:rPr>
                <w:rFonts w:ascii="Arial" w:hAnsi="Arial" w:cs="Arial"/>
                <w:sz w:val="22"/>
                <w:szCs w:val="22"/>
              </w:rPr>
              <w:t>-4,333</w:t>
            </w:r>
          </w:p>
        </w:tc>
      </w:tr>
      <w:tr w:rsidR="008628D5" w:rsidRPr="000D756E" w14:paraId="2A524594" w14:textId="77777777" w:rsidTr="00123EBE">
        <w:tc>
          <w:tcPr>
            <w:tcW w:w="6237" w:type="dxa"/>
            <w:tcBorders>
              <w:top w:val="single" w:sz="4" w:space="0" w:color="auto"/>
              <w:left w:val="single" w:sz="4" w:space="0" w:color="auto"/>
              <w:bottom w:val="single" w:sz="4" w:space="0" w:color="auto"/>
              <w:right w:val="single" w:sz="4" w:space="0" w:color="auto"/>
            </w:tcBorders>
          </w:tcPr>
          <w:p w14:paraId="455E20B2" w14:textId="77777777" w:rsidR="008628D5" w:rsidRPr="000D756E" w:rsidRDefault="008628D5" w:rsidP="008628D5">
            <w:pPr>
              <w:rPr>
                <w:rFonts w:ascii="Arial" w:hAnsi="Arial" w:cs="Arial"/>
                <w:b/>
                <w:sz w:val="22"/>
                <w:szCs w:val="22"/>
              </w:rPr>
            </w:pPr>
          </w:p>
          <w:p w14:paraId="47191592" w14:textId="77777777" w:rsidR="008628D5" w:rsidRPr="000D756E" w:rsidRDefault="008628D5" w:rsidP="008628D5">
            <w:pPr>
              <w:rPr>
                <w:rFonts w:ascii="Arial" w:hAnsi="Arial" w:cs="Arial"/>
                <w:b/>
                <w:sz w:val="22"/>
                <w:szCs w:val="22"/>
              </w:rPr>
            </w:pPr>
            <w:r w:rsidRPr="000D756E">
              <w:rPr>
                <w:rFonts w:ascii="Arial" w:hAnsi="Arial" w:cs="Arial"/>
                <w:b/>
                <w:sz w:val="22"/>
                <w:szCs w:val="22"/>
              </w:rPr>
              <w:t>Total</w:t>
            </w:r>
          </w:p>
        </w:tc>
        <w:tc>
          <w:tcPr>
            <w:tcW w:w="1350" w:type="dxa"/>
            <w:tcBorders>
              <w:top w:val="single" w:sz="4" w:space="0" w:color="auto"/>
              <w:left w:val="single" w:sz="4" w:space="0" w:color="auto"/>
              <w:bottom w:val="single" w:sz="4" w:space="0" w:color="auto"/>
              <w:right w:val="single" w:sz="4" w:space="0" w:color="auto"/>
            </w:tcBorders>
          </w:tcPr>
          <w:p w14:paraId="0DA8546C" w14:textId="77777777" w:rsidR="008628D5" w:rsidRPr="000D756E" w:rsidRDefault="008628D5" w:rsidP="008628D5">
            <w:pPr>
              <w:jc w:val="right"/>
              <w:rPr>
                <w:rFonts w:ascii="Arial" w:hAnsi="Arial" w:cs="Arial"/>
                <w:b/>
                <w:sz w:val="22"/>
                <w:szCs w:val="22"/>
              </w:rPr>
            </w:pPr>
          </w:p>
          <w:p w14:paraId="1F1689DF" w14:textId="299837B9" w:rsidR="002C74E1" w:rsidRPr="000D756E" w:rsidRDefault="00E35AD6" w:rsidP="008628D5">
            <w:pPr>
              <w:jc w:val="right"/>
              <w:rPr>
                <w:rFonts w:ascii="Arial" w:hAnsi="Arial" w:cs="Arial"/>
                <w:b/>
                <w:sz w:val="22"/>
                <w:szCs w:val="22"/>
              </w:rPr>
            </w:pPr>
            <w:r w:rsidRPr="000D756E">
              <w:rPr>
                <w:rFonts w:ascii="Arial" w:hAnsi="Arial" w:cs="Arial"/>
                <w:b/>
                <w:sz w:val="22"/>
                <w:szCs w:val="22"/>
              </w:rPr>
              <w:t>-</w:t>
            </w:r>
            <w:r w:rsidR="003B4529">
              <w:rPr>
                <w:rFonts w:ascii="Arial" w:hAnsi="Arial" w:cs="Arial"/>
                <w:b/>
                <w:sz w:val="22"/>
                <w:szCs w:val="22"/>
              </w:rPr>
              <w:t>30,384</w:t>
            </w:r>
          </w:p>
        </w:tc>
        <w:tc>
          <w:tcPr>
            <w:tcW w:w="1350" w:type="dxa"/>
            <w:tcBorders>
              <w:top w:val="single" w:sz="4" w:space="0" w:color="auto"/>
              <w:left w:val="single" w:sz="4" w:space="0" w:color="auto"/>
              <w:bottom w:val="single" w:sz="4" w:space="0" w:color="auto"/>
              <w:right w:val="single" w:sz="4" w:space="0" w:color="auto"/>
            </w:tcBorders>
          </w:tcPr>
          <w:p w14:paraId="09C64F08" w14:textId="77777777" w:rsidR="008628D5" w:rsidRPr="000D756E" w:rsidRDefault="008628D5" w:rsidP="008628D5">
            <w:pPr>
              <w:jc w:val="right"/>
              <w:rPr>
                <w:rFonts w:ascii="Arial" w:hAnsi="Arial" w:cs="Arial"/>
                <w:b/>
                <w:sz w:val="22"/>
                <w:szCs w:val="22"/>
              </w:rPr>
            </w:pPr>
          </w:p>
          <w:p w14:paraId="0DE62D35" w14:textId="17D28EE5" w:rsidR="008628D5" w:rsidRPr="000D756E" w:rsidRDefault="008628D5" w:rsidP="008628D5">
            <w:pPr>
              <w:jc w:val="right"/>
              <w:rPr>
                <w:rFonts w:ascii="Arial" w:hAnsi="Arial" w:cs="Arial"/>
                <w:b/>
                <w:sz w:val="22"/>
                <w:szCs w:val="22"/>
              </w:rPr>
            </w:pPr>
            <w:r w:rsidRPr="000D756E">
              <w:rPr>
                <w:rFonts w:ascii="Arial" w:hAnsi="Arial" w:cs="Arial"/>
                <w:b/>
                <w:sz w:val="22"/>
                <w:szCs w:val="22"/>
              </w:rPr>
              <w:t>-26,350</w:t>
            </w:r>
          </w:p>
        </w:tc>
      </w:tr>
    </w:tbl>
    <w:p w14:paraId="5209D373" w14:textId="239FCAF8" w:rsidR="0E6F239C" w:rsidRPr="000D756E" w:rsidRDefault="0E6F239C"/>
    <w:p w14:paraId="178B7C5F" w14:textId="75105BE4" w:rsidR="00711F69" w:rsidRDefault="003D6B94" w:rsidP="002A7C01">
      <w:pPr>
        <w:rPr>
          <w:rFonts w:ascii="Arial" w:hAnsi="Arial" w:cs="Arial"/>
          <w:sz w:val="24"/>
          <w:szCs w:val="24"/>
        </w:rPr>
      </w:pPr>
      <w:r w:rsidRPr="000D756E">
        <w:rPr>
          <w:rFonts w:ascii="Arial" w:hAnsi="Arial" w:cs="Arial"/>
          <w:sz w:val="24"/>
          <w:szCs w:val="24"/>
        </w:rPr>
        <w:t>*see also note</w:t>
      </w:r>
      <w:r w:rsidR="000B61F7" w:rsidRPr="000D756E">
        <w:rPr>
          <w:rFonts w:ascii="Arial" w:hAnsi="Arial" w:cs="Arial"/>
          <w:sz w:val="24"/>
          <w:szCs w:val="24"/>
        </w:rPr>
        <w:t xml:space="preserve"> 1</w:t>
      </w:r>
      <w:r w:rsidR="002308EB">
        <w:rPr>
          <w:rFonts w:ascii="Arial" w:hAnsi="Arial" w:cs="Arial"/>
          <w:sz w:val="24"/>
          <w:szCs w:val="24"/>
        </w:rPr>
        <w:t>0</w:t>
      </w:r>
    </w:p>
    <w:p w14:paraId="59A26FC5" w14:textId="77777777" w:rsidR="002308EB" w:rsidRPr="000D756E" w:rsidRDefault="002308EB" w:rsidP="002A7C01">
      <w:pPr>
        <w:rPr>
          <w:rFonts w:ascii="Arial" w:hAnsi="Arial" w:cs="Arial"/>
          <w:sz w:val="24"/>
          <w:szCs w:val="24"/>
        </w:rPr>
      </w:pPr>
    </w:p>
    <w:p w14:paraId="5D2EF53E" w14:textId="6C78A5C1" w:rsidR="006E002A" w:rsidRPr="000D756E" w:rsidRDefault="006E002A" w:rsidP="001C227A">
      <w:pPr>
        <w:numPr>
          <w:ilvl w:val="0"/>
          <w:numId w:val="15"/>
        </w:numPr>
        <w:rPr>
          <w:rFonts w:ascii="Arial" w:hAnsi="Arial" w:cs="Arial"/>
          <w:b/>
          <w:sz w:val="24"/>
          <w:szCs w:val="24"/>
        </w:rPr>
      </w:pPr>
      <w:r w:rsidRPr="000D756E">
        <w:rPr>
          <w:rFonts w:ascii="Arial" w:hAnsi="Arial" w:cs="Arial"/>
          <w:b/>
          <w:sz w:val="24"/>
          <w:szCs w:val="24"/>
        </w:rPr>
        <w:t xml:space="preserve">MEMBERS’ ALLOWANCES </w:t>
      </w:r>
      <w:r w:rsidR="00EE5FFC" w:rsidRPr="000D756E">
        <w:rPr>
          <w:rFonts w:ascii="Arial" w:hAnsi="Arial" w:cs="Arial"/>
          <w:b/>
          <w:sz w:val="24"/>
          <w:szCs w:val="24"/>
        </w:rPr>
        <w:t xml:space="preserve"> </w:t>
      </w:r>
    </w:p>
    <w:p w14:paraId="6D833638" w14:textId="77777777" w:rsidR="006E002A" w:rsidRPr="000D756E" w:rsidRDefault="006E002A" w:rsidP="002A7C01">
      <w:pPr>
        <w:rPr>
          <w:rFonts w:ascii="Arial" w:hAnsi="Arial" w:cs="Arial"/>
          <w:b/>
          <w:sz w:val="24"/>
          <w:szCs w:val="24"/>
        </w:rPr>
      </w:pPr>
    </w:p>
    <w:p w14:paraId="5DC3F55B" w14:textId="77777777" w:rsidR="006E002A" w:rsidRPr="000D756E" w:rsidRDefault="006E002A" w:rsidP="002A7C01">
      <w:pPr>
        <w:rPr>
          <w:rFonts w:ascii="Arial" w:hAnsi="Arial" w:cs="Arial"/>
          <w:sz w:val="24"/>
          <w:szCs w:val="24"/>
        </w:rPr>
      </w:pPr>
      <w:r w:rsidRPr="000D756E">
        <w:rPr>
          <w:rFonts w:ascii="Arial" w:hAnsi="Arial" w:cs="Arial"/>
          <w:sz w:val="24"/>
          <w:szCs w:val="24"/>
        </w:rPr>
        <w:t>The Authority paid the following amounts to members of the Authority during the year.</w:t>
      </w:r>
    </w:p>
    <w:p w14:paraId="41A89D5E" w14:textId="77777777" w:rsidR="006E002A" w:rsidRPr="000D756E" w:rsidRDefault="006E002A" w:rsidP="002A7C01">
      <w:pPr>
        <w:rPr>
          <w:rFonts w:ascii="Arial" w:hAnsi="Arial" w:cs="Arial"/>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365"/>
        <w:gridCol w:w="1470"/>
      </w:tblGrid>
      <w:tr w:rsidR="000D756E" w:rsidRPr="000D756E" w14:paraId="1D67C4C9" w14:textId="77777777" w:rsidTr="574A8B51">
        <w:tc>
          <w:tcPr>
            <w:tcW w:w="6204" w:type="dxa"/>
          </w:tcPr>
          <w:p w14:paraId="7CA9FBE8" w14:textId="77777777" w:rsidR="00123EBE" w:rsidRPr="000D756E" w:rsidRDefault="00123EBE" w:rsidP="00123EBE">
            <w:pPr>
              <w:rPr>
                <w:rFonts w:ascii="Arial" w:hAnsi="Arial" w:cs="Arial"/>
                <w:b/>
                <w:sz w:val="24"/>
                <w:szCs w:val="24"/>
              </w:rPr>
            </w:pPr>
          </w:p>
        </w:tc>
        <w:tc>
          <w:tcPr>
            <w:tcW w:w="1365" w:type="dxa"/>
          </w:tcPr>
          <w:p w14:paraId="2031EE8A" w14:textId="4CDC8747" w:rsidR="00123EBE" w:rsidRPr="000D756E" w:rsidRDefault="00123EBE" w:rsidP="00123EBE">
            <w:pPr>
              <w:jc w:val="right"/>
              <w:rPr>
                <w:rFonts w:ascii="Arial" w:hAnsi="Arial" w:cs="Arial"/>
                <w:b/>
                <w:sz w:val="24"/>
                <w:szCs w:val="24"/>
              </w:rPr>
            </w:pPr>
            <w:r w:rsidRPr="000D756E">
              <w:rPr>
                <w:rFonts w:ascii="Arial" w:hAnsi="Arial" w:cs="Arial"/>
                <w:b/>
                <w:sz w:val="24"/>
                <w:szCs w:val="24"/>
              </w:rPr>
              <w:t>202</w:t>
            </w:r>
            <w:r w:rsidR="00DF6BFB">
              <w:rPr>
                <w:rFonts w:ascii="Arial" w:hAnsi="Arial" w:cs="Arial"/>
                <w:b/>
                <w:sz w:val="24"/>
                <w:szCs w:val="24"/>
              </w:rPr>
              <w:t>4/25</w:t>
            </w:r>
          </w:p>
          <w:p w14:paraId="3698F654" w14:textId="77777777" w:rsidR="00123EBE" w:rsidRPr="000D756E" w:rsidRDefault="00123EBE" w:rsidP="00123EBE">
            <w:pPr>
              <w:jc w:val="right"/>
              <w:rPr>
                <w:rFonts w:ascii="Arial" w:hAnsi="Arial" w:cs="Arial"/>
                <w:b/>
                <w:sz w:val="24"/>
                <w:szCs w:val="24"/>
              </w:rPr>
            </w:pPr>
            <w:r w:rsidRPr="000D756E">
              <w:rPr>
                <w:rFonts w:ascii="Arial" w:hAnsi="Arial" w:cs="Arial"/>
                <w:b/>
                <w:sz w:val="24"/>
                <w:szCs w:val="24"/>
              </w:rPr>
              <w:t>£’000</w:t>
            </w:r>
          </w:p>
        </w:tc>
        <w:tc>
          <w:tcPr>
            <w:tcW w:w="1470" w:type="dxa"/>
          </w:tcPr>
          <w:p w14:paraId="09CBA3FA" w14:textId="7E757A8C" w:rsidR="00123EBE" w:rsidRPr="000D756E" w:rsidRDefault="00123EBE" w:rsidP="00123EBE">
            <w:pPr>
              <w:jc w:val="right"/>
              <w:rPr>
                <w:rFonts w:ascii="Arial" w:hAnsi="Arial" w:cs="Arial"/>
                <w:b/>
                <w:sz w:val="24"/>
                <w:szCs w:val="24"/>
              </w:rPr>
            </w:pPr>
            <w:r w:rsidRPr="000D756E">
              <w:rPr>
                <w:rFonts w:ascii="Arial" w:hAnsi="Arial" w:cs="Arial"/>
                <w:b/>
                <w:sz w:val="24"/>
                <w:szCs w:val="24"/>
              </w:rPr>
              <w:t>20</w:t>
            </w:r>
            <w:r w:rsidR="0083415C" w:rsidRPr="000D756E">
              <w:rPr>
                <w:rFonts w:ascii="Arial" w:hAnsi="Arial" w:cs="Arial"/>
                <w:b/>
                <w:sz w:val="24"/>
                <w:szCs w:val="24"/>
              </w:rPr>
              <w:t>2</w:t>
            </w:r>
            <w:r w:rsidR="00DF6BFB">
              <w:rPr>
                <w:rFonts w:ascii="Arial" w:hAnsi="Arial" w:cs="Arial"/>
                <w:b/>
                <w:sz w:val="24"/>
                <w:szCs w:val="24"/>
              </w:rPr>
              <w:t>3/24</w:t>
            </w:r>
          </w:p>
          <w:p w14:paraId="466085BD" w14:textId="645E6CAF" w:rsidR="00123EBE" w:rsidRPr="000D756E" w:rsidRDefault="00123EBE" w:rsidP="00123EBE">
            <w:pPr>
              <w:jc w:val="right"/>
              <w:rPr>
                <w:rFonts w:ascii="Arial" w:hAnsi="Arial" w:cs="Arial"/>
                <w:b/>
                <w:sz w:val="24"/>
                <w:szCs w:val="24"/>
              </w:rPr>
            </w:pPr>
            <w:r w:rsidRPr="000D756E">
              <w:rPr>
                <w:rFonts w:ascii="Arial" w:hAnsi="Arial" w:cs="Arial"/>
                <w:b/>
                <w:sz w:val="24"/>
                <w:szCs w:val="24"/>
              </w:rPr>
              <w:t>£’000</w:t>
            </w:r>
          </w:p>
        </w:tc>
      </w:tr>
      <w:tr w:rsidR="00DF6BFB" w:rsidRPr="000D756E" w14:paraId="001DF3AE" w14:textId="77777777" w:rsidTr="574A8B51">
        <w:trPr>
          <w:trHeight w:val="357"/>
        </w:trPr>
        <w:tc>
          <w:tcPr>
            <w:tcW w:w="6204" w:type="dxa"/>
          </w:tcPr>
          <w:p w14:paraId="30F50659" w14:textId="77777777" w:rsidR="00DF6BFB" w:rsidRPr="000D756E" w:rsidRDefault="00DF6BFB" w:rsidP="00DF6BFB">
            <w:pPr>
              <w:rPr>
                <w:rFonts w:ascii="Arial" w:hAnsi="Arial" w:cs="Arial"/>
                <w:sz w:val="24"/>
                <w:szCs w:val="24"/>
              </w:rPr>
            </w:pPr>
            <w:r w:rsidRPr="000D756E">
              <w:rPr>
                <w:rFonts w:ascii="Arial" w:hAnsi="Arial" w:cs="Arial"/>
                <w:sz w:val="24"/>
                <w:szCs w:val="24"/>
              </w:rPr>
              <w:t>Allowances</w:t>
            </w:r>
          </w:p>
        </w:tc>
        <w:tc>
          <w:tcPr>
            <w:tcW w:w="1365" w:type="dxa"/>
          </w:tcPr>
          <w:p w14:paraId="43014811" w14:textId="0D16EB0B" w:rsidR="00DF6BFB" w:rsidRPr="000D756E" w:rsidRDefault="315E0EC2" w:rsidP="00DF6BFB">
            <w:pPr>
              <w:jc w:val="right"/>
              <w:rPr>
                <w:rFonts w:ascii="Arial" w:hAnsi="Arial" w:cs="Arial"/>
                <w:sz w:val="24"/>
                <w:szCs w:val="24"/>
              </w:rPr>
            </w:pPr>
            <w:r w:rsidRPr="465456A1">
              <w:rPr>
                <w:rFonts w:ascii="Arial" w:hAnsi="Arial" w:cs="Arial"/>
                <w:sz w:val="24"/>
                <w:szCs w:val="24"/>
              </w:rPr>
              <w:t>89</w:t>
            </w:r>
          </w:p>
        </w:tc>
        <w:tc>
          <w:tcPr>
            <w:tcW w:w="1470" w:type="dxa"/>
          </w:tcPr>
          <w:p w14:paraId="56C51A90" w14:textId="15CDDF6E" w:rsidR="00DF6BFB" w:rsidRPr="000D756E" w:rsidRDefault="00DF6BFB" w:rsidP="00DF6BFB">
            <w:pPr>
              <w:jc w:val="right"/>
              <w:rPr>
                <w:rFonts w:ascii="Arial" w:hAnsi="Arial" w:cs="Arial"/>
                <w:sz w:val="24"/>
                <w:szCs w:val="24"/>
              </w:rPr>
            </w:pPr>
            <w:r w:rsidRPr="000D756E">
              <w:rPr>
                <w:rFonts w:ascii="Arial" w:hAnsi="Arial" w:cs="Arial"/>
                <w:sz w:val="24"/>
                <w:szCs w:val="24"/>
              </w:rPr>
              <w:t>89</w:t>
            </w:r>
          </w:p>
        </w:tc>
      </w:tr>
      <w:tr w:rsidR="00DF6BFB" w:rsidRPr="000D756E" w14:paraId="7D92BC32" w14:textId="77777777" w:rsidTr="574A8B51">
        <w:trPr>
          <w:trHeight w:val="405"/>
        </w:trPr>
        <w:tc>
          <w:tcPr>
            <w:tcW w:w="6204" w:type="dxa"/>
          </w:tcPr>
          <w:p w14:paraId="181A06A5" w14:textId="77777777" w:rsidR="00DF6BFB" w:rsidRPr="000D756E" w:rsidRDefault="00DF6BFB" w:rsidP="00DF6BFB">
            <w:pPr>
              <w:rPr>
                <w:rFonts w:ascii="Arial" w:hAnsi="Arial" w:cs="Arial"/>
                <w:sz w:val="24"/>
                <w:szCs w:val="24"/>
              </w:rPr>
            </w:pPr>
            <w:r w:rsidRPr="000D756E">
              <w:rPr>
                <w:rFonts w:ascii="Arial" w:hAnsi="Arial" w:cs="Arial"/>
                <w:sz w:val="24"/>
                <w:szCs w:val="24"/>
              </w:rPr>
              <w:t>Expenses</w:t>
            </w:r>
          </w:p>
        </w:tc>
        <w:tc>
          <w:tcPr>
            <w:tcW w:w="1365" w:type="dxa"/>
          </w:tcPr>
          <w:p w14:paraId="397DB6C5" w14:textId="6EFC8BC8" w:rsidR="00DF6BFB" w:rsidRPr="000D756E" w:rsidRDefault="18AED913" w:rsidP="00DF6BFB">
            <w:pPr>
              <w:jc w:val="right"/>
              <w:rPr>
                <w:rFonts w:ascii="Arial" w:hAnsi="Arial" w:cs="Arial"/>
                <w:sz w:val="24"/>
                <w:szCs w:val="24"/>
              </w:rPr>
            </w:pPr>
            <w:r w:rsidRPr="574A8B51">
              <w:rPr>
                <w:rFonts w:ascii="Arial" w:hAnsi="Arial" w:cs="Arial"/>
                <w:sz w:val="24"/>
                <w:szCs w:val="24"/>
              </w:rPr>
              <w:t>0</w:t>
            </w:r>
          </w:p>
        </w:tc>
        <w:tc>
          <w:tcPr>
            <w:tcW w:w="1470" w:type="dxa"/>
          </w:tcPr>
          <w:p w14:paraId="37A4F269" w14:textId="4A03C150" w:rsidR="00DF6BFB" w:rsidRPr="000D756E" w:rsidRDefault="00DF6BFB" w:rsidP="00DF6BFB">
            <w:pPr>
              <w:jc w:val="right"/>
              <w:rPr>
                <w:rFonts w:ascii="Arial" w:hAnsi="Arial" w:cs="Arial"/>
                <w:sz w:val="24"/>
                <w:szCs w:val="24"/>
              </w:rPr>
            </w:pPr>
            <w:r w:rsidRPr="000D756E">
              <w:rPr>
                <w:rFonts w:ascii="Arial" w:hAnsi="Arial" w:cs="Arial"/>
                <w:sz w:val="24"/>
                <w:szCs w:val="24"/>
              </w:rPr>
              <w:t>0</w:t>
            </w:r>
          </w:p>
        </w:tc>
      </w:tr>
      <w:tr w:rsidR="00DF6BFB" w:rsidRPr="000D756E" w14:paraId="435F6149" w14:textId="77777777" w:rsidTr="574A8B51">
        <w:trPr>
          <w:trHeight w:val="616"/>
        </w:trPr>
        <w:tc>
          <w:tcPr>
            <w:tcW w:w="6204" w:type="dxa"/>
          </w:tcPr>
          <w:p w14:paraId="014ABF35" w14:textId="77777777" w:rsidR="00DF6BFB" w:rsidRPr="000D756E" w:rsidRDefault="00DF6BFB" w:rsidP="00DF6BFB">
            <w:pPr>
              <w:rPr>
                <w:rFonts w:ascii="Arial" w:hAnsi="Arial" w:cs="Arial"/>
                <w:sz w:val="24"/>
                <w:szCs w:val="24"/>
              </w:rPr>
            </w:pPr>
          </w:p>
          <w:p w14:paraId="2B95FD3E" w14:textId="77777777" w:rsidR="00DF6BFB" w:rsidRPr="000D756E" w:rsidRDefault="00DF6BFB" w:rsidP="00DF6BFB">
            <w:pPr>
              <w:rPr>
                <w:rFonts w:ascii="Arial" w:hAnsi="Arial" w:cs="Arial"/>
                <w:sz w:val="24"/>
                <w:szCs w:val="24"/>
              </w:rPr>
            </w:pPr>
            <w:r w:rsidRPr="000D756E">
              <w:rPr>
                <w:rFonts w:ascii="Arial" w:hAnsi="Arial" w:cs="Arial"/>
                <w:sz w:val="24"/>
                <w:szCs w:val="24"/>
              </w:rPr>
              <w:t>Total</w:t>
            </w:r>
          </w:p>
        </w:tc>
        <w:tc>
          <w:tcPr>
            <w:tcW w:w="1365" w:type="dxa"/>
          </w:tcPr>
          <w:p w14:paraId="147701DF" w14:textId="3813C79F" w:rsidR="574A8B51" w:rsidRDefault="574A8B51" w:rsidP="574A8B51">
            <w:pPr>
              <w:jc w:val="right"/>
              <w:rPr>
                <w:rFonts w:ascii="Arial" w:hAnsi="Arial" w:cs="Arial"/>
                <w:b/>
                <w:bCs/>
                <w:sz w:val="24"/>
                <w:szCs w:val="24"/>
              </w:rPr>
            </w:pPr>
          </w:p>
          <w:p w14:paraId="6F58D081" w14:textId="6007DF67" w:rsidR="00DF6BFB" w:rsidRPr="000D756E" w:rsidRDefault="6B2D89D7" w:rsidP="00DF6BFB">
            <w:pPr>
              <w:jc w:val="right"/>
              <w:rPr>
                <w:rFonts w:ascii="Arial" w:hAnsi="Arial" w:cs="Arial"/>
                <w:b/>
                <w:bCs/>
                <w:sz w:val="24"/>
                <w:szCs w:val="24"/>
              </w:rPr>
            </w:pPr>
            <w:r w:rsidRPr="465456A1">
              <w:rPr>
                <w:rFonts w:ascii="Arial" w:hAnsi="Arial" w:cs="Arial"/>
                <w:b/>
                <w:bCs/>
                <w:sz w:val="24"/>
                <w:szCs w:val="24"/>
              </w:rPr>
              <w:t>89</w:t>
            </w:r>
          </w:p>
        </w:tc>
        <w:tc>
          <w:tcPr>
            <w:tcW w:w="1470" w:type="dxa"/>
          </w:tcPr>
          <w:p w14:paraId="03B39EBE" w14:textId="77777777" w:rsidR="00DF6BFB" w:rsidRPr="000D756E" w:rsidRDefault="00DF6BFB" w:rsidP="00DF6BFB">
            <w:pPr>
              <w:jc w:val="right"/>
              <w:rPr>
                <w:rFonts w:ascii="Arial" w:hAnsi="Arial" w:cs="Arial"/>
                <w:b/>
                <w:bCs/>
                <w:sz w:val="24"/>
                <w:szCs w:val="24"/>
              </w:rPr>
            </w:pPr>
          </w:p>
          <w:p w14:paraId="2F7BEC7B" w14:textId="1CDD8923" w:rsidR="00DF6BFB" w:rsidRPr="000D756E" w:rsidRDefault="00DF6BFB" w:rsidP="00DF6BFB">
            <w:pPr>
              <w:jc w:val="right"/>
              <w:rPr>
                <w:rFonts w:ascii="Arial" w:hAnsi="Arial" w:cs="Arial"/>
                <w:b/>
                <w:sz w:val="24"/>
                <w:szCs w:val="24"/>
              </w:rPr>
            </w:pPr>
            <w:r w:rsidRPr="000D756E">
              <w:rPr>
                <w:rFonts w:ascii="Arial" w:hAnsi="Arial" w:cs="Arial"/>
                <w:b/>
                <w:bCs/>
                <w:sz w:val="24"/>
                <w:szCs w:val="24"/>
              </w:rPr>
              <w:t>89</w:t>
            </w:r>
          </w:p>
        </w:tc>
      </w:tr>
    </w:tbl>
    <w:p w14:paraId="21F7BA19" w14:textId="3354C1FF" w:rsidR="0E6F239C" w:rsidRPr="000D756E" w:rsidRDefault="0E6F239C"/>
    <w:p w14:paraId="3D23FBF8" w14:textId="77777777" w:rsidR="004B7912" w:rsidRPr="000D756E" w:rsidRDefault="004B7912" w:rsidP="002A7C01"/>
    <w:p w14:paraId="288639C1" w14:textId="77777777" w:rsidR="00040968" w:rsidRPr="000D756E" w:rsidRDefault="00FC60E9" w:rsidP="002A7C01">
      <w:r w:rsidRPr="000D756E">
        <w:br w:type="page"/>
      </w:r>
    </w:p>
    <w:p w14:paraId="406260BA" w14:textId="563DDC7D" w:rsidR="006E002A" w:rsidRPr="000D756E" w:rsidRDefault="006E002A" w:rsidP="001C227A">
      <w:pPr>
        <w:numPr>
          <w:ilvl w:val="0"/>
          <w:numId w:val="15"/>
        </w:numPr>
        <w:rPr>
          <w:rFonts w:ascii="Arial" w:hAnsi="Arial" w:cs="Arial"/>
          <w:b/>
          <w:sz w:val="24"/>
          <w:szCs w:val="24"/>
        </w:rPr>
      </w:pPr>
      <w:r w:rsidRPr="000D756E">
        <w:rPr>
          <w:rFonts w:ascii="Arial" w:hAnsi="Arial" w:cs="Arial"/>
          <w:b/>
          <w:sz w:val="24"/>
          <w:szCs w:val="24"/>
        </w:rPr>
        <w:lastRenderedPageBreak/>
        <w:t xml:space="preserve">OFFICERS REMUNERATION </w:t>
      </w:r>
    </w:p>
    <w:p w14:paraId="1925A194" w14:textId="77777777" w:rsidR="006E002A" w:rsidRPr="000D756E" w:rsidRDefault="006E002A" w:rsidP="002A7C01">
      <w:pPr>
        <w:rPr>
          <w:rFonts w:ascii="Arial" w:hAnsi="Arial" w:cs="Arial"/>
          <w:b/>
          <w:sz w:val="24"/>
          <w:szCs w:val="24"/>
        </w:rPr>
      </w:pPr>
    </w:p>
    <w:p w14:paraId="53B474B8" w14:textId="77777777" w:rsidR="006E002A" w:rsidRPr="000D756E" w:rsidRDefault="006E002A" w:rsidP="002A7C01">
      <w:pPr>
        <w:pStyle w:val="BodyText"/>
        <w:rPr>
          <w:rFonts w:ascii="Arial" w:hAnsi="Arial" w:cs="Arial"/>
          <w:szCs w:val="24"/>
        </w:rPr>
      </w:pPr>
      <w:r w:rsidRPr="000D756E">
        <w:rPr>
          <w:rFonts w:ascii="Arial" w:hAnsi="Arial" w:cs="Arial"/>
          <w:szCs w:val="24"/>
        </w:rPr>
        <w:t>The number of employees whose remuneration, excluding pension contributions was £50,000 or more in bands of £5,000 were:</w:t>
      </w:r>
    </w:p>
    <w:p w14:paraId="4CEE9B66" w14:textId="77777777" w:rsidR="006E002A" w:rsidRPr="000D756E" w:rsidRDefault="006E002A" w:rsidP="002A7C01">
      <w:pPr>
        <w:pStyle w:val="BodyText"/>
        <w:rPr>
          <w:rFonts w:ascii="Arial" w:hAnsi="Arial" w:cs="Arial"/>
          <w:szCs w:val="24"/>
        </w:rPr>
      </w:pPr>
    </w:p>
    <w:tbl>
      <w:tblPr>
        <w:tblW w:w="7959" w:type="dxa"/>
        <w:tblInd w:w="8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41"/>
        <w:gridCol w:w="1559"/>
        <w:gridCol w:w="1559"/>
      </w:tblGrid>
      <w:tr w:rsidR="000D756E" w:rsidRPr="000D756E" w14:paraId="03BC9405" w14:textId="77777777" w:rsidTr="42AC12F0">
        <w:trPr>
          <w:cantSplit/>
          <w:trHeight w:val="449"/>
        </w:trPr>
        <w:tc>
          <w:tcPr>
            <w:tcW w:w="4841" w:type="dxa"/>
            <w:tcBorders>
              <w:top w:val="single" w:sz="4" w:space="0" w:color="auto"/>
              <w:left w:val="single" w:sz="4" w:space="0" w:color="auto"/>
              <w:bottom w:val="nil"/>
              <w:right w:val="single" w:sz="4" w:space="0" w:color="auto"/>
            </w:tcBorders>
            <w:vAlign w:val="center"/>
          </w:tcPr>
          <w:p w14:paraId="78CC68C0" w14:textId="77777777" w:rsidR="00976C56" w:rsidRPr="000D756E" w:rsidRDefault="00976C56" w:rsidP="002A7C01">
            <w:pPr>
              <w:rPr>
                <w:rFonts w:ascii="Arial" w:hAnsi="Arial" w:cs="Arial"/>
                <w:sz w:val="24"/>
                <w:szCs w:val="24"/>
              </w:rPr>
            </w:pPr>
          </w:p>
        </w:tc>
        <w:tc>
          <w:tcPr>
            <w:tcW w:w="3118" w:type="dxa"/>
            <w:gridSpan w:val="2"/>
            <w:tcBorders>
              <w:top w:val="single" w:sz="4" w:space="0" w:color="auto"/>
              <w:left w:val="single" w:sz="4" w:space="0" w:color="auto"/>
              <w:bottom w:val="single" w:sz="4" w:space="0" w:color="auto"/>
            </w:tcBorders>
            <w:vAlign w:val="center"/>
          </w:tcPr>
          <w:p w14:paraId="54DB7FA4" w14:textId="77777777" w:rsidR="00976C56" w:rsidRPr="000D756E" w:rsidRDefault="00976C56" w:rsidP="00A0309F">
            <w:pPr>
              <w:jc w:val="center"/>
              <w:rPr>
                <w:rFonts w:ascii="Arial" w:hAnsi="Arial" w:cs="Arial"/>
                <w:b/>
                <w:sz w:val="24"/>
                <w:szCs w:val="24"/>
              </w:rPr>
            </w:pPr>
            <w:r w:rsidRPr="000D756E">
              <w:rPr>
                <w:rFonts w:ascii="Arial" w:hAnsi="Arial" w:cs="Arial"/>
                <w:b/>
                <w:sz w:val="24"/>
                <w:szCs w:val="24"/>
              </w:rPr>
              <w:t>Number of Employees</w:t>
            </w:r>
          </w:p>
        </w:tc>
      </w:tr>
      <w:tr w:rsidR="000D756E" w:rsidRPr="000D756E" w14:paraId="146C84B7" w14:textId="77777777" w:rsidTr="42AC12F0">
        <w:trPr>
          <w:trHeight w:val="423"/>
        </w:trPr>
        <w:tc>
          <w:tcPr>
            <w:tcW w:w="4841" w:type="dxa"/>
            <w:tcBorders>
              <w:top w:val="nil"/>
              <w:left w:val="single" w:sz="4" w:space="0" w:color="auto"/>
              <w:bottom w:val="single" w:sz="4" w:space="0" w:color="auto"/>
              <w:right w:val="single" w:sz="4" w:space="0" w:color="auto"/>
            </w:tcBorders>
            <w:vAlign w:val="center"/>
          </w:tcPr>
          <w:p w14:paraId="74872455" w14:textId="77777777" w:rsidR="00123EBE" w:rsidRPr="000D756E" w:rsidRDefault="00123EBE" w:rsidP="00123EBE">
            <w:pPr>
              <w:rPr>
                <w:rFonts w:ascii="Arial" w:hAnsi="Arial" w:cs="Arial"/>
                <w:b/>
                <w:sz w:val="24"/>
                <w:szCs w:val="24"/>
              </w:rPr>
            </w:pPr>
            <w:r w:rsidRPr="000D756E">
              <w:rPr>
                <w:rFonts w:ascii="Arial" w:hAnsi="Arial" w:cs="Arial"/>
                <w:b/>
                <w:sz w:val="24"/>
                <w:szCs w:val="24"/>
              </w:rPr>
              <w:t>Remuneration band</w:t>
            </w:r>
          </w:p>
        </w:tc>
        <w:tc>
          <w:tcPr>
            <w:tcW w:w="1559" w:type="dxa"/>
            <w:tcBorders>
              <w:top w:val="single" w:sz="4" w:space="0" w:color="auto"/>
              <w:left w:val="single" w:sz="4" w:space="0" w:color="auto"/>
              <w:bottom w:val="single" w:sz="4" w:space="0" w:color="auto"/>
            </w:tcBorders>
            <w:vAlign w:val="center"/>
          </w:tcPr>
          <w:p w14:paraId="7F89CAA2" w14:textId="0C398B49" w:rsidR="00123EBE" w:rsidRPr="000D756E" w:rsidRDefault="00123EBE" w:rsidP="00123EBE">
            <w:pPr>
              <w:jc w:val="center"/>
              <w:rPr>
                <w:rFonts w:ascii="Arial" w:hAnsi="Arial" w:cs="Arial"/>
                <w:b/>
                <w:sz w:val="24"/>
                <w:szCs w:val="24"/>
              </w:rPr>
            </w:pPr>
            <w:r w:rsidRPr="000D756E">
              <w:rPr>
                <w:rFonts w:ascii="Arial" w:hAnsi="Arial" w:cs="Arial"/>
                <w:b/>
                <w:sz w:val="24"/>
                <w:szCs w:val="24"/>
              </w:rPr>
              <w:t>202</w:t>
            </w:r>
            <w:r w:rsidR="00DF6BFB">
              <w:rPr>
                <w:rFonts w:ascii="Arial" w:hAnsi="Arial" w:cs="Arial"/>
                <w:b/>
                <w:sz w:val="24"/>
                <w:szCs w:val="24"/>
              </w:rPr>
              <w:t>4/25</w:t>
            </w:r>
          </w:p>
        </w:tc>
        <w:tc>
          <w:tcPr>
            <w:tcW w:w="1559" w:type="dxa"/>
            <w:tcBorders>
              <w:top w:val="single" w:sz="4" w:space="0" w:color="auto"/>
              <w:left w:val="single" w:sz="4" w:space="0" w:color="auto"/>
              <w:bottom w:val="single" w:sz="4" w:space="0" w:color="auto"/>
            </w:tcBorders>
            <w:vAlign w:val="center"/>
          </w:tcPr>
          <w:p w14:paraId="642FAF7F" w14:textId="46DE1B64" w:rsidR="00123EBE" w:rsidRPr="000D756E" w:rsidRDefault="00123EBE" w:rsidP="00123EBE">
            <w:pPr>
              <w:jc w:val="center"/>
              <w:rPr>
                <w:rFonts w:ascii="Arial" w:hAnsi="Arial" w:cs="Arial"/>
                <w:b/>
                <w:sz w:val="24"/>
                <w:szCs w:val="24"/>
              </w:rPr>
            </w:pPr>
            <w:r w:rsidRPr="000D756E">
              <w:rPr>
                <w:rFonts w:ascii="Arial" w:hAnsi="Arial" w:cs="Arial"/>
                <w:b/>
                <w:sz w:val="24"/>
                <w:szCs w:val="24"/>
              </w:rPr>
              <w:t>20</w:t>
            </w:r>
            <w:r w:rsidR="0083415C" w:rsidRPr="000D756E">
              <w:rPr>
                <w:rFonts w:ascii="Arial" w:hAnsi="Arial" w:cs="Arial"/>
                <w:b/>
                <w:sz w:val="24"/>
                <w:szCs w:val="24"/>
              </w:rPr>
              <w:t>2</w:t>
            </w:r>
            <w:r w:rsidR="00DF6BFB">
              <w:rPr>
                <w:rFonts w:ascii="Arial" w:hAnsi="Arial" w:cs="Arial"/>
                <w:b/>
                <w:sz w:val="24"/>
                <w:szCs w:val="24"/>
              </w:rPr>
              <w:t>3/24</w:t>
            </w:r>
          </w:p>
        </w:tc>
      </w:tr>
      <w:tr w:rsidR="000D756E" w:rsidRPr="000D756E" w14:paraId="6C211049" w14:textId="77777777" w:rsidTr="42AC12F0">
        <w:tc>
          <w:tcPr>
            <w:tcW w:w="4841" w:type="dxa"/>
            <w:tcBorders>
              <w:top w:val="single" w:sz="4" w:space="0" w:color="auto"/>
              <w:bottom w:val="single" w:sz="4" w:space="0" w:color="auto"/>
              <w:right w:val="single" w:sz="4" w:space="0" w:color="auto"/>
            </w:tcBorders>
          </w:tcPr>
          <w:p w14:paraId="222C1156" w14:textId="77777777" w:rsidR="00123EBE" w:rsidRPr="000D756E" w:rsidRDefault="00123EBE" w:rsidP="00123EBE">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A1D435" w14:textId="77777777" w:rsidR="00123EBE" w:rsidRPr="000D756E" w:rsidRDefault="00123EBE" w:rsidP="00123EBE">
            <w:pPr>
              <w:tabs>
                <w:tab w:val="right" w:pos="885"/>
              </w:tabs>
              <w:jc w:val="right"/>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E569F10" w14:textId="77777777" w:rsidR="00123EBE" w:rsidRPr="000D756E" w:rsidRDefault="00123EBE" w:rsidP="00123EBE">
            <w:pPr>
              <w:tabs>
                <w:tab w:val="right" w:pos="885"/>
              </w:tabs>
              <w:jc w:val="right"/>
              <w:rPr>
                <w:rFonts w:ascii="Arial" w:hAnsi="Arial" w:cs="Arial"/>
                <w:sz w:val="24"/>
                <w:szCs w:val="24"/>
              </w:rPr>
            </w:pPr>
          </w:p>
        </w:tc>
      </w:tr>
      <w:tr w:rsidR="00DF6BFB" w:rsidRPr="000D756E" w14:paraId="3611C732" w14:textId="77777777" w:rsidTr="42AC12F0">
        <w:tc>
          <w:tcPr>
            <w:tcW w:w="4841" w:type="dxa"/>
            <w:tcBorders>
              <w:top w:val="single" w:sz="4" w:space="0" w:color="auto"/>
              <w:bottom w:val="single" w:sz="4" w:space="0" w:color="auto"/>
              <w:right w:val="single" w:sz="4" w:space="0" w:color="auto"/>
            </w:tcBorders>
          </w:tcPr>
          <w:p w14:paraId="4B7ABACD" w14:textId="77777777" w:rsidR="00DF6BFB" w:rsidRPr="000D756E" w:rsidRDefault="00DF6BFB" w:rsidP="00DF6BFB">
            <w:pPr>
              <w:rPr>
                <w:rFonts w:ascii="Arial" w:hAnsi="Arial" w:cs="Arial"/>
                <w:sz w:val="24"/>
                <w:szCs w:val="24"/>
              </w:rPr>
            </w:pPr>
            <w:r w:rsidRPr="000D756E">
              <w:rPr>
                <w:rFonts w:ascii="Arial" w:hAnsi="Arial" w:cs="Arial"/>
                <w:sz w:val="24"/>
                <w:szCs w:val="24"/>
              </w:rPr>
              <w:t>£50,000 - £54,999</w:t>
            </w:r>
          </w:p>
        </w:tc>
        <w:tc>
          <w:tcPr>
            <w:tcW w:w="1559" w:type="dxa"/>
            <w:tcBorders>
              <w:top w:val="single" w:sz="4" w:space="0" w:color="auto"/>
              <w:left w:val="single" w:sz="4" w:space="0" w:color="auto"/>
              <w:bottom w:val="single" w:sz="4" w:space="0" w:color="auto"/>
              <w:right w:val="single" w:sz="4" w:space="0" w:color="auto"/>
            </w:tcBorders>
          </w:tcPr>
          <w:p w14:paraId="0681211E" w14:textId="62600DAB" w:rsidR="00DF6BFB" w:rsidRPr="00994260" w:rsidRDefault="1AAA0474" w:rsidP="00DF6BFB">
            <w:pPr>
              <w:jc w:val="center"/>
              <w:rPr>
                <w:rFonts w:ascii="Arial" w:hAnsi="Arial" w:cs="Arial"/>
                <w:sz w:val="24"/>
                <w:szCs w:val="24"/>
              </w:rPr>
            </w:pPr>
            <w:r w:rsidRPr="00994260">
              <w:rPr>
                <w:rFonts w:ascii="Arial" w:hAnsi="Arial" w:cs="Arial"/>
                <w:sz w:val="24"/>
                <w:szCs w:val="24"/>
              </w:rPr>
              <w:t>16</w:t>
            </w:r>
          </w:p>
        </w:tc>
        <w:tc>
          <w:tcPr>
            <w:tcW w:w="1559" w:type="dxa"/>
            <w:tcBorders>
              <w:top w:val="single" w:sz="4" w:space="0" w:color="auto"/>
              <w:left w:val="single" w:sz="4" w:space="0" w:color="auto"/>
              <w:bottom w:val="single" w:sz="4" w:space="0" w:color="auto"/>
              <w:right w:val="single" w:sz="4" w:space="0" w:color="auto"/>
            </w:tcBorders>
          </w:tcPr>
          <w:p w14:paraId="18CAC5C5" w14:textId="36BA9227"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29</w:t>
            </w:r>
          </w:p>
        </w:tc>
      </w:tr>
      <w:tr w:rsidR="00DF6BFB" w:rsidRPr="000D756E" w14:paraId="4024B6A9" w14:textId="77777777" w:rsidTr="42AC12F0">
        <w:tc>
          <w:tcPr>
            <w:tcW w:w="4841" w:type="dxa"/>
            <w:tcBorders>
              <w:top w:val="single" w:sz="4" w:space="0" w:color="auto"/>
              <w:bottom w:val="single" w:sz="4" w:space="0" w:color="auto"/>
              <w:right w:val="single" w:sz="4" w:space="0" w:color="auto"/>
            </w:tcBorders>
          </w:tcPr>
          <w:p w14:paraId="63139E95" w14:textId="77777777" w:rsidR="00DF6BFB" w:rsidRPr="000D756E" w:rsidRDefault="00DF6BFB" w:rsidP="00DF6BFB">
            <w:pPr>
              <w:rPr>
                <w:rFonts w:ascii="Arial" w:hAnsi="Arial" w:cs="Arial"/>
                <w:sz w:val="24"/>
                <w:szCs w:val="24"/>
              </w:rPr>
            </w:pPr>
            <w:r w:rsidRPr="000D756E">
              <w:rPr>
                <w:rFonts w:ascii="Arial" w:hAnsi="Arial" w:cs="Arial"/>
                <w:sz w:val="24"/>
                <w:szCs w:val="24"/>
              </w:rPr>
              <w:t>£55,000 - £59,999</w:t>
            </w:r>
          </w:p>
        </w:tc>
        <w:tc>
          <w:tcPr>
            <w:tcW w:w="1559" w:type="dxa"/>
            <w:tcBorders>
              <w:top w:val="single" w:sz="4" w:space="0" w:color="auto"/>
              <w:left w:val="single" w:sz="4" w:space="0" w:color="auto"/>
              <w:bottom w:val="single" w:sz="4" w:space="0" w:color="auto"/>
              <w:right w:val="single" w:sz="4" w:space="0" w:color="auto"/>
            </w:tcBorders>
          </w:tcPr>
          <w:p w14:paraId="72436171" w14:textId="5B2D74E4" w:rsidR="00DF6BFB" w:rsidRPr="00994260" w:rsidRDefault="12B93BCF" w:rsidP="00DF6BFB">
            <w:pPr>
              <w:jc w:val="center"/>
              <w:rPr>
                <w:rFonts w:ascii="Arial" w:hAnsi="Arial" w:cs="Arial"/>
                <w:sz w:val="24"/>
                <w:szCs w:val="24"/>
              </w:rPr>
            </w:pPr>
            <w:r w:rsidRPr="00994260">
              <w:rPr>
                <w:rFonts w:ascii="Arial" w:hAnsi="Arial" w:cs="Arial"/>
                <w:sz w:val="24"/>
                <w:szCs w:val="24"/>
              </w:rPr>
              <w:t>18</w:t>
            </w:r>
          </w:p>
        </w:tc>
        <w:tc>
          <w:tcPr>
            <w:tcW w:w="1559" w:type="dxa"/>
            <w:tcBorders>
              <w:top w:val="single" w:sz="4" w:space="0" w:color="auto"/>
              <w:left w:val="single" w:sz="4" w:space="0" w:color="auto"/>
              <w:bottom w:val="single" w:sz="4" w:space="0" w:color="auto"/>
              <w:right w:val="single" w:sz="4" w:space="0" w:color="auto"/>
            </w:tcBorders>
          </w:tcPr>
          <w:p w14:paraId="581BDE1C" w14:textId="5A3179EB"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11</w:t>
            </w:r>
          </w:p>
        </w:tc>
      </w:tr>
      <w:tr w:rsidR="00DF6BFB" w:rsidRPr="000D756E" w14:paraId="5B412F46" w14:textId="77777777" w:rsidTr="42AC12F0">
        <w:tc>
          <w:tcPr>
            <w:tcW w:w="4841" w:type="dxa"/>
            <w:tcBorders>
              <w:top w:val="single" w:sz="4" w:space="0" w:color="auto"/>
              <w:bottom w:val="single" w:sz="4" w:space="0" w:color="auto"/>
              <w:right w:val="single" w:sz="4" w:space="0" w:color="auto"/>
            </w:tcBorders>
          </w:tcPr>
          <w:p w14:paraId="5B803DBF" w14:textId="77777777" w:rsidR="00DF6BFB" w:rsidRPr="000D756E" w:rsidRDefault="00DF6BFB" w:rsidP="00DF6BFB">
            <w:pPr>
              <w:rPr>
                <w:rFonts w:ascii="Arial" w:hAnsi="Arial" w:cs="Arial"/>
                <w:sz w:val="24"/>
                <w:szCs w:val="24"/>
              </w:rPr>
            </w:pPr>
            <w:r w:rsidRPr="000D756E">
              <w:rPr>
                <w:rFonts w:ascii="Arial" w:hAnsi="Arial" w:cs="Arial"/>
                <w:sz w:val="24"/>
                <w:szCs w:val="24"/>
              </w:rPr>
              <w:t>£60,000 - £64,999</w:t>
            </w:r>
          </w:p>
        </w:tc>
        <w:tc>
          <w:tcPr>
            <w:tcW w:w="1559" w:type="dxa"/>
            <w:tcBorders>
              <w:top w:val="single" w:sz="4" w:space="0" w:color="auto"/>
              <w:left w:val="single" w:sz="4" w:space="0" w:color="auto"/>
              <w:bottom w:val="single" w:sz="4" w:space="0" w:color="auto"/>
              <w:right w:val="single" w:sz="4" w:space="0" w:color="auto"/>
            </w:tcBorders>
          </w:tcPr>
          <w:p w14:paraId="21DC5E96" w14:textId="2B78D4D3" w:rsidR="00DF6BFB" w:rsidRPr="00994260" w:rsidRDefault="5C8997AA" w:rsidP="00DF6BFB">
            <w:pPr>
              <w:jc w:val="center"/>
              <w:rPr>
                <w:rFonts w:ascii="Arial" w:eastAsia="Arial" w:hAnsi="Arial" w:cs="Arial"/>
                <w:sz w:val="24"/>
                <w:szCs w:val="24"/>
              </w:rPr>
            </w:pPr>
            <w:r w:rsidRPr="00994260">
              <w:rPr>
                <w:rFonts w:ascii="Arial" w:eastAsia="Arial" w:hAnsi="Arial" w:cs="Arial"/>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295C76AA" w14:textId="3B8BDF4F"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18</w:t>
            </w:r>
          </w:p>
        </w:tc>
      </w:tr>
      <w:tr w:rsidR="00DF6BFB" w:rsidRPr="000D756E" w14:paraId="65AE06E9" w14:textId="77777777" w:rsidTr="42AC12F0">
        <w:tc>
          <w:tcPr>
            <w:tcW w:w="4841" w:type="dxa"/>
            <w:tcBorders>
              <w:top w:val="single" w:sz="4" w:space="0" w:color="auto"/>
              <w:bottom w:val="single" w:sz="4" w:space="0" w:color="auto"/>
              <w:right w:val="single" w:sz="4" w:space="0" w:color="auto"/>
            </w:tcBorders>
          </w:tcPr>
          <w:p w14:paraId="6EBF7043" w14:textId="77777777" w:rsidR="00DF6BFB" w:rsidRPr="000D756E" w:rsidRDefault="00DF6BFB" w:rsidP="00DF6BFB">
            <w:pPr>
              <w:rPr>
                <w:rFonts w:ascii="Arial" w:hAnsi="Arial" w:cs="Arial"/>
                <w:sz w:val="24"/>
                <w:szCs w:val="24"/>
              </w:rPr>
            </w:pPr>
            <w:r w:rsidRPr="000D756E">
              <w:rPr>
                <w:rFonts w:ascii="Arial" w:hAnsi="Arial" w:cs="Arial"/>
                <w:sz w:val="24"/>
                <w:szCs w:val="24"/>
              </w:rPr>
              <w:t>£65,000 - £69,999</w:t>
            </w:r>
          </w:p>
        </w:tc>
        <w:tc>
          <w:tcPr>
            <w:tcW w:w="1559" w:type="dxa"/>
            <w:tcBorders>
              <w:top w:val="single" w:sz="4" w:space="0" w:color="auto"/>
              <w:left w:val="single" w:sz="4" w:space="0" w:color="auto"/>
              <w:bottom w:val="single" w:sz="4" w:space="0" w:color="auto"/>
              <w:right w:val="single" w:sz="4" w:space="0" w:color="auto"/>
            </w:tcBorders>
          </w:tcPr>
          <w:p w14:paraId="2BBD8EA8" w14:textId="2A753D30" w:rsidR="00DF6BFB" w:rsidRPr="00994260" w:rsidRDefault="4661B3CF" w:rsidP="00DF6BFB">
            <w:pPr>
              <w:jc w:val="center"/>
              <w:rPr>
                <w:rFonts w:ascii="Arial" w:eastAsia="Arial" w:hAnsi="Arial" w:cs="Arial"/>
                <w:sz w:val="24"/>
                <w:szCs w:val="24"/>
              </w:rPr>
            </w:pPr>
            <w:r w:rsidRPr="00994260">
              <w:rPr>
                <w:rFonts w:ascii="Arial" w:eastAsia="Arial" w:hAnsi="Arial" w:cs="Arial"/>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34100574" w14:textId="00A91E16"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8</w:t>
            </w:r>
          </w:p>
        </w:tc>
      </w:tr>
      <w:tr w:rsidR="00DF6BFB" w:rsidRPr="000D756E" w14:paraId="36A1BFBA" w14:textId="77777777" w:rsidTr="42AC12F0">
        <w:tc>
          <w:tcPr>
            <w:tcW w:w="4841" w:type="dxa"/>
            <w:tcBorders>
              <w:top w:val="single" w:sz="4" w:space="0" w:color="auto"/>
              <w:bottom w:val="single" w:sz="4" w:space="0" w:color="auto"/>
              <w:right w:val="single" w:sz="4" w:space="0" w:color="auto"/>
            </w:tcBorders>
          </w:tcPr>
          <w:p w14:paraId="604BF554" w14:textId="77777777" w:rsidR="00DF6BFB" w:rsidRPr="000D756E" w:rsidRDefault="00DF6BFB" w:rsidP="00DF6BFB">
            <w:pPr>
              <w:rPr>
                <w:rFonts w:ascii="Arial" w:hAnsi="Arial" w:cs="Arial"/>
                <w:sz w:val="24"/>
                <w:szCs w:val="24"/>
              </w:rPr>
            </w:pPr>
            <w:r w:rsidRPr="000D756E">
              <w:rPr>
                <w:rFonts w:ascii="Arial" w:hAnsi="Arial" w:cs="Arial"/>
                <w:sz w:val="24"/>
                <w:szCs w:val="24"/>
              </w:rPr>
              <w:t>£70,000 - £74,999</w:t>
            </w:r>
          </w:p>
        </w:tc>
        <w:tc>
          <w:tcPr>
            <w:tcW w:w="1559" w:type="dxa"/>
            <w:tcBorders>
              <w:top w:val="single" w:sz="4" w:space="0" w:color="auto"/>
              <w:left w:val="single" w:sz="4" w:space="0" w:color="auto"/>
              <w:bottom w:val="single" w:sz="4" w:space="0" w:color="auto"/>
              <w:right w:val="single" w:sz="4" w:space="0" w:color="auto"/>
            </w:tcBorders>
          </w:tcPr>
          <w:p w14:paraId="71FBC808" w14:textId="3D29C203" w:rsidR="00DF6BFB" w:rsidRPr="00994260" w:rsidRDefault="01C8CA3A" w:rsidP="00DF6BFB">
            <w:pPr>
              <w:jc w:val="center"/>
              <w:rPr>
                <w:rFonts w:ascii="Arial" w:hAnsi="Arial" w:cs="Arial"/>
                <w:sz w:val="24"/>
                <w:szCs w:val="24"/>
              </w:rPr>
            </w:pPr>
            <w:r w:rsidRPr="00994260">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8733414" w14:textId="139436A3"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4</w:t>
            </w:r>
          </w:p>
        </w:tc>
      </w:tr>
      <w:tr w:rsidR="00DF6BFB" w:rsidRPr="000D756E" w14:paraId="6E5300A7" w14:textId="77777777" w:rsidTr="42AC12F0">
        <w:tc>
          <w:tcPr>
            <w:tcW w:w="4841" w:type="dxa"/>
            <w:tcBorders>
              <w:top w:val="single" w:sz="4" w:space="0" w:color="auto"/>
              <w:bottom w:val="single" w:sz="4" w:space="0" w:color="auto"/>
              <w:right w:val="single" w:sz="4" w:space="0" w:color="auto"/>
            </w:tcBorders>
          </w:tcPr>
          <w:p w14:paraId="764521F3" w14:textId="77777777" w:rsidR="00DF6BFB" w:rsidRPr="000D756E" w:rsidRDefault="00DF6BFB" w:rsidP="00DF6BFB">
            <w:pPr>
              <w:rPr>
                <w:rFonts w:ascii="Arial" w:hAnsi="Arial" w:cs="Arial"/>
                <w:sz w:val="24"/>
                <w:szCs w:val="24"/>
              </w:rPr>
            </w:pPr>
            <w:r w:rsidRPr="000D756E">
              <w:rPr>
                <w:rFonts w:ascii="Arial" w:hAnsi="Arial" w:cs="Arial"/>
                <w:sz w:val="24"/>
                <w:szCs w:val="24"/>
              </w:rPr>
              <w:t>£75,000 - £79,999</w:t>
            </w:r>
          </w:p>
        </w:tc>
        <w:tc>
          <w:tcPr>
            <w:tcW w:w="1559" w:type="dxa"/>
            <w:tcBorders>
              <w:top w:val="single" w:sz="4" w:space="0" w:color="auto"/>
              <w:left w:val="single" w:sz="4" w:space="0" w:color="auto"/>
              <w:bottom w:val="single" w:sz="4" w:space="0" w:color="auto"/>
              <w:right w:val="single" w:sz="4" w:space="0" w:color="auto"/>
            </w:tcBorders>
          </w:tcPr>
          <w:p w14:paraId="46105F30" w14:textId="78C4FC10" w:rsidR="00DF6BFB" w:rsidRPr="00994260" w:rsidRDefault="7454BCE1" w:rsidP="00DF6BFB">
            <w:pPr>
              <w:jc w:val="center"/>
              <w:rPr>
                <w:rFonts w:ascii="Arial" w:hAnsi="Arial" w:cs="Arial"/>
                <w:sz w:val="24"/>
                <w:szCs w:val="24"/>
              </w:rPr>
            </w:pPr>
            <w:r w:rsidRPr="00994260">
              <w:rPr>
                <w:rFonts w:ascii="Arial" w:hAnsi="Arial" w:cs="Arial"/>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57C2FC39" w14:textId="0EDCE6C5"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1</w:t>
            </w:r>
          </w:p>
        </w:tc>
      </w:tr>
      <w:tr w:rsidR="00DF6BFB" w:rsidRPr="000D756E" w14:paraId="07AE5AB9" w14:textId="77777777" w:rsidTr="42AC12F0">
        <w:tc>
          <w:tcPr>
            <w:tcW w:w="4841" w:type="dxa"/>
            <w:tcBorders>
              <w:top w:val="single" w:sz="4" w:space="0" w:color="auto"/>
              <w:bottom w:val="single" w:sz="4" w:space="0" w:color="auto"/>
              <w:right w:val="single" w:sz="4" w:space="0" w:color="auto"/>
            </w:tcBorders>
          </w:tcPr>
          <w:p w14:paraId="014D00BB" w14:textId="77777777" w:rsidR="00DF6BFB" w:rsidRPr="000D756E" w:rsidRDefault="00DF6BFB" w:rsidP="00DF6BFB">
            <w:pPr>
              <w:rPr>
                <w:rFonts w:ascii="Arial" w:hAnsi="Arial" w:cs="Arial"/>
                <w:sz w:val="24"/>
                <w:szCs w:val="24"/>
              </w:rPr>
            </w:pPr>
            <w:r w:rsidRPr="000D756E">
              <w:rPr>
                <w:rFonts w:ascii="Arial" w:hAnsi="Arial" w:cs="Arial"/>
                <w:sz w:val="24"/>
                <w:szCs w:val="24"/>
              </w:rPr>
              <w:t>£80,000 - £84,999</w:t>
            </w:r>
          </w:p>
        </w:tc>
        <w:tc>
          <w:tcPr>
            <w:tcW w:w="1559" w:type="dxa"/>
            <w:tcBorders>
              <w:top w:val="single" w:sz="4" w:space="0" w:color="auto"/>
              <w:left w:val="single" w:sz="4" w:space="0" w:color="auto"/>
              <w:bottom w:val="single" w:sz="4" w:space="0" w:color="auto"/>
              <w:right w:val="single" w:sz="4" w:space="0" w:color="auto"/>
            </w:tcBorders>
          </w:tcPr>
          <w:p w14:paraId="73074474" w14:textId="31357F3D" w:rsidR="00DF6BFB" w:rsidRPr="00994260" w:rsidRDefault="43DFEFB8" w:rsidP="00DF6BFB">
            <w:pPr>
              <w:jc w:val="center"/>
              <w:rPr>
                <w:rFonts w:ascii="Arial" w:hAnsi="Arial" w:cs="Arial"/>
                <w:sz w:val="24"/>
                <w:szCs w:val="24"/>
              </w:rPr>
            </w:pPr>
            <w:r w:rsidRPr="00994260">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23789CD" w14:textId="1AC8EF46"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2</w:t>
            </w:r>
          </w:p>
        </w:tc>
      </w:tr>
      <w:tr w:rsidR="00DF6BFB" w:rsidRPr="000D756E" w14:paraId="17830828" w14:textId="77777777" w:rsidTr="42AC12F0">
        <w:tc>
          <w:tcPr>
            <w:tcW w:w="4841" w:type="dxa"/>
            <w:tcBorders>
              <w:top w:val="single" w:sz="4" w:space="0" w:color="auto"/>
              <w:bottom w:val="single" w:sz="4" w:space="0" w:color="auto"/>
              <w:right w:val="single" w:sz="4" w:space="0" w:color="auto"/>
            </w:tcBorders>
          </w:tcPr>
          <w:p w14:paraId="46DB1CE2" w14:textId="77777777" w:rsidR="00DF6BFB" w:rsidRPr="000D756E" w:rsidRDefault="00DF6BFB" w:rsidP="00DF6BFB">
            <w:pPr>
              <w:rPr>
                <w:rFonts w:ascii="Arial" w:hAnsi="Arial" w:cs="Arial"/>
                <w:sz w:val="24"/>
                <w:szCs w:val="24"/>
              </w:rPr>
            </w:pPr>
            <w:r w:rsidRPr="000D756E">
              <w:rPr>
                <w:rFonts w:ascii="Arial" w:hAnsi="Arial" w:cs="Arial"/>
                <w:sz w:val="24"/>
                <w:szCs w:val="24"/>
              </w:rPr>
              <w:t>£85,000 - £89,999</w:t>
            </w:r>
          </w:p>
        </w:tc>
        <w:tc>
          <w:tcPr>
            <w:tcW w:w="1559" w:type="dxa"/>
            <w:tcBorders>
              <w:top w:val="single" w:sz="4" w:space="0" w:color="auto"/>
              <w:left w:val="single" w:sz="4" w:space="0" w:color="auto"/>
              <w:bottom w:val="single" w:sz="4" w:space="0" w:color="auto"/>
              <w:right w:val="single" w:sz="4" w:space="0" w:color="auto"/>
            </w:tcBorders>
          </w:tcPr>
          <w:p w14:paraId="021EC5B7" w14:textId="3FB0CB81" w:rsidR="00DF6BFB" w:rsidRPr="00994260" w:rsidRDefault="43DFEFB8" w:rsidP="00DF6BFB">
            <w:pPr>
              <w:jc w:val="center"/>
              <w:rPr>
                <w:rFonts w:ascii="Arial" w:hAnsi="Arial" w:cs="Arial"/>
                <w:sz w:val="24"/>
                <w:szCs w:val="24"/>
              </w:rPr>
            </w:pPr>
            <w:r w:rsidRPr="00994260">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67DE9E7" w14:textId="143AB53C"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0</w:t>
            </w:r>
          </w:p>
        </w:tc>
      </w:tr>
      <w:tr w:rsidR="00DF6BFB" w:rsidRPr="000D756E" w14:paraId="1D697C9C" w14:textId="77777777" w:rsidTr="42AC12F0">
        <w:tc>
          <w:tcPr>
            <w:tcW w:w="4841" w:type="dxa"/>
            <w:tcBorders>
              <w:top w:val="single" w:sz="4" w:space="0" w:color="auto"/>
              <w:bottom w:val="single" w:sz="4" w:space="0" w:color="auto"/>
              <w:right w:val="single" w:sz="4" w:space="0" w:color="auto"/>
            </w:tcBorders>
          </w:tcPr>
          <w:p w14:paraId="18DC93B7" w14:textId="77777777" w:rsidR="00DF6BFB" w:rsidRPr="000D756E" w:rsidRDefault="00DF6BFB" w:rsidP="00DF6BFB">
            <w:pPr>
              <w:rPr>
                <w:rFonts w:ascii="Arial" w:hAnsi="Arial" w:cs="Arial"/>
                <w:sz w:val="24"/>
                <w:szCs w:val="24"/>
              </w:rPr>
            </w:pPr>
            <w:r w:rsidRPr="000D756E">
              <w:rPr>
                <w:rFonts w:ascii="Arial" w:hAnsi="Arial" w:cs="Arial"/>
                <w:sz w:val="24"/>
                <w:szCs w:val="24"/>
              </w:rPr>
              <w:t>£90,000 - £94,999</w:t>
            </w:r>
          </w:p>
        </w:tc>
        <w:tc>
          <w:tcPr>
            <w:tcW w:w="1559" w:type="dxa"/>
            <w:tcBorders>
              <w:top w:val="single" w:sz="4" w:space="0" w:color="auto"/>
              <w:left w:val="single" w:sz="4" w:space="0" w:color="auto"/>
              <w:bottom w:val="single" w:sz="4" w:space="0" w:color="auto"/>
              <w:right w:val="single" w:sz="4" w:space="0" w:color="auto"/>
            </w:tcBorders>
          </w:tcPr>
          <w:p w14:paraId="478D8F5A" w14:textId="2E31E342" w:rsidR="00DF6BFB" w:rsidRPr="00994260" w:rsidRDefault="0D898E0E"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7B2033A0" w14:textId="6E2E8227"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0</w:t>
            </w:r>
          </w:p>
        </w:tc>
      </w:tr>
      <w:tr w:rsidR="00DF6BFB" w:rsidRPr="000D756E" w14:paraId="29706FC6" w14:textId="77777777" w:rsidTr="42AC12F0">
        <w:tc>
          <w:tcPr>
            <w:tcW w:w="4841" w:type="dxa"/>
            <w:tcBorders>
              <w:top w:val="single" w:sz="4" w:space="0" w:color="auto"/>
              <w:bottom w:val="single" w:sz="4" w:space="0" w:color="auto"/>
              <w:right w:val="single" w:sz="4" w:space="0" w:color="auto"/>
            </w:tcBorders>
          </w:tcPr>
          <w:p w14:paraId="72DE2D55" w14:textId="77777777" w:rsidR="00DF6BFB" w:rsidRPr="000D756E" w:rsidRDefault="00DF6BFB" w:rsidP="00DF6BFB">
            <w:pPr>
              <w:rPr>
                <w:rFonts w:ascii="Arial" w:hAnsi="Arial" w:cs="Arial"/>
                <w:sz w:val="24"/>
                <w:szCs w:val="24"/>
              </w:rPr>
            </w:pPr>
            <w:r w:rsidRPr="000D756E">
              <w:rPr>
                <w:rFonts w:ascii="Arial" w:hAnsi="Arial" w:cs="Arial"/>
                <w:sz w:val="24"/>
                <w:szCs w:val="24"/>
              </w:rPr>
              <w:t>£95,000 - £99,999</w:t>
            </w:r>
          </w:p>
        </w:tc>
        <w:tc>
          <w:tcPr>
            <w:tcW w:w="1559" w:type="dxa"/>
            <w:tcBorders>
              <w:top w:val="single" w:sz="4" w:space="0" w:color="auto"/>
              <w:left w:val="single" w:sz="4" w:space="0" w:color="auto"/>
              <w:bottom w:val="single" w:sz="4" w:space="0" w:color="auto"/>
              <w:right w:val="single" w:sz="4" w:space="0" w:color="auto"/>
            </w:tcBorders>
          </w:tcPr>
          <w:p w14:paraId="4477E3B1" w14:textId="0B73FB97" w:rsidR="00DF6BFB" w:rsidRPr="00994260" w:rsidRDefault="5F9A75D3"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0EBAA59F" w14:textId="10AD38DA"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1</w:t>
            </w:r>
          </w:p>
        </w:tc>
      </w:tr>
      <w:tr w:rsidR="00DF6BFB" w:rsidRPr="000D756E" w14:paraId="26A7F2CE" w14:textId="77777777" w:rsidTr="42AC12F0">
        <w:tc>
          <w:tcPr>
            <w:tcW w:w="4841" w:type="dxa"/>
            <w:tcBorders>
              <w:top w:val="single" w:sz="4" w:space="0" w:color="auto"/>
              <w:bottom w:val="single" w:sz="4" w:space="0" w:color="auto"/>
              <w:right w:val="single" w:sz="4" w:space="0" w:color="auto"/>
            </w:tcBorders>
          </w:tcPr>
          <w:p w14:paraId="597CBC72" w14:textId="77777777" w:rsidR="00DF6BFB" w:rsidRPr="000D756E" w:rsidRDefault="00DF6BFB" w:rsidP="00DF6BFB">
            <w:pPr>
              <w:rPr>
                <w:rFonts w:ascii="Arial" w:hAnsi="Arial" w:cs="Arial"/>
                <w:sz w:val="24"/>
                <w:szCs w:val="24"/>
              </w:rPr>
            </w:pPr>
            <w:r w:rsidRPr="000D756E">
              <w:rPr>
                <w:rFonts w:ascii="Arial" w:hAnsi="Arial" w:cs="Arial"/>
                <w:sz w:val="24"/>
                <w:szCs w:val="24"/>
              </w:rPr>
              <w:t>£100,000 - £104,999</w:t>
            </w:r>
          </w:p>
        </w:tc>
        <w:tc>
          <w:tcPr>
            <w:tcW w:w="1559" w:type="dxa"/>
            <w:tcBorders>
              <w:top w:val="single" w:sz="4" w:space="0" w:color="auto"/>
              <w:left w:val="single" w:sz="4" w:space="0" w:color="auto"/>
              <w:bottom w:val="single" w:sz="4" w:space="0" w:color="auto"/>
              <w:right w:val="single" w:sz="4" w:space="0" w:color="auto"/>
            </w:tcBorders>
          </w:tcPr>
          <w:p w14:paraId="1DD1D3BC" w14:textId="28E65EDE" w:rsidR="00DF6BFB" w:rsidRPr="00994260" w:rsidRDefault="5F9A75D3"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04E6D5E2" w14:textId="7A50463F"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0</w:t>
            </w:r>
          </w:p>
        </w:tc>
      </w:tr>
      <w:tr w:rsidR="00DF6BFB" w:rsidRPr="000D756E" w14:paraId="526D6BA2" w14:textId="77777777" w:rsidTr="42AC12F0">
        <w:tc>
          <w:tcPr>
            <w:tcW w:w="4841" w:type="dxa"/>
            <w:tcBorders>
              <w:top w:val="single" w:sz="4" w:space="0" w:color="auto"/>
              <w:bottom w:val="single" w:sz="4" w:space="0" w:color="auto"/>
              <w:right w:val="single" w:sz="4" w:space="0" w:color="auto"/>
            </w:tcBorders>
          </w:tcPr>
          <w:p w14:paraId="141A890D" w14:textId="77777777" w:rsidR="00DF6BFB" w:rsidRPr="000D756E" w:rsidRDefault="00DF6BFB" w:rsidP="00DF6BFB">
            <w:pPr>
              <w:rPr>
                <w:rFonts w:ascii="Arial" w:hAnsi="Arial" w:cs="Arial"/>
                <w:sz w:val="24"/>
                <w:szCs w:val="24"/>
              </w:rPr>
            </w:pPr>
            <w:r w:rsidRPr="000D756E">
              <w:rPr>
                <w:rFonts w:ascii="Arial" w:hAnsi="Arial" w:cs="Arial"/>
                <w:sz w:val="24"/>
                <w:szCs w:val="24"/>
              </w:rPr>
              <w:t>£105,000 - £109,999</w:t>
            </w:r>
          </w:p>
        </w:tc>
        <w:tc>
          <w:tcPr>
            <w:tcW w:w="1559" w:type="dxa"/>
            <w:tcBorders>
              <w:top w:val="single" w:sz="4" w:space="0" w:color="auto"/>
              <w:left w:val="single" w:sz="4" w:space="0" w:color="auto"/>
              <w:bottom w:val="single" w:sz="4" w:space="0" w:color="auto"/>
              <w:right w:val="single" w:sz="4" w:space="0" w:color="auto"/>
            </w:tcBorders>
          </w:tcPr>
          <w:p w14:paraId="570CE069" w14:textId="00249106" w:rsidR="00DF6BFB" w:rsidRPr="00994260" w:rsidRDefault="5F9A75D3"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36D9891A" w14:textId="4C67B5E6"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0</w:t>
            </w:r>
          </w:p>
        </w:tc>
      </w:tr>
      <w:tr w:rsidR="00DF6BFB" w:rsidRPr="000D756E" w14:paraId="7CE1E4E4" w14:textId="77777777" w:rsidTr="42AC12F0">
        <w:tc>
          <w:tcPr>
            <w:tcW w:w="4841" w:type="dxa"/>
            <w:tcBorders>
              <w:top w:val="single" w:sz="4" w:space="0" w:color="auto"/>
              <w:bottom w:val="single" w:sz="4" w:space="0" w:color="auto"/>
              <w:right w:val="single" w:sz="4" w:space="0" w:color="auto"/>
            </w:tcBorders>
          </w:tcPr>
          <w:p w14:paraId="4AC700BD" w14:textId="77777777" w:rsidR="00DF6BFB" w:rsidRPr="000D756E" w:rsidRDefault="00DF6BFB" w:rsidP="00DF6BFB">
            <w:pPr>
              <w:rPr>
                <w:rFonts w:ascii="Arial" w:hAnsi="Arial" w:cs="Arial"/>
                <w:sz w:val="24"/>
                <w:szCs w:val="24"/>
              </w:rPr>
            </w:pPr>
            <w:r w:rsidRPr="000D756E">
              <w:rPr>
                <w:rFonts w:ascii="Arial" w:hAnsi="Arial" w:cs="Arial"/>
                <w:sz w:val="24"/>
                <w:szCs w:val="24"/>
              </w:rPr>
              <w:t>£110,000 - £114,999</w:t>
            </w:r>
          </w:p>
        </w:tc>
        <w:tc>
          <w:tcPr>
            <w:tcW w:w="1559" w:type="dxa"/>
            <w:tcBorders>
              <w:top w:val="single" w:sz="4" w:space="0" w:color="auto"/>
              <w:left w:val="single" w:sz="4" w:space="0" w:color="auto"/>
              <w:bottom w:val="single" w:sz="4" w:space="0" w:color="auto"/>
              <w:right w:val="single" w:sz="4" w:space="0" w:color="auto"/>
            </w:tcBorders>
          </w:tcPr>
          <w:p w14:paraId="470D436A" w14:textId="6D26B477" w:rsidR="00DF6BFB" w:rsidRPr="00994260" w:rsidRDefault="5F9A75D3"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38C1C651" w14:textId="1C5A679B"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1</w:t>
            </w:r>
          </w:p>
        </w:tc>
      </w:tr>
      <w:tr w:rsidR="00DF6BFB" w:rsidRPr="000D756E" w14:paraId="1FCCB048" w14:textId="77777777" w:rsidTr="42AC12F0">
        <w:tc>
          <w:tcPr>
            <w:tcW w:w="4841" w:type="dxa"/>
            <w:tcBorders>
              <w:top w:val="single" w:sz="4" w:space="0" w:color="auto"/>
              <w:bottom w:val="single" w:sz="4" w:space="0" w:color="auto"/>
              <w:right w:val="single" w:sz="4" w:space="0" w:color="auto"/>
            </w:tcBorders>
          </w:tcPr>
          <w:p w14:paraId="01170C5F" w14:textId="77777777" w:rsidR="00DF6BFB" w:rsidRPr="000D756E" w:rsidRDefault="00DF6BFB" w:rsidP="00DF6BFB">
            <w:pPr>
              <w:rPr>
                <w:rFonts w:ascii="Arial" w:hAnsi="Arial" w:cs="Arial"/>
                <w:sz w:val="24"/>
                <w:szCs w:val="24"/>
              </w:rPr>
            </w:pPr>
            <w:r w:rsidRPr="000D756E">
              <w:rPr>
                <w:rFonts w:ascii="Arial" w:hAnsi="Arial" w:cs="Arial"/>
                <w:sz w:val="24"/>
                <w:szCs w:val="24"/>
              </w:rPr>
              <w:t>£115,000 - £119,999</w:t>
            </w:r>
          </w:p>
        </w:tc>
        <w:tc>
          <w:tcPr>
            <w:tcW w:w="1559" w:type="dxa"/>
            <w:tcBorders>
              <w:top w:val="single" w:sz="4" w:space="0" w:color="auto"/>
              <w:left w:val="single" w:sz="4" w:space="0" w:color="auto"/>
              <w:bottom w:val="single" w:sz="4" w:space="0" w:color="auto"/>
              <w:right w:val="single" w:sz="4" w:space="0" w:color="auto"/>
            </w:tcBorders>
          </w:tcPr>
          <w:p w14:paraId="6792EE47" w14:textId="4E588177" w:rsidR="00DF6BFB" w:rsidRPr="00994260" w:rsidRDefault="1C4ACE04"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471C3291" w14:textId="26E4A343"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0</w:t>
            </w:r>
          </w:p>
        </w:tc>
      </w:tr>
      <w:tr w:rsidR="00DF6BFB" w:rsidRPr="000D756E" w14:paraId="7E431C5A" w14:textId="77777777" w:rsidTr="42AC12F0">
        <w:tc>
          <w:tcPr>
            <w:tcW w:w="4841" w:type="dxa"/>
            <w:tcBorders>
              <w:top w:val="single" w:sz="4" w:space="0" w:color="auto"/>
              <w:bottom w:val="single" w:sz="4" w:space="0" w:color="auto"/>
              <w:right w:val="single" w:sz="4" w:space="0" w:color="auto"/>
            </w:tcBorders>
          </w:tcPr>
          <w:p w14:paraId="0A937833" w14:textId="77777777" w:rsidR="00DF6BFB" w:rsidRPr="000D756E" w:rsidRDefault="00DF6BFB" w:rsidP="00DF6BFB">
            <w:pPr>
              <w:rPr>
                <w:rFonts w:ascii="Arial" w:hAnsi="Arial" w:cs="Arial"/>
                <w:sz w:val="24"/>
                <w:szCs w:val="24"/>
              </w:rPr>
            </w:pPr>
            <w:r w:rsidRPr="000D756E">
              <w:rPr>
                <w:rFonts w:ascii="Arial" w:hAnsi="Arial" w:cs="Arial"/>
                <w:sz w:val="24"/>
                <w:szCs w:val="24"/>
              </w:rPr>
              <w:t>£120,000 - £124,999</w:t>
            </w:r>
          </w:p>
        </w:tc>
        <w:tc>
          <w:tcPr>
            <w:tcW w:w="1559" w:type="dxa"/>
            <w:tcBorders>
              <w:top w:val="single" w:sz="4" w:space="0" w:color="auto"/>
              <w:left w:val="single" w:sz="4" w:space="0" w:color="auto"/>
              <w:bottom w:val="single" w:sz="4" w:space="0" w:color="auto"/>
              <w:right w:val="single" w:sz="4" w:space="0" w:color="auto"/>
            </w:tcBorders>
          </w:tcPr>
          <w:p w14:paraId="20F5E45E" w14:textId="77F4DE12" w:rsidR="00DF6BFB" w:rsidRPr="00994260" w:rsidRDefault="1C4ACE04"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2E2C8DA7" w14:textId="4815280B"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0</w:t>
            </w:r>
          </w:p>
        </w:tc>
      </w:tr>
      <w:tr w:rsidR="00DF6BFB" w:rsidRPr="000D756E" w14:paraId="05EE39D9" w14:textId="77777777" w:rsidTr="42AC12F0">
        <w:tc>
          <w:tcPr>
            <w:tcW w:w="4841" w:type="dxa"/>
            <w:tcBorders>
              <w:top w:val="single" w:sz="4" w:space="0" w:color="auto"/>
              <w:bottom w:val="single" w:sz="4" w:space="0" w:color="auto"/>
              <w:right w:val="single" w:sz="4" w:space="0" w:color="auto"/>
            </w:tcBorders>
          </w:tcPr>
          <w:p w14:paraId="23F01BB5" w14:textId="4DBA2233" w:rsidR="00DF6BFB" w:rsidRPr="000D756E" w:rsidRDefault="00DF6BFB" w:rsidP="00DF6BFB">
            <w:pPr>
              <w:rPr>
                <w:rFonts w:ascii="Arial" w:hAnsi="Arial" w:cs="Arial"/>
                <w:sz w:val="24"/>
                <w:szCs w:val="24"/>
              </w:rPr>
            </w:pPr>
            <w:r w:rsidRPr="000D756E">
              <w:rPr>
                <w:rFonts w:ascii="Arial" w:hAnsi="Arial" w:cs="Arial"/>
                <w:sz w:val="24"/>
                <w:szCs w:val="24"/>
              </w:rPr>
              <w:t>£125,000 - £129,999</w:t>
            </w:r>
          </w:p>
        </w:tc>
        <w:tc>
          <w:tcPr>
            <w:tcW w:w="1559" w:type="dxa"/>
            <w:tcBorders>
              <w:top w:val="single" w:sz="4" w:space="0" w:color="auto"/>
              <w:left w:val="single" w:sz="4" w:space="0" w:color="auto"/>
              <w:bottom w:val="single" w:sz="4" w:space="0" w:color="auto"/>
              <w:right w:val="single" w:sz="4" w:space="0" w:color="auto"/>
            </w:tcBorders>
          </w:tcPr>
          <w:p w14:paraId="63DA4793" w14:textId="1F46CC5F" w:rsidR="00DF6BFB" w:rsidRPr="00994260" w:rsidRDefault="1C4ACE04"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0398547F" w14:textId="2427BD29" w:rsidR="00DF6BFB" w:rsidRPr="000D756E" w:rsidRDefault="00DF6BFB" w:rsidP="00DF6BFB">
            <w:pPr>
              <w:tabs>
                <w:tab w:val="right" w:pos="885"/>
              </w:tabs>
              <w:jc w:val="center"/>
              <w:rPr>
                <w:rFonts w:ascii="Arial" w:hAnsi="Arial" w:cs="Arial"/>
                <w:sz w:val="24"/>
                <w:szCs w:val="24"/>
              </w:rPr>
            </w:pPr>
            <w:r w:rsidRPr="000D756E">
              <w:rPr>
                <w:rFonts w:ascii="Arial" w:eastAsia="Arial" w:hAnsi="Arial" w:cs="Arial"/>
                <w:sz w:val="24"/>
                <w:szCs w:val="24"/>
              </w:rPr>
              <w:t>0</w:t>
            </w:r>
          </w:p>
        </w:tc>
      </w:tr>
      <w:tr w:rsidR="00DF6BFB" w:rsidRPr="000D756E" w14:paraId="3F44CE52" w14:textId="77777777" w:rsidTr="42AC12F0">
        <w:trPr>
          <w:trHeight w:val="300"/>
        </w:trPr>
        <w:tc>
          <w:tcPr>
            <w:tcW w:w="4841" w:type="dxa"/>
            <w:tcBorders>
              <w:top w:val="single" w:sz="4" w:space="0" w:color="auto"/>
              <w:bottom w:val="single" w:sz="4" w:space="0" w:color="auto"/>
              <w:right w:val="single" w:sz="4" w:space="0" w:color="auto"/>
            </w:tcBorders>
          </w:tcPr>
          <w:p w14:paraId="43EF20B0" w14:textId="727D6114" w:rsidR="00DF6BFB" w:rsidRPr="000D756E" w:rsidRDefault="00DF6BFB" w:rsidP="00DF6BFB">
            <w:r w:rsidRPr="000D756E">
              <w:rPr>
                <w:rFonts w:ascii="Arial" w:eastAsia="Arial" w:hAnsi="Arial" w:cs="Arial"/>
                <w:sz w:val="24"/>
                <w:szCs w:val="24"/>
              </w:rPr>
              <w:t xml:space="preserve">£130,000 - £134,999 </w:t>
            </w:r>
          </w:p>
        </w:tc>
        <w:tc>
          <w:tcPr>
            <w:tcW w:w="1559" w:type="dxa"/>
            <w:tcBorders>
              <w:top w:val="single" w:sz="4" w:space="0" w:color="auto"/>
              <w:left w:val="single" w:sz="4" w:space="0" w:color="auto"/>
              <w:bottom w:val="single" w:sz="4" w:space="0" w:color="auto"/>
              <w:right w:val="single" w:sz="4" w:space="0" w:color="auto"/>
            </w:tcBorders>
          </w:tcPr>
          <w:p w14:paraId="4556FED1" w14:textId="73308A34" w:rsidR="00DF6BFB" w:rsidRPr="00994260" w:rsidRDefault="1C4ACE04"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0E0C9F40" w14:textId="7B18DBA9" w:rsidR="00DF6BFB" w:rsidRPr="000D756E" w:rsidRDefault="00DF6BFB" w:rsidP="00DF6BFB">
            <w:pPr>
              <w:jc w:val="center"/>
            </w:pPr>
            <w:r w:rsidRPr="000D756E">
              <w:rPr>
                <w:rFonts w:ascii="Arial" w:eastAsia="Arial" w:hAnsi="Arial" w:cs="Arial"/>
                <w:sz w:val="24"/>
                <w:szCs w:val="24"/>
              </w:rPr>
              <w:t>0</w:t>
            </w:r>
          </w:p>
        </w:tc>
      </w:tr>
      <w:tr w:rsidR="00DF6BFB" w:rsidRPr="000D756E" w14:paraId="3C27053C" w14:textId="77777777" w:rsidTr="42AC12F0">
        <w:trPr>
          <w:trHeight w:val="300"/>
        </w:trPr>
        <w:tc>
          <w:tcPr>
            <w:tcW w:w="4841" w:type="dxa"/>
            <w:tcBorders>
              <w:top w:val="single" w:sz="4" w:space="0" w:color="auto"/>
              <w:bottom w:val="single" w:sz="4" w:space="0" w:color="auto"/>
              <w:right w:val="single" w:sz="4" w:space="0" w:color="auto"/>
            </w:tcBorders>
          </w:tcPr>
          <w:p w14:paraId="7512B0ED" w14:textId="13698901" w:rsidR="00DF6BFB" w:rsidRPr="000D756E" w:rsidRDefault="00DF6BFB" w:rsidP="00DF6BFB">
            <w:r w:rsidRPr="000D756E">
              <w:rPr>
                <w:rFonts w:ascii="Arial" w:eastAsia="Arial" w:hAnsi="Arial" w:cs="Arial"/>
                <w:sz w:val="24"/>
                <w:szCs w:val="24"/>
              </w:rPr>
              <w:t xml:space="preserve">£135,000 - £139,999 </w:t>
            </w:r>
          </w:p>
        </w:tc>
        <w:tc>
          <w:tcPr>
            <w:tcW w:w="1559" w:type="dxa"/>
            <w:tcBorders>
              <w:top w:val="single" w:sz="4" w:space="0" w:color="auto"/>
              <w:left w:val="single" w:sz="4" w:space="0" w:color="auto"/>
              <w:bottom w:val="single" w:sz="4" w:space="0" w:color="auto"/>
              <w:right w:val="single" w:sz="4" w:space="0" w:color="auto"/>
            </w:tcBorders>
          </w:tcPr>
          <w:p w14:paraId="0A7AD295" w14:textId="19FCF5C5" w:rsidR="00DF6BFB" w:rsidRPr="00994260" w:rsidRDefault="6BB7A9BE"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54879DDD" w14:textId="0E2492DE" w:rsidR="00DF6BFB" w:rsidRPr="000D756E" w:rsidRDefault="00DF6BFB" w:rsidP="00DF6BFB">
            <w:pPr>
              <w:jc w:val="center"/>
            </w:pPr>
            <w:r w:rsidRPr="000D756E">
              <w:rPr>
                <w:rFonts w:ascii="Arial" w:eastAsia="Arial" w:hAnsi="Arial" w:cs="Arial"/>
                <w:sz w:val="24"/>
                <w:szCs w:val="24"/>
              </w:rPr>
              <w:t>0</w:t>
            </w:r>
          </w:p>
        </w:tc>
      </w:tr>
      <w:tr w:rsidR="00DF6BFB" w:rsidRPr="000D756E" w14:paraId="51627483" w14:textId="77777777" w:rsidTr="42AC12F0">
        <w:trPr>
          <w:trHeight w:val="300"/>
        </w:trPr>
        <w:tc>
          <w:tcPr>
            <w:tcW w:w="4841" w:type="dxa"/>
            <w:tcBorders>
              <w:top w:val="single" w:sz="4" w:space="0" w:color="auto"/>
              <w:bottom w:val="single" w:sz="4" w:space="0" w:color="auto"/>
              <w:right w:val="single" w:sz="4" w:space="0" w:color="auto"/>
            </w:tcBorders>
          </w:tcPr>
          <w:p w14:paraId="567AEA77" w14:textId="25C7624E" w:rsidR="00DF6BFB" w:rsidRPr="000D756E" w:rsidRDefault="00DF6BFB" w:rsidP="00DF6BFB">
            <w:r w:rsidRPr="000D756E">
              <w:rPr>
                <w:rFonts w:ascii="Arial" w:eastAsia="Arial" w:hAnsi="Arial" w:cs="Arial"/>
                <w:sz w:val="24"/>
                <w:szCs w:val="24"/>
              </w:rPr>
              <w:t xml:space="preserve">£140,000 - £144,999 </w:t>
            </w:r>
          </w:p>
        </w:tc>
        <w:tc>
          <w:tcPr>
            <w:tcW w:w="1559" w:type="dxa"/>
            <w:tcBorders>
              <w:top w:val="single" w:sz="4" w:space="0" w:color="auto"/>
              <w:left w:val="single" w:sz="4" w:space="0" w:color="auto"/>
              <w:bottom w:val="single" w:sz="4" w:space="0" w:color="auto"/>
              <w:right w:val="single" w:sz="4" w:space="0" w:color="auto"/>
            </w:tcBorders>
          </w:tcPr>
          <w:p w14:paraId="6EE9E4F6" w14:textId="2E293C4C" w:rsidR="00DF6BFB" w:rsidRPr="00994260" w:rsidRDefault="6BB7A9BE" w:rsidP="00DF6BFB">
            <w:pPr>
              <w:jc w:val="center"/>
              <w:rPr>
                <w:rFonts w:ascii="Arial" w:hAnsi="Arial" w:cs="Arial"/>
                <w:sz w:val="24"/>
                <w:szCs w:val="24"/>
              </w:rPr>
            </w:pPr>
            <w:r w:rsidRPr="00994260">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38DF2776" w14:textId="54ED449E" w:rsidR="00DF6BFB" w:rsidRPr="000D756E" w:rsidRDefault="00DF6BFB" w:rsidP="00DF6BFB">
            <w:pPr>
              <w:jc w:val="center"/>
            </w:pPr>
            <w:r w:rsidRPr="000D756E">
              <w:rPr>
                <w:rFonts w:ascii="Arial" w:eastAsia="Arial" w:hAnsi="Arial" w:cs="Arial"/>
                <w:sz w:val="24"/>
                <w:szCs w:val="24"/>
              </w:rPr>
              <w:t>0</w:t>
            </w:r>
          </w:p>
        </w:tc>
      </w:tr>
      <w:tr w:rsidR="00DF6BFB" w:rsidRPr="000D756E" w14:paraId="368E85BA" w14:textId="77777777" w:rsidTr="42AC12F0">
        <w:trPr>
          <w:trHeight w:val="300"/>
        </w:trPr>
        <w:tc>
          <w:tcPr>
            <w:tcW w:w="4841" w:type="dxa"/>
            <w:tcBorders>
              <w:top w:val="single" w:sz="4" w:space="0" w:color="auto"/>
              <w:bottom w:val="single" w:sz="4" w:space="0" w:color="auto"/>
              <w:right w:val="single" w:sz="4" w:space="0" w:color="auto"/>
            </w:tcBorders>
          </w:tcPr>
          <w:p w14:paraId="24CA7B48" w14:textId="597E442B" w:rsidR="00DF6BFB" w:rsidRPr="000D756E" w:rsidRDefault="00DF6BFB" w:rsidP="00DF6BFB">
            <w:r w:rsidRPr="000D756E">
              <w:rPr>
                <w:rFonts w:ascii="Arial" w:eastAsia="Arial" w:hAnsi="Arial" w:cs="Arial"/>
                <w:sz w:val="24"/>
                <w:szCs w:val="24"/>
              </w:rPr>
              <w:t xml:space="preserve">£145,000 - £149,999 </w:t>
            </w:r>
          </w:p>
        </w:tc>
        <w:tc>
          <w:tcPr>
            <w:tcW w:w="1559" w:type="dxa"/>
            <w:tcBorders>
              <w:top w:val="single" w:sz="4" w:space="0" w:color="auto"/>
              <w:left w:val="single" w:sz="4" w:space="0" w:color="auto"/>
              <w:bottom w:val="single" w:sz="4" w:space="0" w:color="auto"/>
              <w:right w:val="single" w:sz="4" w:space="0" w:color="auto"/>
            </w:tcBorders>
          </w:tcPr>
          <w:p w14:paraId="37336812" w14:textId="4DC5C519" w:rsidR="00DF6BFB" w:rsidRPr="00994260" w:rsidRDefault="0383E8E1" w:rsidP="00DF6BFB">
            <w:pPr>
              <w:jc w:val="center"/>
              <w:rPr>
                <w:rFonts w:ascii="Arial" w:hAnsi="Arial" w:cs="Arial"/>
                <w:sz w:val="24"/>
                <w:szCs w:val="24"/>
              </w:rPr>
            </w:pPr>
            <w:r w:rsidRPr="00994260">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DD0CACF" w14:textId="79310156" w:rsidR="00DF6BFB" w:rsidRPr="000D756E" w:rsidRDefault="00DF6BFB" w:rsidP="00DF6BFB">
            <w:pPr>
              <w:jc w:val="center"/>
            </w:pPr>
            <w:r w:rsidRPr="000D756E">
              <w:rPr>
                <w:rFonts w:ascii="Arial" w:eastAsia="Arial" w:hAnsi="Arial" w:cs="Arial"/>
                <w:sz w:val="24"/>
                <w:szCs w:val="24"/>
              </w:rPr>
              <w:t>1</w:t>
            </w:r>
          </w:p>
        </w:tc>
      </w:tr>
    </w:tbl>
    <w:p w14:paraId="6FA39CFB" w14:textId="77777777" w:rsidR="002400A0" w:rsidRPr="000D756E" w:rsidRDefault="002400A0" w:rsidP="002A7C01">
      <w:pPr>
        <w:tabs>
          <w:tab w:val="left" w:pos="426"/>
        </w:tabs>
        <w:rPr>
          <w:rFonts w:ascii="Arial" w:hAnsi="Arial" w:cs="Arial"/>
          <w:b/>
          <w:sz w:val="24"/>
          <w:szCs w:val="24"/>
          <w:highlight w:val="cyan"/>
        </w:rPr>
      </w:pPr>
    </w:p>
    <w:p w14:paraId="72CA45C9" w14:textId="77777777" w:rsidR="002400A0" w:rsidRPr="000D756E" w:rsidRDefault="002400A0" w:rsidP="002A7C01">
      <w:pPr>
        <w:tabs>
          <w:tab w:val="left" w:pos="426"/>
        </w:tabs>
        <w:rPr>
          <w:rFonts w:ascii="Arial" w:hAnsi="Arial" w:cs="Arial"/>
          <w:bCs/>
          <w:sz w:val="24"/>
          <w:szCs w:val="24"/>
        </w:rPr>
      </w:pPr>
      <w:r w:rsidRPr="000D756E">
        <w:rPr>
          <w:rFonts w:ascii="Arial" w:hAnsi="Arial" w:cs="Arial"/>
          <w:bCs/>
          <w:sz w:val="24"/>
          <w:szCs w:val="24"/>
        </w:rPr>
        <w:t xml:space="preserve">Where </w:t>
      </w:r>
      <w:r w:rsidR="002D3652" w:rsidRPr="000D756E">
        <w:rPr>
          <w:rFonts w:ascii="Arial" w:hAnsi="Arial" w:cs="Arial"/>
          <w:bCs/>
          <w:sz w:val="24"/>
          <w:szCs w:val="24"/>
        </w:rPr>
        <w:t>applicable, these bandings include officers whose salaries are shown in the table below.</w:t>
      </w:r>
    </w:p>
    <w:p w14:paraId="54E432EB" w14:textId="77777777" w:rsidR="002400A0" w:rsidRPr="000D756E" w:rsidRDefault="002400A0" w:rsidP="002A7C01">
      <w:pPr>
        <w:tabs>
          <w:tab w:val="left" w:pos="426"/>
        </w:tabs>
        <w:rPr>
          <w:rFonts w:ascii="Arial" w:hAnsi="Arial" w:cs="Arial"/>
          <w:b/>
          <w:sz w:val="24"/>
          <w:szCs w:val="24"/>
          <w:highlight w:val="cyan"/>
        </w:rPr>
      </w:pPr>
    </w:p>
    <w:p w14:paraId="518247CC" w14:textId="4BC14B4A" w:rsidR="006E002A" w:rsidRPr="000D756E" w:rsidRDefault="00B159D7" w:rsidP="42AC12F0">
      <w:pPr>
        <w:tabs>
          <w:tab w:val="left" w:pos="426"/>
        </w:tabs>
        <w:rPr>
          <w:rFonts w:ascii="Arial" w:hAnsi="Arial" w:cs="Arial"/>
          <w:b/>
          <w:bCs/>
          <w:sz w:val="24"/>
          <w:szCs w:val="24"/>
        </w:rPr>
      </w:pPr>
      <w:r w:rsidRPr="42AC12F0">
        <w:rPr>
          <w:rFonts w:ascii="Arial" w:hAnsi="Arial" w:cs="Arial"/>
          <w:b/>
          <w:bCs/>
          <w:sz w:val="24"/>
          <w:szCs w:val="24"/>
        </w:rPr>
        <w:t>20</w:t>
      </w:r>
      <w:r w:rsidR="00E266F0" w:rsidRPr="42AC12F0">
        <w:rPr>
          <w:rFonts w:ascii="Arial" w:hAnsi="Arial" w:cs="Arial"/>
          <w:b/>
          <w:bCs/>
          <w:sz w:val="24"/>
          <w:szCs w:val="24"/>
        </w:rPr>
        <w:t>2</w:t>
      </w:r>
      <w:r w:rsidR="5DD408EF" w:rsidRPr="42AC12F0">
        <w:rPr>
          <w:rFonts w:ascii="Arial" w:hAnsi="Arial" w:cs="Arial"/>
          <w:b/>
          <w:bCs/>
          <w:sz w:val="24"/>
          <w:szCs w:val="24"/>
        </w:rPr>
        <w:t>4</w:t>
      </w:r>
      <w:r w:rsidR="0064579E" w:rsidRPr="42AC12F0">
        <w:rPr>
          <w:rFonts w:ascii="Arial" w:hAnsi="Arial" w:cs="Arial"/>
          <w:b/>
          <w:bCs/>
          <w:sz w:val="24"/>
          <w:szCs w:val="24"/>
        </w:rPr>
        <w:t>/2</w:t>
      </w:r>
      <w:r w:rsidR="7BD2B5BB" w:rsidRPr="42AC12F0">
        <w:rPr>
          <w:rFonts w:ascii="Arial" w:hAnsi="Arial" w:cs="Arial"/>
          <w:b/>
          <w:bCs/>
          <w:sz w:val="24"/>
          <w:szCs w:val="24"/>
        </w:rPr>
        <w:t>5</w:t>
      </w:r>
    </w:p>
    <w:p w14:paraId="57FB3BC5" w14:textId="78B9FF6D" w:rsidR="42AC12F0" w:rsidRDefault="42AC12F0" w:rsidP="42AC12F0">
      <w:pPr>
        <w:tabs>
          <w:tab w:val="left" w:pos="426"/>
        </w:tabs>
        <w:rPr>
          <w:rFonts w:ascii="Arial" w:hAnsi="Arial" w:cs="Arial"/>
          <w:b/>
          <w:bCs/>
          <w:sz w:val="24"/>
          <w:szCs w:val="24"/>
        </w:rPr>
      </w:pPr>
    </w:p>
    <w:p w14:paraId="0E094291" w14:textId="77777777" w:rsidR="00040968" w:rsidRPr="000D756E" w:rsidRDefault="00040968" w:rsidP="002A7C01">
      <w:pPr>
        <w:tabs>
          <w:tab w:val="left" w:pos="426"/>
        </w:tabs>
        <w:rPr>
          <w:rFonts w:ascii="Arial" w:hAnsi="Arial" w:cs="Arial"/>
          <w:b/>
          <w:sz w:val="24"/>
          <w:szCs w:val="24"/>
        </w:rPr>
      </w:pPr>
    </w:p>
    <w:p w14:paraId="6F35806E" w14:textId="213E2422" w:rsidR="3E81E47D" w:rsidRPr="000D756E" w:rsidRDefault="006E002A" w:rsidP="3E81E47D">
      <w:pPr>
        <w:tabs>
          <w:tab w:val="left" w:pos="426"/>
        </w:tabs>
        <w:rPr>
          <w:rFonts w:ascii="Arial" w:hAnsi="Arial" w:cs="Arial"/>
          <w:sz w:val="24"/>
          <w:szCs w:val="24"/>
        </w:rPr>
      </w:pPr>
      <w:r w:rsidRPr="574A8B51">
        <w:rPr>
          <w:rFonts w:ascii="Arial" w:hAnsi="Arial" w:cs="Arial"/>
          <w:sz w:val="24"/>
          <w:szCs w:val="24"/>
        </w:rPr>
        <w:t xml:space="preserve">Senior officers’ emoluments </w:t>
      </w:r>
      <w:r w:rsidR="124A50C1" w:rsidRPr="574A8B51">
        <w:rPr>
          <w:rFonts w:ascii="Arial" w:hAnsi="Arial" w:cs="Arial"/>
          <w:sz w:val="24"/>
          <w:szCs w:val="24"/>
        </w:rPr>
        <w:t xml:space="preserve">(Chief </w:t>
      </w:r>
      <w:r w:rsidR="7F762857" w:rsidRPr="574A8B51">
        <w:rPr>
          <w:rFonts w:ascii="Arial" w:hAnsi="Arial" w:cs="Arial"/>
          <w:sz w:val="24"/>
          <w:szCs w:val="24"/>
        </w:rPr>
        <w:t xml:space="preserve">Fire </w:t>
      </w:r>
      <w:r w:rsidR="124A50C1" w:rsidRPr="574A8B51">
        <w:rPr>
          <w:rFonts w:ascii="Arial" w:hAnsi="Arial" w:cs="Arial"/>
          <w:sz w:val="24"/>
          <w:szCs w:val="24"/>
        </w:rPr>
        <w:t>Officer and persons for whom the Chief Officer is directly responsible)</w:t>
      </w:r>
    </w:p>
    <w:tbl>
      <w:tblPr>
        <w:tblStyle w:val="TableGrid"/>
        <w:tblW w:w="0" w:type="auto"/>
        <w:tblLayout w:type="fixed"/>
        <w:tblLook w:val="06A0" w:firstRow="1" w:lastRow="0" w:firstColumn="1" w:lastColumn="0" w:noHBand="1" w:noVBand="1"/>
      </w:tblPr>
      <w:tblGrid>
        <w:gridCol w:w="3300"/>
        <w:gridCol w:w="1456"/>
        <w:gridCol w:w="1065"/>
        <w:gridCol w:w="1065"/>
        <w:gridCol w:w="1065"/>
        <w:gridCol w:w="1125"/>
      </w:tblGrid>
      <w:tr w:rsidR="006329E6" w:rsidRPr="000D756E" w14:paraId="02A4166A" w14:textId="77777777" w:rsidTr="574A8B51">
        <w:trPr>
          <w:trHeight w:val="300"/>
        </w:trPr>
        <w:tc>
          <w:tcPr>
            <w:tcW w:w="3300" w:type="dxa"/>
            <w:tcMar>
              <w:top w:w="15" w:type="dxa"/>
              <w:left w:w="15" w:type="dxa"/>
              <w:right w:w="15" w:type="dxa"/>
            </w:tcMar>
            <w:vAlign w:val="center"/>
          </w:tcPr>
          <w:p w14:paraId="4A5C3E9C" w14:textId="2A10C421" w:rsidR="3E81E47D" w:rsidRPr="000D756E" w:rsidRDefault="3E81E47D"/>
        </w:tc>
        <w:tc>
          <w:tcPr>
            <w:tcW w:w="1456" w:type="dxa"/>
            <w:tcMar>
              <w:top w:w="15" w:type="dxa"/>
              <w:left w:w="15" w:type="dxa"/>
              <w:right w:w="15" w:type="dxa"/>
            </w:tcMar>
            <w:vAlign w:val="center"/>
          </w:tcPr>
          <w:p w14:paraId="1098FB99" w14:textId="4FAE405A" w:rsidR="3E81E47D" w:rsidRPr="000D756E" w:rsidRDefault="3E81E47D" w:rsidP="3E81E47D">
            <w:pPr>
              <w:jc w:val="center"/>
            </w:pPr>
            <w:r w:rsidRPr="000D756E">
              <w:rPr>
                <w:rFonts w:ascii="Arial" w:eastAsia="Arial" w:hAnsi="Arial" w:cs="Arial"/>
                <w:b/>
                <w:bCs/>
                <w:sz w:val="22"/>
                <w:szCs w:val="22"/>
              </w:rPr>
              <w:t>Salary &amp; allowances</w:t>
            </w:r>
          </w:p>
        </w:tc>
        <w:tc>
          <w:tcPr>
            <w:tcW w:w="1065" w:type="dxa"/>
            <w:tcMar>
              <w:top w:w="15" w:type="dxa"/>
              <w:left w:w="15" w:type="dxa"/>
              <w:right w:w="15" w:type="dxa"/>
            </w:tcMar>
            <w:vAlign w:val="center"/>
          </w:tcPr>
          <w:p w14:paraId="21AFCDDA" w14:textId="10B4C3BA" w:rsidR="3E81E47D" w:rsidRPr="000D756E" w:rsidRDefault="3E81E47D" w:rsidP="3E81E47D">
            <w:pPr>
              <w:jc w:val="center"/>
            </w:pPr>
            <w:r w:rsidRPr="000D756E">
              <w:rPr>
                <w:rFonts w:ascii="Arial" w:eastAsia="Arial" w:hAnsi="Arial" w:cs="Arial"/>
                <w:b/>
                <w:bCs/>
                <w:sz w:val="22"/>
                <w:szCs w:val="22"/>
              </w:rPr>
              <w:t>Benefits in kind</w:t>
            </w:r>
          </w:p>
        </w:tc>
        <w:tc>
          <w:tcPr>
            <w:tcW w:w="1065" w:type="dxa"/>
            <w:tcMar>
              <w:top w:w="15" w:type="dxa"/>
              <w:left w:w="15" w:type="dxa"/>
              <w:right w:w="15" w:type="dxa"/>
            </w:tcMar>
            <w:vAlign w:val="center"/>
          </w:tcPr>
          <w:p w14:paraId="5835AA5E" w14:textId="636ADB89" w:rsidR="3E81E47D" w:rsidRPr="000D756E" w:rsidRDefault="3E81E47D" w:rsidP="3E81E47D">
            <w:pPr>
              <w:jc w:val="center"/>
            </w:pPr>
            <w:r w:rsidRPr="000D756E">
              <w:rPr>
                <w:rFonts w:ascii="Arial" w:eastAsia="Arial" w:hAnsi="Arial" w:cs="Arial"/>
                <w:b/>
                <w:bCs/>
                <w:sz w:val="22"/>
                <w:szCs w:val="22"/>
              </w:rPr>
              <w:t>Total</w:t>
            </w:r>
          </w:p>
        </w:tc>
        <w:tc>
          <w:tcPr>
            <w:tcW w:w="1065" w:type="dxa"/>
            <w:tcMar>
              <w:top w:w="15" w:type="dxa"/>
              <w:left w:w="15" w:type="dxa"/>
              <w:right w:w="15" w:type="dxa"/>
            </w:tcMar>
            <w:vAlign w:val="center"/>
          </w:tcPr>
          <w:p w14:paraId="3BFBF5B7" w14:textId="330EC630" w:rsidR="3E81E47D" w:rsidRPr="000D756E" w:rsidRDefault="3E81E47D" w:rsidP="3E81E47D">
            <w:pPr>
              <w:jc w:val="center"/>
            </w:pPr>
            <w:r w:rsidRPr="000D756E">
              <w:rPr>
                <w:rFonts w:ascii="Arial" w:eastAsia="Arial" w:hAnsi="Arial" w:cs="Arial"/>
                <w:b/>
                <w:bCs/>
                <w:sz w:val="22"/>
                <w:szCs w:val="22"/>
              </w:rPr>
              <w:t>Pension Conts.</w:t>
            </w:r>
          </w:p>
        </w:tc>
        <w:tc>
          <w:tcPr>
            <w:tcW w:w="1125" w:type="dxa"/>
            <w:tcMar>
              <w:top w:w="15" w:type="dxa"/>
              <w:left w:w="15" w:type="dxa"/>
              <w:right w:w="15" w:type="dxa"/>
            </w:tcMar>
            <w:vAlign w:val="center"/>
          </w:tcPr>
          <w:p w14:paraId="0930EA3E" w14:textId="27B858C8" w:rsidR="3E81E47D" w:rsidRPr="000D756E" w:rsidRDefault="3E81E47D"/>
        </w:tc>
      </w:tr>
      <w:tr w:rsidR="006329E6" w:rsidRPr="000D756E" w14:paraId="01D156BB" w14:textId="77777777" w:rsidTr="574A8B51">
        <w:trPr>
          <w:trHeight w:val="300"/>
        </w:trPr>
        <w:tc>
          <w:tcPr>
            <w:tcW w:w="3300" w:type="dxa"/>
            <w:tcMar>
              <w:top w:w="15" w:type="dxa"/>
              <w:left w:w="15" w:type="dxa"/>
              <w:right w:w="15" w:type="dxa"/>
            </w:tcMar>
            <w:vAlign w:val="center"/>
          </w:tcPr>
          <w:p w14:paraId="40F9426F" w14:textId="5C5D8529" w:rsidR="3E81E47D" w:rsidRPr="000D756E" w:rsidRDefault="3E81E47D" w:rsidP="3E81E47D">
            <w:pPr>
              <w:jc w:val="center"/>
            </w:pPr>
            <w:r w:rsidRPr="000D756E">
              <w:rPr>
                <w:rFonts w:ascii="Arial" w:eastAsia="Arial" w:hAnsi="Arial" w:cs="Arial"/>
                <w:b/>
                <w:bCs/>
                <w:sz w:val="24"/>
                <w:szCs w:val="24"/>
              </w:rPr>
              <w:t>Post</w:t>
            </w:r>
          </w:p>
        </w:tc>
        <w:tc>
          <w:tcPr>
            <w:tcW w:w="1456" w:type="dxa"/>
            <w:tcMar>
              <w:top w:w="15" w:type="dxa"/>
              <w:left w:w="15" w:type="dxa"/>
              <w:right w:w="15" w:type="dxa"/>
            </w:tcMar>
            <w:vAlign w:val="center"/>
          </w:tcPr>
          <w:p w14:paraId="732AFCCF" w14:textId="104C6E1A" w:rsidR="3E81E47D" w:rsidRPr="000D756E" w:rsidRDefault="3E81E47D" w:rsidP="3E81E47D">
            <w:pPr>
              <w:jc w:val="center"/>
            </w:pPr>
            <w:r w:rsidRPr="000D756E">
              <w:rPr>
                <w:rFonts w:ascii="Arial" w:eastAsia="Arial" w:hAnsi="Arial" w:cs="Arial"/>
                <w:b/>
                <w:bCs/>
                <w:sz w:val="22"/>
                <w:szCs w:val="22"/>
              </w:rPr>
              <w:t>£</w:t>
            </w:r>
          </w:p>
        </w:tc>
        <w:tc>
          <w:tcPr>
            <w:tcW w:w="1065" w:type="dxa"/>
            <w:tcMar>
              <w:top w:w="15" w:type="dxa"/>
              <w:left w:w="15" w:type="dxa"/>
              <w:right w:w="15" w:type="dxa"/>
            </w:tcMar>
            <w:vAlign w:val="center"/>
          </w:tcPr>
          <w:p w14:paraId="7F157C29" w14:textId="50064C58" w:rsidR="3E81E47D" w:rsidRPr="000D756E" w:rsidRDefault="3E81E47D" w:rsidP="3E81E47D">
            <w:pPr>
              <w:jc w:val="center"/>
            </w:pPr>
            <w:r w:rsidRPr="000D756E">
              <w:rPr>
                <w:rFonts w:ascii="Arial" w:eastAsia="Arial" w:hAnsi="Arial" w:cs="Arial"/>
                <w:b/>
                <w:bCs/>
                <w:sz w:val="22"/>
                <w:szCs w:val="22"/>
              </w:rPr>
              <w:t>£</w:t>
            </w:r>
          </w:p>
        </w:tc>
        <w:tc>
          <w:tcPr>
            <w:tcW w:w="1065" w:type="dxa"/>
            <w:tcMar>
              <w:top w:w="15" w:type="dxa"/>
              <w:left w:w="15" w:type="dxa"/>
              <w:right w:w="15" w:type="dxa"/>
            </w:tcMar>
            <w:vAlign w:val="center"/>
          </w:tcPr>
          <w:p w14:paraId="06C3968A" w14:textId="7C3C5F8F" w:rsidR="3E81E47D" w:rsidRPr="000D756E" w:rsidRDefault="3E81E47D" w:rsidP="3E81E47D">
            <w:pPr>
              <w:jc w:val="center"/>
            </w:pPr>
            <w:r w:rsidRPr="000D756E">
              <w:rPr>
                <w:rFonts w:ascii="Arial" w:eastAsia="Arial" w:hAnsi="Arial" w:cs="Arial"/>
                <w:b/>
                <w:bCs/>
                <w:sz w:val="22"/>
                <w:szCs w:val="22"/>
              </w:rPr>
              <w:t>£</w:t>
            </w:r>
          </w:p>
        </w:tc>
        <w:tc>
          <w:tcPr>
            <w:tcW w:w="1065" w:type="dxa"/>
            <w:tcMar>
              <w:top w:w="15" w:type="dxa"/>
              <w:left w:w="15" w:type="dxa"/>
              <w:right w:w="15" w:type="dxa"/>
            </w:tcMar>
            <w:vAlign w:val="center"/>
          </w:tcPr>
          <w:p w14:paraId="6C7C3914" w14:textId="0A9D8B12" w:rsidR="3E81E47D" w:rsidRPr="000D756E" w:rsidRDefault="3E81E47D" w:rsidP="3E81E47D">
            <w:pPr>
              <w:jc w:val="center"/>
            </w:pPr>
            <w:r w:rsidRPr="000D756E">
              <w:rPr>
                <w:rFonts w:ascii="Arial" w:eastAsia="Arial" w:hAnsi="Arial" w:cs="Arial"/>
                <w:b/>
                <w:bCs/>
                <w:sz w:val="22"/>
                <w:szCs w:val="22"/>
              </w:rPr>
              <w:t>£</w:t>
            </w:r>
          </w:p>
        </w:tc>
        <w:tc>
          <w:tcPr>
            <w:tcW w:w="1125" w:type="dxa"/>
            <w:tcMar>
              <w:top w:w="15" w:type="dxa"/>
              <w:left w:w="15" w:type="dxa"/>
              <w:right w:w="15" w:type="dxa"/>
            </w:tcMar>
            <w:vAlign w:val="center"/>
          </w:tcPr>
          <w:p w14:paraId="3503E6D0" w14:textId="2CE76052" w:rsidR="3E81E47D" w:rsidRPr="000D756E" w:rsidRDefault="3E81E47D" w:rsidP="3E81E47D">
            <w:pPr>
              <w:jc w:val="center"/>
            </w:pPr>
            <w:r w:rsidRPr="000D756E">
              <w:rPr>
                <w:rFonts w:ascii="Arial" w:eastAsia="Arial" w:hAnsi="Arial" w:cs="Arial"/>
                <w:b/>
                <w:bCs/>
                <w:sz w:val="22"/>
                <w:szCs w:val="22"/>
              </w:rPr>
              <w:t>Total</w:t>
            </w:r>
          </w:p>
        </w:tc>
      </w:tr>
      <w:tr w:rsidR="006329E6" w:rsidRPr="000D756E" w14:paraId="796FBDF4" w14:textId="77777777" w:rsidTr="574A8B51">
        <w:trPr>
          <w:trHeight w:val="300"/>
        </w:trPr>
        <w:tc>
          <w:tcPr>
            <w:tcW w:w="3300" w:type="dxa"/>
            <w:tcMar>
              <w:top w:w="15" w:type="dxa"/>
              <w:left w:w="15" w:type="dxa"/>
              <w:right w:w="15" w:type="dxa"/>
            </w:tcMar>
          </w:tcPr>
          <w:p w14:paraId="2BCAD6FA" w14:textId="00D07E21" w:rsidR="3E81E47D" w:rsidRPr="000D756E" w:rsidRDefault="3E81E47D"/>
        </w:tc>
        <w:tc>
          <w:tcPr>
            <w:tcW w:w="1456" w:type="dxa"/>
            <w:tcMar>
              <w:top w:w="15" w:type="dxa"/>
              <w:left w:w="15" w:type="dxa"/>
              <w:right w:w="15" w:type="dxa"/>
            </w:tcMar>
          </w:tcPr>
          <w:p w14:paraId="1C08DD99" w14:textId="59F36B2A" w:rsidR="3E81E47D" w:rsidRPr="000D756E" w:rsidRDefault="3E81E47D"/>
        </w:tc>
        <w:tc>
          <w:tcPr>
            <w:tcW w:w="1065" w:type="dxa"/>
            <w:tcMar>
              <w:top w:w="15" w:type="dxa"/>
              <w:left w:w="15" w:type="dxa"/>
              <w:right w:w="15" w:type="dxa"/>
            </w:tcMar>
          </w:tcPr>
          <w:p w14:paraId="38451E7E" w14:textId="1C354EF6" w:rsidR="3E81E47D" w:rsidRPr="000D756E" w:rsidRDefault="3E81E47D"/>
        </w:tc>
        <w:tc>
          <w:tcPr>
            <w:tcW w:w="1065" w:type="dxa"/>
            <w:tcMar>
              <w:top w:w="15" w:type="dxa"/>
              <w:left w:w="15" w:type="dxa"/>
              <w:right w:w="15" w:type="dxa"/>
            </w:tcMar>
          </w:tcPr>
          <w:p w14:paraId="3381BB4B" w14:textId="6E7C6CAF" w:rsidR="3E81E47D" w:rsidRPr="000D756E" w:rsidRDefault="3E81E47D"/>
        </w:tc>
        <w:tc>
          <w:tcPr>
            <w:tcW w:w="1065" w:type="dxa"/>
            <w:tcMar>
              <w:top w:w="15" w:type="dxa"/>
              <w:left w:w="15" w:type="dxa"/>
              <w:right w:w="15" w:type="dxa"/>
            </w:tcMar>
          </w:tcPr>
          <w:p w14:paraId="60AFD8C3" w14:textId="5650F0B4" w:rsidR="3E81E47D" w:rsidRPr="000D756E" w:rsidRDefault="3E81E47D"/>
        </w:tc>
        <w:tc>
          <w:tcPr>
            <w:tcW w:w="1125" w:type="dxa"/>
            <w:tcMar>
              <w:top w:w="15" w:type="dxa"/>
              <w:left w:w="15" w:type="dxa"/>
              <w:right w:w="15" w:type="dxa"/>
            </w:tcMar>
            <w:vAlign w:val="center"/>
          </w:tcPr>
          <w:p w14:paraId="245F2E67" w14:textId="1D552FF1" w:rsidR="3E81E47D" w:rsidRPr="000D756E" w:rsidRDefault="3E81E47D"/>
        </w:tc>
      </w:tr>
      <w:tr w:rsidR="006329E6" w:rsidRPr="000D756E" w14:paraId="4CC6D869" w14:textId="77777777" w:rsidTr="574A8B51">
        <w:trPr>
          <w:trHeight w:val="300"/>
        </w:trPr>
        <w:tc>
          <w:tcPr>
            <w:tcW w:w="3300" w:type="dxa"/>
            <w:tcMar>
              <w:top w:w="15" w:type="dxa"/>
              <w:left w:w="15" w:type="dxa"/>
              <w:right w:w="15" w:type="dxa"/>
            </w:tcMar>
            <w:vAlign w:val="center"/>
          </w:tcPr>
          <w:p w14:paraId="193149DC" w14:textId="309824A9" w:rsidR="3E81E47D" w:rsidRPr="000D756E" w:rsidRDefault="3E81E47D" w:rsidP="2A766B46">
            <w:pPr>
              <w:rPr>
                <w:rFonts w:ascii="Arial" w:eastAsia="Arial" w:hAnsi="Arial" w:cs="Arial"/>
                <w:sz w:val="24"/>
                <w:szCs w:val="24"/>
              </w:rPr>
            </w:pPr>
            <w:r w:rsidRPr="000D756E">
              <w:rPr>
                <w:rFonts w:ascii="Arial" w:eastAsia="Arial" w:hAnsi="Arial" w:cs="Arial"/>
                <w:sz w:val="24"/>
                <w:szCs w:val="24"/>
              </w:rPr>
              <w:t xml:space="preserve">Chief Fire Officer </w:t>
            </w:r>
          </w:p>
        </w:tc>
        <w:tc>
          <w:tcPr>
            <w:tcW w:w="1456" w:type="dxa"/>
            <w:tcMar>
              <w:top w:w="15" w:type="dxa"/>
              <w:left w:w="15" w:type="dxa"/>
              <w:right w:w="15" w:type="dxa"/>
            </w:tcMar>
            <w:vAlign w:val="center"/>
          </w:tcPr>
          <w:p w14:paraId="54A33E12" w14:textId="5D507FC3" w:rsidR="3E81E47D" w:rsidRPr="000D756E" w:rsidRDefault="1A6D37E8" w:rsidP="17FF5F72">
            <w:pPr>
              <w:jc w:val="right"/>
              <w:rPr>
                <w:rFonts w:ascii="Arial" w:eastAsia="Arial" w:hAnsi="Arial" w:cs="Arial"/>
                <w:sz w:val="24"/>
                <w:szCs w:val="24"/>
              </w:rPr>
            </w:pPr>
            <w:r w:rsidRPr="574A8B51">
              <w:rPr>
                <w:rFonts w:ascii="Arial" w:eastAsia="Arial" w:hAnsi="Arial" w:cs="Arial"/>
                <w:sz w:val="24"/>
                <w:szCs w:val="24"/>
              </w:rPr>
              <w:t>130,901</w:t>
            </w:r>
          </w:p>
        </w:tc>
        <w:tc>
          <w:tcPr>
            <w:tcW w:w="1065" w:type="dxa"/>
            <w:tcMar>
              <w:top w:w="15" w:type="dxa"/>
              <w:left w:w="15" w:type="dxa"/>
              <w:right w:w="15" w:type="dxa"/>
            </w:tcMar>
            <w:vAlign w:val="center"/>
          </w:tcPr>
          <w:p w14:paraId="70C1C9FA" w14:textId="565D91B7" w:rsidR="3E81E47D" w:rsidRPr="000D756E" w:rsidRDefault="1A6D37E8" w:rsidP="4B67E96B">
            <w:pPr>
              <w:jc w:val="center"/>
              <w:rPr>
                <w:rFonts w:ascii="Arial" w:eastAsia="Arial" w:hAnsi="Arial" w:cs="Arial"/>
                <w:sz w:val="24"/>
                <w:szCs w:val="24"/>
              </w:rPr>
            </w:pPr>
            <w:r w:rsidRPr="574A8B51">
              <w:rPr>
                <w:rFonts w:ascii="Arial" w:eastAsia="Arial" w:hAnsi="Arial" w:cs="Arial"/>
                <w:sz w:val="24"/>
                <w:szCs w:val="24"/>
              </w:rPr>
              <w:t>-</w:t>
            </w:r>
          </w:p>
        </w:tc>
        <w:tc>
          <w:tcPr>
            <w:tcW w:w="1065" w:type="dxa"/>
            <w:tcMar>
              <w:top w:w="15" w:type="dxa"/>
              <w:left w:w="15" w:type="dxa"/>
              <w:right w:w="15" w:type="dxa"/>
            </w:tcMar>
            <w:vAlign w:val="center"/>
          </w:tcPr>
          <w:p w14:paraId="2F865995" w14:textId="1D3A4DE3" w:rsidR="3E81E47D" w:rsidRPr="000D756E" w:rsidRDefault="1A6D37E8" w:rsidP="1CADD3CC">
            <w:pPr>
              <w:jc w:val="right"/>
              <w:rPr>
                <w:rFonts w:ascii="Arial" w:eastAsia="Arial" w:hAnsi="Arial" w:cs="Arial"/>
                <w:sz w:val="24"/>
                <w:szCs w:val="24"/>
              </w:rPr>
            </w:pPr>
            <w:r w:rsidRPr="574A8B51">
              <w:rPr>
                <w:rFonts w:ascii="Arial" w:eastAsia="Arial" w:hAnsi="Arial" w:cs="Arial"/>
                <w:sz w:val="24"/>
                <w:szCs w:val="24"/>
              </w:rPr>
              <w:t>130</w:t>
            </w:r>
            <w:r w:rsidR="5B728370" w:rsidRPr="574A8B51">
              <w:rPr>
                <w:rFonts w:ascii="Arial" w:eastAsia="Arial" w:hAnsi="Arial" w:cs="Arial"/>
                <w:sz w:val="24"/>
                <w:szCs w:val="24"/>
              </w:rPr>
              <w:t>,</w:t>
            </w:r>
            <w:r w:rsidRPr="574A8B51">
              <w:rPr>
                <w:rFonts w:ascii="Arial" w:eastAsia="Arial" w:hAnsi="Arial" w:cs="Arial"/>
                <w:sz w:val="24"/>
                <w:szCs w:val="24"/>
              </w:rPr>
              <w:t>901</w:t>
            </w:r>
          </w:p>
        </w:tc>
        <w:tc>
          <w:tcPr>
            <w:tcW w:w="1065" w:type="dxa"/>
            <w:tcMar>
              <w:top w:w="15" w:type="dxa"/>
              <w:left w:w="15" w:type="dxa"/>
              <w:right w:w="15" w:type="dxa"/>
            </w:tcMar>
            <w:vAlign w:val="center"/>
          </w:tcPr>
          <w:p w14:paraId="3FFC71F3" w14:textId="1FF91697" w:rsidR="3E81E47D" w:rsidRPr="000D756E" w:rsidRDefault="1A6D37E8" w:rsidP="1CADD3CC">
            <w:pPr>
              <w:jc w:val="right"/>
              <w:rPr>
                <w:rFonts w:ascii="Arial" w:eastAsia="Arial" w:hAnsi="Arial" w:cs="Arial"/>
                <w:sz w:val="24"/>
                <w:szCs w:val="24"/>
              </w:rPr>
            </w:pPr>
            <w:r w:rsidRPr="574A8B51">
              <w:rPr>
                <w:rFonts w:ascii="Arial" w:eastAsia="Arial" w:hAnsi="Arial" w:cs="Arial"/>
                <w:sz w:val="24"/>
                <w:szCs w:val="24"/>
              </w:rPr>
              <w:t>53,693</w:t>
            </w:r>
          </w:p>
        </w:tc>
        <w:tc>
          <w:tcPr>
            <w:tcW w:w="1125" w:type="dxa"/>
            <w:tcMar>
              <w:top w:w="15" w:type="dxa"/>
              <w:left w:w="15" w:type="dxa"/>
              <w:right w:w="15" w:type="dxa"/>
            </w:tcMar>
            <w:vAlign w:val="center"/>
          </w:tcPr>
          <w:p w14:paraId="2FB42F07" w14:textId="35A0F85C" w:rsidR="3E81E47D" w:rsidRPr="000D756E" w:rsidRDefault="1A6D37E8" w:rsidP="1CADD3CC">
            <w:pPr>
              <w:jc w:val="right"/>
              <w:rPr>
                <w:rFonts w:ascii="Arial" w:eastAsia="Arial" w:hAnsi="Arial" w:cs="Arial"/>
                <w:sz w:val="24"/>
                <w:szCs w:val="24"/>
              </w:rPr>
            </w:pPr>
            <w:r w:rsidRPr="574A8B51">
              <w:rPr>
                <w:rFonts w:ascii="Arial" w:eastAsia="Arial" w:hAnsi="Arial" w:cs="Arial"/>
                <w:sz w:val="24"/>
                <w:szCs w:val="24"/>
              </w:rPr>
              <w:t>184,594</w:t>
            </w:r>
          </w:p>
        </w:tc>
      </w:tr>
      <w:tr w:rsidR="574A8B51" w14:paraId="388BB724" w14:textId="77777777" w:rsidTr="574A8B51">
        <w:trPr>
          <w:trHeight w:val="300"/>
        </w:trPr>
        <w:tc>
          <w:tcPr>
            <w:tcW w:w="3300" w:type="dxa"/>
            <w:tcMar>
              <w:top w:w="15" w:type="dxa"/>
              <w:left w:w="15" w:type="dxa"/>
              <w:right w:w="15" w:type="dxa"/>
            </w:tcMar>
            <w:vAlign w:val="center"/>
          </w:tcPr>
          <w:p w14:paraId="2DBEEC07" w14:textId="4ED6FD1F" w:rsidR="16F670BE" w:rsidRDefault="16F670BE" w:rsidP="574A8B51">
            <w:pPr>
              <w:rPr>
                <w:rFonts w:ascii="Arial" w:eastAsia="Arial" w:hAnsi="Arial" w:cs="Arial"/>
                <w:sz w:val="24"/>
                <w:szCs w:val="24"/>
              </w:rPr>
            </w:pPr>
            <w:r w:rsidRPr="574A8B51">
              <w:rPr>
                <w:rFonts w:ascii="Arial" w:eastAsia="Arial" w:hAnsi="Arial" w:cs="Arial"/>
                <w:sz w:val="24"/>
                <w:szCs w:val="24"/>
              </w:rPr>
              <w:t>Deputy Chief Fire Officer (July 24</w:t>
            </w:r>
            <w:r w:rsidR="703B0D90" w:rsidRPr="574A8B51">
              <w:rPr>
                <w:rFonts w:ascii="Arial" w:eastAsia="Arial" w:hAnsi="Arial" w:cs="Arial"/>
                <w:sz w:val="24"/>
                <w:szCs w:val="24"/>
              </w:rPr>
              <w:t xml:space="preserve"> – Mar 25)</w:t>
            </w:r>
          </w:p>
          <w:p w14:paraId="132B386A" w14:textId="6E142C0B" w:rsidR="574A8B51" w:rsidRDefault="574A8B51" w:rsidP="574A8B51">
            <w:pPr>
              <w:rPr>
                <w:rFonts w:ascii="Arial" w:eastAsia="Arial" w:hAnsi="Arial" w:cs="Arial"/>
                <w:sz w:val="24"/>
                <w:szCs w:val="24"/>
              </w:rPr>
            </w:pPr>
          </w:p>
        </w:tc>
        <w:tc>
          <w:tcPr>
            <w:tcW w:w="1456" w:type="dxa"/>
            <w:tcMar>
              <w:top w:w="15" w:type="dxa"/>
              <w:left w:w="15" w:type="dxa"/>
              <w:right w:w="15" w:type="dxa"/>
            </w:tcMar>
            <w:vAlign w:val="center"/>
          </w:tcPr>
          <w:p w14:paraId="23DFEB2F" w14:textId="2806C37D" w:rsidR="703B0D90" w:rsidRDefault="703B0D90" w:rsidP="574A8B51">
            <w:pPr>
              <w:jc w:val="right"/>
              <w:rPr>
                <w:rFonts w:ascii="Arial" w:eastAsia="Arial" w:hAnsi="Arial" w:cs="Arial"/>
                <w:sz w:val="24"/>
                <w:szCs w:val="24"/>
              </w:rPr>
            </w:pPr>
            <w:r w:rsidRPr="574A8B51">
              <w:rPr>
                <w:rFonts w:ascii="Arial" w:eastAsia="Arial" w:hAnsi="Arial" w:cs="Arial"/>
                <w:sz w:val="24"/>
                <w:szCs w:val="24"/>
              </w:rPr>
              <w:t>89,179</w:t>
            </w:r>
          </w:p>
        </w:tc>
        <w:tc>
          <w:tcPr>
            <w:tcW w:w="1065" w:type="dxa"/>
            <w:tcMar>
              <w:top w:w="15" w:type="dxa"/>
              <w:left w:w="15" w:type="dxa"/>
              <w:right w:w="15" w:type="dxa"/>
            </w:tcMar>
            <w:vAlign w:val="center"/>
          </w:tcPr>
          <w:p w14:paraId="41271FA4" w14:textId="6717846F" w:rsidR="703B0D90" w:rsidRDefault="703B0D90" w:rsidP="574A8B51">
            <w:pPr>
              <w:jc w:val="center"/>
              <w:rPr>
                <w:rFonts w:ascii="Arial" w:eastAsia="Arial" w:hAnsi="Arial" w:cs="Arial"/>
                <w:sz w:val="24"/>
                <w:szCs w:val="24"/>
              </w:rPr>
            </w:pPr>
            <w:r w:rsidRPr="574A8B51">
              <w:rPr>
                <w:rFonts w:ascii="Arial" w:eastAsia="Arial" w:hAnsi="Arial" w:cs="Arial"/>
                <w:sz w:val="24"/>
                <w:szCs w:val="24"/>
              </w:rPr>
              <w:t>-</w:t>
            </w:r>
          </w:p>
        </w:tc>
        <w:tc>
          <w:tcPr>
            <w:tcW w:w="1065" w:type="dxa"/>
            <w:tcMar>
              <w:top w:w="15" w:type="dxa"/>
              <w:left w:w="15" w:type="dxa"/>
              <w:right w:w="15" w:type="dxa"/>
            </w:tcMar>
            <w:vAlign w:val="center"/>
          </w:tcPr>
          <w:p w14:paraId="79534FF2" w14:textId="40B77000" w:rsidR="4097CFD2" w:rsidRDefault="4097CFD2" w:rsidP="574A8B51">
            <w:pPr>
              <w:jc w:val="right"/>
              <w:rPr>
                <w:rFonts w:ascii="Arial" w:eastAsia="Arial" w:hAnsi="Arial" w:cs="Arial"/>
                <w:sz w:val="24"/>
                <w:szCs w:val="24"/>
              </w:rPr>
            </w:pPr>
            <w:r w:rsidRPr="574A8B51">
              <w:rPr>
                <w:rFonts w:ascii="Arial" w:eastAsia="Arial" w:hAnsi="Arial" w:cs="Arial"/>
                <w:sz w:val="24"/>
                <w:szCs w:val="24"/>
              </w:rPr>
              <w:t>89,179</w:t>
            </w:r>
          </w:p>
        </w:tc>
        <w:tc>
          <w:tcPr>
            <w:tcW w:w="1065" w:type="dxa"/>
            <w:tcMar>
              <w:top w:w="15" w:type="dxa"/>
              <w:left w:w="15" w:type="dxa"/>
              <w:right w:w="15" w:type="dxa"/>
            </w:tcMar>
            <w:vAlign w:val="center"/>
          </w:tcPr>
          <w:p w14:paraId="319D34A6" w14:textId="4580E983" w:rsidR="4097CFD2" w:rsidRDefault="4097CFD2" w:rsidP="574A8B51">
            <w:pPr>
              <w:jc w:val="right"/>
              <w:rPr>
                <w:rFonts w:ascii="Arial" w:eastAsia="Arial" w:hAnsi="Arial" w:cs="Arial"/>
                <w:sz w:val="24"/>
                <w:szCs w:val="24"/>
              </w:rPr>
            </w:pPr>
            <w:r w:rsidRPr="574A8B51">
              <w:rPr>
                <w:rFonts w:ascii="Arial" w:eastAsia="Arial" w:hAnsi="Arial" w:cs="Arial"/>
                <w:sz w:val="24"/>
                <w:szCs w:val="24"/>
              </w:rPr>
              <w:t>33,531</w:t>
            </w:r>
          </w:p>
        </w:tc>
        <w:tc>
          <w:tcPr>
            <w:tcW w:w="1125" w:type="dxa"/>
            <w:tcMar>
              <w:top w:w="15" w:type="dxa"/>
              <w:left w:w="15" w:type="dxa"/>
              <w:right w:w="15" w:type="dxa"/>
            </w:tcMar>
            <w:vAlign w:val="center"/>
          </w:tcPr>
          <w:p w14:paraId="20E84BEB" w14:textId="5BA4C604" w:rsidR="578A7A01" w:rsidRDefault="578A7A01" w:rsidP="574A8B51">
            <w:pPr>
              <w:jc w:val="right"/>
              <w:rPr>
                <w:rFonts w:ascii="Arial" w:eastAsia="Arial" w:hAnsi="Arial" w:cs="Arial"/>
                <w:sz w:val="24"/>
                <w:szCs w:val="24"/>
              </w:rPr>
            </w:pPr>
            <w:r w:rsidRPr="574A8B51">
              <w:rPr>
                <w:rFonts w:ascii="Arial" w:eastAsia="Arial" w:hAnsi="Arial" w:cs="Arial"/>
                <w:sz w:val="24"/>
                <w:szCs w:val="24"/>
              </w:rPr>
              <w:t>122,710</w:t>
            </w:r>
          </w:p>
        </w:tc>
      </w:tr>
      <w:tr w:rsidR="006329E6" w:rsidRPr="000D756E" w14:paraId="0ADEE17F" w14:textId="77777777" w:rsidTr="574A8B51">
        <w:trPr>
          <w:trHeight w:val="300"/>
        </w:trPr>
        <w:tc>
          <w:tcPr>
            <w:tcW w:w="3300" w:type="dxa"/>
            <w:tcMar>
              <w:top w:w="15" w:type="dxa"/>
              <w:left w:w="15" w:type="dxa"/>
              <w:right w:w="15" w:type="dxa"/>
            </w:tcMar>
            <w:vAlign w:val="center"/>
          </w:tcPr>
          <w:p w14:paraId="275D9F95" w14:textId="0BA0254A" w:rsidR="3E81E47D" w:rsidRPr="000D756E" w:rsidRDefault="3E81E47D" w:rsidP="2A766B46">
            <w:pPr>
              <w:rPr>
                <w:rFonts w:ascii="Arial" w:eastAsia="Arial" w:hAnsi="Arial" w:cs="Arial"/>
                <w:sz w:val="24"/>
                <w:szCs w:val="24"/>
              </w:rPr>
            </w:pPr>
            <w:r w:rsidRPr="574A8B51">
              <w:rPr>
                <w:rFonts w:ascii="Arial" w:eastAsia="Arial" w:hAnsi="Arial" w:cs="Arial"/>
                <w:sz w:val="24"/>
                <w:szCs w:val="24"/>
              </w:rPr>
              <w:t xml:space="preserve">Assistant Chief Fire Officer – Corporate Services </w:t>
            </w:r>
            <w:r w:rsidR="6F7AA34B" w:rsidRPr="574A8B51">
              <w:rPr>
                <w:rFonts w:ascii="Arial" w:eastAsia="Arial" w:hAnsi="Arial" w:cs="Arial"/>
                <w:sz w:val="24"/>
                <w:szCs w:val="24"/>
              </w:rPr>
              <w:t>(Jun 24 – Aug 24)</w:t>
            </w:r>
          </w:p>
        </w:tc>
        <w:tc>
          <w:tcPr>
            <w:tcW w:w="1456" w:type="dxa"/>
            <w:tcMar>
              <w:top w:w="15" w:type="dxa"/>
              <w:left w:w="15" w:type="dxa"/>
              <w:right w:w="15" w:type="dxa"/>
            </w:tcMar>
            <w:vAlign w:val="center"/>
          </w:tcPr>
          <w:p w14:paraId="73FCCB2B" w14:textId="57F516F9" w:rsidR="3E81E47D" w:rsidRPr="000D756E" w:rsidRDefault="6F7AA34B" w:rsidP="17FF5F72">
            <w:pPr>
              <w:jc w:val="right"/>
              <w:rPr>
                <w:rFonts w:ascii="Arial" w:eastAsia="Arial" w:hAnsi="Arial" w:cs="Arial"/>
                <w:sz w:val="24"/>
                <w:szCs w:val="24"/>
              </w:rPr>
            </w:pPr>
            <w:r w:rsidRPr="574A8B51">
              <w:rPr>
                <w:rFonts w:ascii="Arial" w:eastAsia="Arial" w:hAnsi="Arial" w:cs="Arial"/>
                <w:sz w:val="24"/>
                <w:szCs w:val="24"/>
              </w:rPr>
              <w:t>26,546</w:t>
            </w:r>
          </w:p>
        </w:tc>
        <w:tc>
          <w:tcPr>
            <w:tcW w:w="1065" w:type="dxa"/>
            <w:tcMar>
              <w:top w:w="15" w:type="dxa"/>
              <w:left w:w="15" w:type="dxa"/>
              <w:right w:w="15" w:type="dxa"/>
            </w:tcMar>
            <w:vAlign w:val="center"/>
          </w:tcPr>
          <w:p w14:paraId="448FAB77" w14:textId="15ECADA7" w:rsidR="3E81E47D" w:rsidRPr="000D756E" w:rsidRDefault="6F7AA34B" w:rsidP="4B67E96B">
            <w:pPr>
              <w:jc w:val="center"/>
              <w:rPr>
                <w:rFonts w:ascii="Arial" w:eastAsia="Arial" w:hAnsi="Arial" w:cs="Arial"/>
                <w:sz w:val="24"/>
                <w:szCs w:val="24"/>
              </w:rPr>
            </w:pPr>
            <w:r w:rsidRPr="574A8B51">
              <w:rPr>
                <w:rFonts w:ascii="Arial" w:eastAsia="Arial" w:hAnsi="Arial" w:cs="Arial"/>
                <w:sz w:val="24"/>
                <w:szCs w:val="24"/>
              </w:rPr>
              <w:t>-</w:t>
            </w:r>
          </w:p>
        </w:tc>
        <w:tc>
          <w:tcPr>
            <w:tcW w:w="1065" w:type="dxa"/>
            <w:tcMar>
              <w:top w:w="15" w:type="dxa"/>
              <w:left w:w="15" w:type="dxa"/>
              <w:right w:w="15" w:type="dxa"/>
            </w:tcMar>
            <w:vAlign w:val="center"/>
          </w:tcPr>
          <w:p w14:paraId="04A631A6" w14:textId="0EC1DA3B" w:rsidR="3E81E47D" w:rsidRPr="000D756E" w:rsidRDefault="6F7AA34B" w:rsidP="1CADD3CC">
            <w:pPr>
              <w:jc w:val="right"/>
              <w:rPr>
                <w:rFonts w:ascii="Arial" w:eastAsia="Arial" w:hAnsi="Arial" w:cs="Arial"/>
                <w:sz w:val="24"/>
                <w:szCs w:val="24"/>
              </w:rPr>
            </w:pPr>
            <w:r w:rsidRPr="574A8B51">
              <w:rPr>
                <w:rFonts w:ascii="Arial" w:eastAsia="Arial" w:hAnsi="Arial" w:cs="Arial"/>
                <w:sz w:val="24"/>
                <w:szCs w:val="24"/>
              </w:rPr>
              <w:t>26,546</w:t>
            </w:r>
          </w:p>
        </w:tc>
        <w:tc>
          <w:tcPr>
            <w:tcW w:w="1065" w:type="dxa"/>
            <w:tcMar>
              <w:top w:w="15" w:type="dxa"/>
              <w:left w:w="15" w:type="dxa"/>
              <w:right w:w="15" w:type="dxa"/>
            </w:tcMar>
            <w:vAlign w:val="center"/>
          </w:tcPr>
          <w:p w14:paraId="2172EC74" w14:textId="28382CA9" w:rsidR="3E81E47D" w:rsidRPr="000D756E" w:rsidRDefault="6F7AA34B" w:rsidP="1CADD3CC">
            <w:pPr>
              <w:jc w:val="right"/>
              <w:rPr>
                <w:rFonts w:ascii="Arial" w:eastAsia="Arial" w:hAnsi="Arial" w:cs="Arial"/>
                <w:sz w:val="24"/>
                <w:szCs w:val="24"/>
              </w:rPr>
            </w:pPr>
            <w:r w:rsidRPr="574A8B51">
              <w:rPr>
                <w:rFonts w:ascii="Arial" w:eastAsia="Arial" w:hAnsi="Arial" w:cs="Arial"/>
                <w:sz w:val="24"/>
                <w:szCs w:val="24"/>
              </w:rPr>
              <w:t>9,981</w:t>
            </w:r>
          </w:p>
        </w:tc>
        <w:tc>
          <w:tcPr>
            <w:tcW w:w="1125" w:type="dxa"/>
            <w:tcMar>
              <w:top w:w="15" w:type="dxa"/>
              <w:left w:w="15" w:type="dxa"/>
              <w:right w:w="15" w:type="dxa"/>
            </w:tcMar>
            <w:vAlign w:val="center"/>
          </w:tcPr>
          <w:p w14:paraId="719D3D07" w14:textId="68270CD3" w:rsidR="3E81E47D" w:rsidRPr="000D756E" w:rsidRDefault="6F7AA34B" w:rsidP="1CADD3CC">
            <w:pPr>
              <w:jc w:val="right"/>
              <w:rPr>
                <w:rFonts w:ascii="Arial" w:eastAsia="Arial" w:hAnsi="Arial" w:cs="Arial"/>
                <w:sz w:val="24"/>
                <w:szCs w:val="24"/>
              </w:rPr>
            </w:pPr>
            <w:r w:rsidRPr="574A8B51">
              <w:rPr>
                <w:rFonts w:ascii="Arial" w:eastAsia="Arial" w:hAnsi="Arial" w:cs="Arial"/>
                <w:sz w:val="24"/>
                <w:szCs w:val="24"/>
              </w:rPr>
              <w:t>36,527</w:t>
            </w:r>
          </w:p>
        </w:tc>
      </w:tr>
      <w:tr w:rsidR="574A8B51" w14:paraId="4746F0B4" w14:textId="77777777" w:rsidTr="574A8B51">
        <w:trPr>
          <w:trHeight w:val="300"/>
        </w:trPr>
        <w:tc>
          <w:tcPr>
            <w:tcW w:w="3300" w:type="dxa"/>
            <w:tcMar>
              <w:top w:w="15" w:type="dxa"/>
              <w:left w:w="15" w:type="dxa"/>
              <w:right w:w="15" w:type="dxa"/>
            </w:tcMar>
            <w:vAlign w:val="center"/>
          </w:tcPr>
          <w:p w14:paraId="34233A6A" w14:textId="0C25F6A5" w:rsidR="66B64D7D" w:rsidRDefault="66B64D7D" w:rsidP="574A8B51">
            <w:pPr>
              <w:rPr>
                <w:rFonts w:ascii="Arial" w:eastAsia="Arial" w:hAnsi="Arial" w:cs="Arial"/>
                <w:sz w:val="24"/>
                <w:szCs w:val="24"/>
              </w:rPr>
            </w:pPr>
            <w:r w:rsidRPr="574A8B51">
              <w:rPr>
                <w:rFonts w:ascii="Arial" w:eastAsia="Arial" w:hAnsi="Arial" w:cs="Arial"/>
                <w:sz w:val="24"/>
                <w:szCs w:val="24"/>
              </w:rPr>
              <w:lastRenderedPageBreak/>
              <w:t>Assistant Chief Fire Officer – Corporate Services (Apr 24 – Oct 24)</w:t>
            </w:r>
          </w:p>
          <w:p w14:paraId="6A241331" w14:textId="58CE034E" w:rsidR="574A8B51" w:rsidRDefault="574A8B51" w:rsidP="574A8B51">
            <w:pPr>
              <w:rPr>
                <w:rFonts w:ascii="Arial" w:eastAsia="Arial" w:hAnsi="Arial" w:cs="Arial"/>
                <w:sz w:val="24"/>
                <w:szCs w:val="24"/>
              </w:rPr>
            </w:pPr>
          </w:p>
        </w:tc>
        <w:tc>
          <w:tcPr>
            <w:tcW w:w="1456" w:type="dxa"/>
            <w:tcMar>
              <w:top w:w="15" w:type="dxa"/>
              <w:left w:w="15" w:type="dxa"/>
              <w:right w:w="15" w:type="dxa"/>
            </w:tcMar>
            <w:vAlign w:val="center"/>
          </w:tcPr>
          <w:p w14:paraId="543D1C88" w14:textId="77777777" w:rsidR="00AF371C" w:rsidRDefault="00AF371C" w:rsidP="00AF371C">
            <w:pPr>
              <w:jc w:val="right"/>
              <w:rPr>
                <w:rFonts w:ascii="Arial" w:eastAsia="Arial" w:hAnsi="Arial" w:cs="Arial"/>
                <w:sz w:val="24"/>
                <w:szCs w:val="24"/>
              </w:rPr>
            </w:pPr>
            <w:r>
              <w:rPr>
                <w:rFonts w:ascii="Arial" w:eastAsia="Arial" w:hAnsi="Arial" w:cs="Arial"/>
                <w:sz w:val="24"/>
                <w:szCs w:val="24"/>
              </w:rPr>
              <w:t>95,</w:t>
            </w:r>
            <w:r w:rsidR="003846C8">
              <w:rPr>
                <w:rFonts w:ascii="Arial" w:eastAsia="Arial" w:hAnsi="Arial" w:cs="Arial"/>
                <w:sz w:val="24"/>
                <w:szCs w:val="24"/>
              </w:rPr>
              <w:t>233</w:t>
            </w:r>
          </w:p>
          <w:p w14:paraId="705EFCB2" w14:textId="60317AAE" w:rsidR="003846C8" w:rsidRDefault="003846C8" w:rsidP="00AF371C">
            <w:pPr>
              <w:jc w:val="right"/>
              <w:rPr>
                <w:rFonts w:ascii="Arial" w:eastAsia="Arial" w:hAnsi="Arial" w:cs="Arial"/>
                <w:sz w:val="24"/>
                <w:szCs w:val="24"/>
              </w:rPr>
            </w:pPr>
          </w:p>
        </w:tc>
        <w:tc>
          <w:tcPr>
            <w:tcW w:w="1065" w:type="dxa"/>
            <w:tcMar>
              <w:top w:w="15" w:type="dxa"/>
              <w:left w:w="15" w:type="dxa"/>
              <w:right w:w="15" w:type="dxa"/>
            </w:tcMar>
            <w:vAlign w:val="center"/>
          </w:tcPr>
          <w:p w14:paraId="5BD1E2B6" w14:textId="02AE854C" w:rsidR="478EA6EF" w:rsidRDefault="478EA6EF" w:rsidP="574A8B51">
            <w:pPr>
              <w:jc w:val="center"/>
              <w:rPr>
                <w:rFonts w:ascii="Arial" w:eastAsia="Arial" w:hAnsi="Arial" w:cs="Arial"/>
                <w:sz w:val="24"/>
                <w:szCs w:val="24"/>
              </w:rPr>
            </w:pPr>
            <w:r w:rsidRPr="574A8B51">
              <w:rPr>
                <w:rFonts w:ascii="Arial" w:eastAsia="Arial" w:hAnsi="Arial" w:cs="Arial"/>
                <w:sz w:val="24"/>
                <w:szCs w:val="24"/>
              </w:rPr>
              <w:t>-</w:t>
            </w:r>
          </w:p>
        </w:tc>
        <w:tc>
          <w:tcPr>
            <w:tcW w:w="1065" w:type="dxa"/>
            <w:tcMar>
              <w:top w:w="15" w:type="dxa"/>
              <w:left w:w="15" w:type="dxa"/>
              <w:right w:w="15" w:type="dxa"/>
            </w:tcMar>
            <w:vAlign w:val="center"/>
          </w:tcPr>
          <w:p w14:paraId="3DA0E3EC" w14:textId="6B21CA9E" w:rsidR="478EA6EF" w:rsidRDefault="003846C8" w:rsidP="574A8B51">
            <w:pPr>
              <w:jc w:val="right"/>
              <w:rPr>
                <w:rFonts w:ascii="Arial" w:eastAsia="Arial" w:hAnsi="Arial" w:cs="Arial"/>
                <w:sz w:val="24"/>
                <w:szCs w:val="24"/>
              </w:rPr>
            </w:pPr>
            <w:r>
              <w:rPr>
                <w:rFonts w:ascii="Arial" w:eastAsia="Arial" w:hAnsi="Arial" w:cs="Arial"/>
                <w:sz w:val="24"/>
                <w:szCs w:val="24"/>
              </w:rPr>
              <w:t>95,233</w:t>
            </w:r>
          </w:p>
        </w:tc>
        <w:tc>
          <w:tcPr>
            <w:tcW w:w="1065" w:type="dxa"/>
            <w:tcMar>
              <w:top w:w="15" w:type="dxa"/>
              <w:left w:w="15" w:type="dxa"/>
              <w:right w:w="15" w:type="dxa"/>
            </w:tcMar>
            <w:vAlign w:val="center"/>
          </w:tcPr>
          <w:p w14:paraId="60D62A5B" w14:textId="0AE5152B" w:rsidR="478EA6EF" w:rsidRDefault="478EA6EF" w:rsidP="574A8B51">
            <w:pPr>
              <w:jc w:val="right"/>
              <w:rPr>
                <w:rFonts w:ascii="Arial" w:eastAsia="Arial" w:hAnsi="Arial" w:cs="Arial"/>
                <w:sz w:val="24"/>
                <w:szCs w:val="24"/>
              </w:rPr>
            </w:pPr>
            <w:r w:rsidRPr="574A8B51">
              <w:rPr>
                <w:rFonts w:ascii="Arial" w:eastAsia="Arial" w:hAnsi="Arial" w:cs="Arial"/>
                <w:sz w:val="24"/>
                <w:szCs w:val="24"/>
              </w:rPr>
              <w:t>20,417</w:t>
            </w:r>
          </w:p>
        </w:tc>
        <w:tc>
          <w:tcPr>
            <w:tcW w:w="1125" w:type="dxa"/>
            <w:tcMar>
              <w:top w:w="15" w:type="dxa"/>
              <w:left w:w="15" w:type="dxa"/>
              <w:right w:w="15" w:type="dxa"/>
            </w:tcMar>
            <w:vAlign w:val="center"/>
          </w:tcPr>
          <w:p w14:paraId="2EC15F4C" w14:textId="5A765D50" w:rsidR="00C60D7D" w:rsidRDefault="00741758" w:rsidP="574A8B51">
            <w:pPr>
              <w:jc w:val="right"/>
              <w:rPr>
                <w:rFonts w:ascii="Arial" w:eastAsia="Arial" w:hAnsi="Arial" w:cs="Arial"/>
                <w:sz w:val="24"/>
                <w:szCs w:val="24"/>
              </w:rPr>
            </w:pPr>
            <w:r>
              <w:rPr>
                <w:rFonts w:ascii="Arial" w:eastAsia="Arial" w:hAnsi="Arial" w:cs="Arial"/>
                <w:sz w:val="24"/>
                <w:szCs w:val="24"/>
              </w:rPr>
              <w:t>115,650</w:t>
            </w:r>
          </w:p>
        </w:tc>
      </w:tr>
      <w:tr w:rsidR="006329E6" w:rsidRPr="000D756E" w14:paraId="6824915C" w14:textId="77777777" w:rsidTr="574A8B51">
        <w:trPr>
          <w:trHeight w:val="300"/>
        </w:trPr>
        <w:tc>
          <w:tcPr>
            <w:tcW w:w="3300" w:type="dxa"/>
            <w:tcMar>
              <w:top w:w="15" w:type="dxa"/>
              <w:left w:w="15" w:type="dxa"/>
              <w:right w:w="15" w:type="dxa"/>
            </w:tcMar>
            <w:vAlign w:val="center"/>
          </w:tcPr>
          <w:p w14:paraId="71A517EF" w14:textId="47AE5EFB" w:rsidR="3E81E47D" w:rsidRPr="000D756E" w:rsidRDefault="3E81E47D" w:rsidP="2A766B46">
            <w:pPr>
              <w:rPr>
                <w:rFonts w:ascii="Arial" w:eastAsia="Arial" w:hAnsi="Arial" w:cs="Arial"/>
                <w:sz w:val="24"/>
                <w:szCs w:val="24"/>
              </w:rPr>
            </w:pPr>
            <w:r w:rsidRPr="574A8B51">
              <w:rPr>
                <w:rFonts w:ascii="Arial" w:eastAsia="Arial" w:hAnsi="Arial" w:cs="Arial"/>
                <w:sz w:val="24"/>
                <w:szCs w:val="24"/>
              </w:rPr>
              <w:t>Assistant Chief Fire Officer – Service Delivery (</w:t>
            </w:r>
            <w:r w:rsidR="120E4B5C" w:rsidRPr="574A8B51">
              <w:rPr>
                <w:rFonts w:ascii="Arial" w:eastAsia="Arial" w:hAnsi="Arial" w:cs="Arial"/>
                <w:sz w:val="24"/>
                <w:szCs w:val="24"/>
              </w:rPr>
              <w:t>Jun 24)</w:t>
            </w:r>
            <w:r w:rsidRPr="574A8B51">
              <w:rPr>
                <w:rFonts w:ascii="Arial" w:eastAsia="Arial" w:hAnsi="Arial" w:cs="Arial"/>
                <w:sz w:val="24"/>
                <w:szCs w:val="24"/>
              </w:rPr>
              <w:t xml:space="preserve"> </w:t>
            </w:r>
          </w:p>
        </w:tc>
        <w:tc>
          <w:tcPr>
            <w:tcW w:w="1456" w:type="dxa"/>
            <w:tcMar>
              <w:top w:w="15" w:type="dxa"/>
              <w:left w:w="15" w:type="dxa"/>
              <w:right w:w="15" w:type="dxa"/>
            </w:tcMar>
            <w:vAlign w:val="center"/>
          </w:tcPr>
          <w:p w14:paraId="2E16256B" w14:textId="07B40BB9" w:rsidR="3E81E47D" w:rsidRPr="000D756E" w:rsidRDefault="3BC9948B" w:rsidP="17FF5F72">
            <w:pPr>
              <w:jc w:val="right"/>
              <w:rPr>
                <w:rFonts w:ascii="Arial" w:eastAsia="Arial" w:hAnsi="Arial" w:cs="Arial"/>
                <w:sz w:val="24"/>
                <w:szCs w:val="24"/>
              </w:rPr>
            </w:pPr>
            <w:r w:rsidRPr="574A8B51">
              <w:rPr>
                <w:rFonts w:ascii="Arial" w:eastAsia="Arial" w:hAnsi="Arial" w:cs="Arial"/>
                <w:sz w:val="24"/>
                <w:szCs w:val="24"/>
              </w:rPr>
              <w:t>8,125</w:t>
            </w:r>
          </w:p>
        </w:tc>
        <w:tc>
          <w:tcPr>
            <w:tcW w:w="1065" w:type="dxa"/>
            <w:tcMar>
              <w:top w:w="15" w:type="dxa"/>
              <w:left w:w="15" w:type="dxa"/>
              <w:right w:w="15" w:type="dxa"/>
            </w:tcMar>
            <w:vAlign w:val="center"/>
          </w:tcPr>
          <w:p w14:paraId="0AB6B225" w14:textId="726054A5" w:rsidR="3E81E47D" w:rsidRPr="000D756E" w:rsidRDefault="3BC9948B" w:rsidP="4B67E96B">
            <w:pPr>
              <w:jc w:val="center"/>
              <w:rPr>
                <w:rFonts w:ascii="Arial" w:eastAsia="Arial" w:hAnsi="Arial" w:cs="Arial"/>
                <w:sz w:val="24"/>
                <w:szCs w:val="24"/>
              </w:rPr>
            </w:pPr>
            <w:r w:rsidRPr="574A8B51">
              <w:rPr>
                <w:rFonts w:ascii="Arial" w:eastAsia="Arial" w:hAnsi="Arial" w:cs="Arial"/>
                <w:sz w:val="24"/>
                <w:szCs w:val="24"/>
              </w:rPr>
              <w:t>-</w:t>
            </w:r>
          </w:p>
        </w:tc>
        <w:tc>
          <w:tcPr>
            <w:tcW w:w="1065" w:type="dxa"/>
            <w:tcMar>
              <w:top w:w="15" w:type="dxa"/>
              <w:left w:w="15" w:type="dxa"/>
              <w:right w:w="15" w:type="dxa"/>
            </w:tcMar>
            <w:vAlign w:val="center"/>
          </w:tcPr>
          <w:p w14:paraId="6CCC8740" w14:textId="4A982829" w:rsidR="3E81E47D" w:rsidRPr="000D756E" w:rsidRDefault="3BC9948B" w:rsidP="1CADD3CC">
            <w:pPr>
              <w:jc w:val="right"/>
              <w:rPr>
                <w:rFonts w:ascii="Arial" w:eastAsia="Arial" w:hAnsi="Arial" w:cs="Arial"/>
                <w:sz w:val="24"/>
                <w:szCs w:val="24"/>
              </w:rPr>
            </w:pPr>
            <w:r w:rsidRPr="574A8B51">
              <w:rPr>
                <w:rFonts w:ascii="Arial" w:eastAsia="Arial" w:hAnsi="Arial" w:cs="Arial"/>
                <w:sz w:val="24"/>
                <w:szCs w:val="24"/>
              </w:rPr>
              <w:t>8,125</w:t>
            </w:r>
          </w:p>
        </w:tc>
        <w:tc>
          <w:tcPr>
            <w:tcW w:w="1065" w:type="dxa"/>
            <w:tcMar>
              <w:top w:w="15" w:type="dxa"/>
              <w:left w:w="15" w:type="dxa"/>
              <w:right w:w="15" w:type="dxa"/>
            </w:tcMar>
            <w:vAlign w:val="center"/>
          </w:tcPr>
          <w:p w14:paraId="2F1C0E5C" w14:textId="33546377" w:rsidR="3E81E47D" w:rsidRPr="000D756E" w:rsidRDefault="3BC9948B" w:rsidP="1CADD3CC">
            <w:pPr>
              <w:jc w:val="right"/>
              <w:rPr>
                <w:rFonts w:ascii="Arial" w:eastAsia="Arial" w:hAnsi="Arial" w:cs="Arial"/>
                <w:sz w:val="24"/>
                <w:szCs w:val="24"/>
              </w:rPr>
            </w:pPr>
            <w:r w:rsidRPr="574A8B51">
              <w:rPr>
                <w:rFonts w:ascii="Arial" w:eastAsia="Arial" w:hAnsi="Arial" w:cs="Arial"/>
                <w:sz w:val="24"/>
                <w:szCs w:val="24"/>
              </w:rPr>
              <w:t>3,055</w:t>
            </w:r>
          </w:p>
        </w:tc>
        <w:tc>
          <w:tcPr>
            <w:tcW w:w="1125" w:type="dxa"/>
            <w:tcMar>
              <w:top w:w="15" w:type="dxa"/>
              <w:left w:w="15" w:type="dxa"/>
              <w:right w:w="15" w:type="dxa"/>
            </w:tcMar>
            <w:vAlign w:val="center"/>
          </w:tcPr>
          <w:p w14:paraId="3CC0128E" w14:textId="736BA980" w:rsidR="3E81E47D" w:rsidRPr="000D756E" w:rsidRDefault="3BC9948B" w:rsidP="1CADD3CC">
            <w:pPr>
              <w:jc w:val="right"/>
              <w:rPr>
                <w:rFonts w:ascii="Arial" w:eastAsia="Arial" w:hAnsi="Arial" w:cs="Arial"/>
                <w:sz w:val="24"/>
                <w:szCs w:val="24"/>
              </w:rPr>
            </w:pPr>
            <w:r w:rsidRPr="574A8B51">
              <w:rPr>
                <w:rFonts w:ascii="Arial" w:eastAsia="Arial" w:hAnsi="Arial" w:cs="Arial"/>
                <w:sz w:val="24"/>
                <w:szCs w:val="24"/>
              </w:rPr>
              <w:t>11,180</w:t>
            </w:r>
          </w:p>
        </w:tc>
      </w:tr>
      <w:tr w:rsidR="006329E6" w:rsidRPr="000D756E" w14:paraId="52ABB760" w14:textId="77777777" w:rsidTr="574A8B51">
        <w:trPr>
          <w:trHeight w:val="300"/>
        </w:trPr>
        <w:tc>
          <w:tcPr>
            <w:tcW w:w="3300" w:type="dxa"/>
            <w:tcMar>
              <w:top w:w="15" w:type="dxa"/>
              <w:left w:w="15" w:type="dxa"/>
              <w:right w:w="15" w:type="dxa"/>
            </w:tcMar>
            <w:vAlign w:val="center"/>
          </w:tcPr>
          <w:p w14:paraId="24533E72" w14:textId="745B109A" w:rsidR="3E81E47D" w:rsidRPr="000D756E" w:rsidRDefault="3E81E47D" w:rsidP="2A766B46">
            <w:pPr>
              <w:rPr>
                <w:rFonts w:ascii="Arial" w:eastAsia="Arial" w:hAnsi="Arial" w:cs="Arial"/>
                <w:sz w:val="24"/>
                <w:szCs w:val="24"/>
              </w:rPr>
            </w:pPr>
            <w:r w:rsidRPr="574A8B51">
              <w:rPr>
                <w:rFonts w:ascii="Arial" w:eastAsia="Arial" w:hAnsi="Arial" w:cs="Arial"/>
                <w:sz w:val="24"/>
                <w:szCs w:val="24"/>
              </w:rPr>
              <w:t>Assistant Chief Fire Officer – Service Delivery (</w:t>
            </w:r>
            <w:r w:rsidR="365B5EB1" w:rsidRPr="574A8B51">
              <w:rPr>
                <w:rFonts w:ascii="Arial" w:eastAsia="Arial" w:hAnsi="Arial" w:cs="Arial"/>
                <w:sz w:val="24"/>
                <w:szCs w:val="24"/>
              </w:rPr>
              <w:t>Apr 24</w:t>
            </w:r>
            <w:r w:rsidRPr="574A8B51">
              <w:rPr>
                <w:rFonts w:ascii="Arial" w:eastAsia="Arial" w:hAnsi="Arial" w:cs="Arial"/>
                <w:sz w:val="24"/>
                <w:szCs w:val="24"/>
              </w:rPr>
              <w:t xml:space="preserve"> to </w:t>
            </w:r>
            <w:r w:rsidR="52E82C3C" w:rsidRPr="574A8B51">
              <w:rPr>
                <w:rFonts w:ascii="Arial" w:eastAsia="Arial" w:hAnsi="Arial" w:cs="Arial"/>
                <w:sz w:val="24"/>
                <w:szCs w:val="24"/>
              </w:rPr>
              <w:t>Jun</w:t>
            </w:r>
            <w:r w:rsidRPr="574A8B51">
              <w:rPr>
                <w:rFonts w:ascii="Arial" w:eastAsia="Arial" w:hAnsi="Arial" w:cs="Arial"/>
                <w:sz w:val="24"/>
                <w:szCs w:val="24"/>
              </w:rPr>
              <w:t xml:space="preserve"> 2</w:t>
            </w:r>
            <w:r w:rsidR="028E280B" w:rsidRPr="574A8B51">
              <w:rPr>
                <w:rFonts w:ascii="Arial" w:eastAsia="Arial" w:hAnsi="Arial" w:cs="Arial"/>
                <w:sz w:val="24"/>
                <w:szCs w:val="24"/>
              </w:rPr>
              <w:t>4</w:t>
            </w:r>
            <w:r w:rsidRPr="574A8B51">
              <w:rPr>
                <w:rFonts w:ascii="Arial" w:eastAsia="Arial" w:hAnsi="Arial" w:cs="Arial"/>
                <w:sz w:val="24"/>
                <w:szCs w:val="24"/>
              </w:rPr>
              <w:t>)</w:t>
            </w:r>
          </w:p>
        </w:tc>
        <w:tc>
          <w:tcPr>
            <w:tcW w:w="1456" w:type="dxa"/>
            <w:tcMar>
              <w:top w:w="15" w:type="dxa"/>
              <w:left w:w="15" w:type="dxa"/>
              <w:right w:w="15" w:type="dxa"/>
            </w:tcMar>
            <w:vAlign w:val="center"/>
          </w:tcPr>
          <w:p w14:paraId="14730805" w14:textId="5CA91E24" w:rsidR="3E81E47D" w:rsidRPr="000D756E" w:rsidRDefault="05FB6CC4" w:rsidP="17FF5F72">
            <w:pPr>
              <w:jc w:val="right"/>
              <w:rPr>
                <w:rFonts w:ascii="Arial" w:eastAsia="Arial" w:hAnsi="Arial" w:cs="Arial"/>
                <w:sz w:val="24"/>
                <w:szCs w:val="24"/>
              </w:rPr>
            </w:pPr>
            <w:r w:rsidRPr="574A8B51">
              <w:rPr>
                <w:rFonts w:ascii="Arial" w:eastAsia="Arial" w:hAnsi="Arial" w:cs="Arial"/>
                <w:sz w:val="24"/>
                <w:szCs w:val="24"/>
              </w:rPr>
              <w:t>18,703</w:t>
            </w:r>
          </w:p>
        </w:tc>
        <w:tc>
          <w:tcPr>
            <w:tcW w:w="1065" w:type="dxa"/>
            <w:tcMar>
              <w:top w:w="15" w:type="dxa"/>
              <w:left w:w="15" w:type="dxa"/>
              <w:right w:w="15" w:type="dxa"/>
            </w:tcMar>
            <w:vAlign w:val="center"/>
          </w:tcPr>
          <w:p w14:paraId="2D7235A4" w14:textId="476E1838" w:rsidR="3E81E47D" w:rsidRPr="000D756E" w:rsidRDefault="17A30108" w:rsidP="4B67E96B">
            <w:pPr>
              <w:jc w:val="center"/>
              <w:rPr>
                <w:rFonts w:ascii="Arial" w:eastAsia="Arial" w:hAnsi="Arial" w:cs="Arial"/>
                <w:sz w:val="24"/>
                <w:szCs w:val="24"/>
              </w:rPr>
            </w:pPr>
            <w:r w:rsidRPr="574A8B51">
              <w:rPr>
                <w:rFonts w:ascii="Arial" w:eastAsia="Arial" w:hAnsi="Arial" w:cs="Arial"/>
                <w:sz w:val="24"/>
                <w:szCs w:val="24"/>
              </w:rPr>
              <w:t>-</w:t>
            </w:r>
          </w:p>
        </w:tc>
        <w:tc>
          <w:tcPr>
            <w:tcW w:w="1065" w:type="dxa"/>
            <w:tcMar>
              <w:top w:w="15" w:type="dxa"/>
              <w:left w:w="15" w:type="dxa"/>
              <w:right w:w="15" w:type="dxa"/>
            </w:tcMar>
            <w:vAlign w:val="center"/>
          </w:tcPr>
          <w:p w14:paraId="00F0CB3F" w14:textId="212500A6" w:rsidR="3E81E47D" w:rsidRPr="000D756E" w:rsidRDefault="05FB6CC4" w:rsidP="1CADD3CC">
            <w:pPr>
              <w:jc w:val="right"/>
              <w:rPr>
                <w:rFonts w:ascii="Arial" w:eastAsia="Arial" w:hAnsi="Arial" w:cs="Arial"/>
                <w:sz w:val="24"/>
                <w:szCs w:val="24"/>
              </w:rPr>
            </w:pPr>
            <w:r w:rsidRPr="574A8B51">
              <w:rPr>
                <w:rFonts w:ascii="Arial" w:eastAsia="Arial" w:hAnsi="Arial" w:cs="Arial"/>
                <w:sz w:val="24"/>
                <w:szCs w:val="24"/>
              </w:rPr>
              <w:t>18,703</w:t>
            </w:r>
          </w:p>
        </w:tc>
        <w:tc>
          <w:tcPr>
            <w:tcW w:w="1065" w:type="dxa"/>
            <w:tcMar>
              <w:top w:w="15" w:type="dxa"/>
              <w:left w:w="15" w:type="dxa"/>
              <w:right w:w="15" w:type="dxa"/>
            </w:tcMar>
            <w:vAlign w:val="center"/>
          </w:tcPr>
          <w:p w14:paraId="634BF0D7" w14:textId="2EBA3121" w:rsidR="3E81E47D" w:rsidRPr="000D756E" w:rsidRDefault="05FB6CC4" w:rsidP="1CADD3CC">
            <w:pPr>
              <w:jc w:val="right"/>
              <w:rPr>
                <w:rFonts w:ascii="Arial" w:eastAsia="Arial" w:hAnsi="Arial" w:cs="Arial"/>
                <w:sz w:val="24"/>
                <w:szCs w:val="24"/>
              </w:rPr>
            </w:pPr>
            <w:r w:rsidRPr="574A8B51">
              <w:rPr>
                <w:rFonts w:ascii="Arial" w:eastAsia="Arial" w:hAnsi="Arial" w:cs="Arial"/>
                <w:sz w:val="24"/>
                <w:szCs w:val="24"/>
              </w:rPr>
              <w:t>7,032</w:t>
            </w:r>
          </w:p>
        </w:tc>
        <w:tc>
          <w:tcPr>
            <w:tcW w:w="1125" w:type="dxa"/>
            <w:tcMar>
              <w:top w:w="15" w:type="dxa"/>
              <w:left w:w="15" w:type="dxa"/>
              <w:right w:w="15" w:type="dxa"/>
            </w:tcMar>
            <w:vAlign w:val="center"/>
          </w:tcPr>
          <w:p w14:paraId="5CE4B85A" w14:textId="29F97158" w:rsidR="3E81E47D" w:rsidRPr="000D756E" w:rsidRDefault="05FB6CC4" w:rsidP="1CADD3CC">
            <w:pPr>
              <w:jc w:val="right"/>
              <w:rPr>
                <w:rFonts w:ascii="Arial" w:eastAsia="Arial" w:hAnsi="Arial" w:cs="Arial"/>
                <w:sz w:val="24"/>
                <w:szCs w:val="24"/>
              </w:rPr>
            </w:pPr>
            <w:r w:rsidRPr="574A8B51">
              <w:rPr>
                <w:rFonts w:ascii="Arial" w:eastAsia="Arial" w:hAnsi="Arial" w:cs="Arial"/>
                <w:sz w:val="24"/>
                <w:szCs w:val="24"/>
              </w:rPr>
              <w:t>25,735</w:t>
            </w:r>
          </w:p>
        </w:tc>
      </w:tr>
      <w:tr w:rsidR="006329E6" w:rsidRPr="000D756E" w14:paraId="6E5F874D" w14:textId="77777777" w:rsidTr="574A8B51">
        <w:trPr>
          <w:trHeight w:val="300"/>
        </w:trPr>
        <w:tc>
          <w:tcPr>
            <w:tcW w:w="3300" w:type="dxa"/>
            <w:tcMar>
              <w:top w:w="15" w:type="dxa"/>
              <w:left w:w="15" w:type="dxa"/>
              <w:right w:w="15" w:type="dxa"/>
            </w:tcMar>
            <w:vAlign w:val="center"/>
          </w:tcPr>
          <w:p w14:paraId="57153780" w14:textId="62CA33F8" w:rsidR="3E81E47D" w:rsidRPr="000D756E" w:rsidRDefault="3E81E47D" w:rsidP="2A766B46">
            <w:pPr>
              <w:rPr>
                <w:rFonts w:ascii="Arial" w:eastAsia="Arial" w:hAnsi="Arial" w:cs="Arial"/>
                <w:sz w:val="24"/>
                <w:szCs w:val="24"/>
              </w:rPr>
            </w:pPr>
            <w:r w:rsidRPr="574A8B51">
              <w:rPr>
                <w:rFonts w:ascii="Arial" w:eastAsia="Arial" w:hAnsi="Arial" w:cs="Arial"/>
                <w:sz w:val="24"/>
                <w:szCs w:val="24"/>
              </w:rPr>
              <w:t>Head of Resources</w:t>
            </w:r>
            <w:r w:rsidR="4DFC2D33" w:rsidRPr="574A8B51">
              <w:rPr>
                <w:rFonts w:ascii="Arial" w:eastAsia="Arial" w:hAnsi="Arial" w:cs="Arial"/>
                <w:sz w:val="24"/>
                <w:szCs w:val="24"/>
              </w:rPr>
              <w:t xml:space="preserve"> (Apr 24</w:t>
            </w:r>
            <w:r w:rsidR="19417983" w:rsidRPr="574A8B51">
              <w:rPr>
                <w:rFonts w:ascii="Arial" w:eastAsia="Arial" w:hAnsi="Arial" w:cs="Arial"/>
                <w:sz w:val="24"/>
                <w:szCs w:val="24"/>
              </w:rPr>
              <w:t xml:space="preserve"> – Feb 25)</w:t>
            </w:r>
          </w:p>
        </w:tc>
        <w:tc>
          <w:tcPr>
            <w:tcW w:w="1456" w:type="dxa"/>
            <w:tcMar>
              <w:top w:w="15" w:type="dxa"/>
              <w:left w:w="15" w:type="dxa"/>
              <w:right w:w="15" w:type="dxa"/>
            </w:tcMar>
            <w:vAlign w:val="center"/>
          </w:tcPr>
          <w:p w14:paraId="6F3BF284" w14:textId="55B1721C" w:rsidR="3E81E47D" w:rsidRPr="000D756E" w:rsidRDefault="19417983" w:rsidP="17FF5F72">
            <w:pPr>
              <w:jc w:val="right"/>
              <w:rPr>
                <w:rFonts w:ascii="Arial" w:eastAsia="Arial" w:hAnsi="Arial" w:cs="Arial"/>
                <w:sz w:val="24"/>
                <w:szCs w:val="24"/>
              </w:rPr>
            </w:pPr>
            <w:r w:rsidRPr="574A8B51">
              <w:rPr>
                <w:rFonts w:ascii="Arial" w:eastAsia="Arial" w:hAnsi="Arial" w:cs="Arial"/>
                <w:sz w:val="24"/>
                <w:szCs w:val="24"/>
              </w:rPr>
              <w:t>59,619</w:t>
            </w:r>
          </w:p>
        </w:tc>
        <w:tc>
          <w:tcPr>
            <w:tcW w:w="1065" w:type="dxa"/>
            <w:tcMar>
              <w:top w:w="15" w:type="dxa"/>
              <w:left w:w="15" w:type="dxa"/>
              <w:right w:w="15" w:type="dxa"/>
            </w:tcMar>
            <w:vAlign w:val="center"/>
          </w:tcPr>
          <w:p w14:paraId="61F52CB8" w14:textId="6FA4F0BB" w:rsidR="3E81E47D" w:rsidRPr="000D756E" w:rsidRDefault="353C53DF" w:rsidP="4B67E96B">
            <w:pPr>
              <w:jc w:val="center"/>
              <w:rPr>
                <w:rFonts w:ascii="Arial" w:eastAsia="Arial" w:hAnsi="Arial" w:cs="Arial"/>
                <w:sz w:val="24"/>
                <w:szCs w:val="24"/>
              </w:rPr>
            </w:pPr>
            <w:r w:rsidRPr="574A8B51">
              <w:rPr>
                <w:rFonts w:ascii="Arial" w:eastAsia="Arial" w:hAnsi="Arial" w:cs="Arial"/>
                <w:sz w:val="24"/>
                <w:szCs w:val="24"/>
              </w:rPr>
              <w:t>787</w:t>
            </w:r>
          </w:p>
        </w:tc>
        <w:tc>
          <w:tcPr>
            <w:tcW w:w="1065" w:type="dxa"/>
            <w:tcMar>
              <w:top w:w="15" w:type="dxa"/>
              <w:left w:w="15" w:type="dxa"/>
              <w:right w:w="15" w:type="dxa"/>
            </w:tcMar>
            <w:vAlign w:val="center"/>
          </w:tcPr>
          <w:p w14:paraId="652BC1DE" w14:textId="77768479" w:rsidR="3E81E47D" w:rsidRPr="000D756E" w:rsidRDefault="353C53DF" w:rsidP="574A8B51">
            <w:pPr>
              <w:spacing w:line="259" w:lineRule="auto"/>
              <w:jc w:val="right"/>
            </w:pPr>
            <w:r w:rsidRPr="574A8B51">
              <w:rPr>
                <w:rFonts w:ascii="Arial" w:eastAsia="Arial" w:hAnsi="Arial" w:cs="Arial"/>
                <w:sz w:val="24"/>
                <w:szCs w:val="24"/>
              </w:rPr>
              <w:t>60,406</w:t>
            </w:r>
          </w:p>
        </w:tc>
        <w:tc>
          <w:tcPr>
            <w:tcW w:w="1065" w:type="dxa"/>
            <w:tcMar>
              <w:top w:w="15" w:type="dxa"/>
              <w:left w:w="15" w:type="dxa"/>
              <w:right w:w="15" w:type="dxa"/>
            </w:tcMar>
            <w:vAlign w:val="center"/>
          </w:tcPr>
          <w:p w14:paraId="15C33E2F" w14:textId="10F58BB9" w:rsidR="3E81E47D" w:rsidRPr="000D756E" w:rsidRDefault="19417983" w:rsidP="1CADD3CC">
            <w:pPr>
              <w:jc w:val="right"/>
              <w:rPr>
                <w:rFonts w:ascii="Arial" w:eastAsia="Arial" w:hAnsi="Arial" w:cs="Arial"/>
                <w:sz w:val="24"/>
                <w:szCs w:val="24"/>
              </w:rPr>
            </w:pPr>
            <w:r w:rsidRPr="574A8B51">
              <w:rPr>
                <w:rFonts w:ascii="Arial" w:eastAsia="Arial" w:hAnsi="Arial" w:cs="Arial"/>
                <w:sz w:val="24"/>
                <w:szCs w:val="24"/>
              </w:rPr>
              <w:t>10,135</w:t>
            </w:r>
          </w:p>
        </w:tc>
        <w:tc>
          <w:tcPr>
            <w:tcW w:w="1125" w:type="dxa"/>
            <w:tcMar>
              <w:top w:w="15" w:type="dxa"/>
              <w:left w:w="15" w:type="dxa"/>
              <w:right w:w="15" w:type="dxa"/>
            </w:tcMar>
            <w:vAlign w:val="center"/>
          </w:tcPr>
          <w:p w14:paraId="1E26E713" w14:textId="0CBB5FBE" w:rsidR="3E81E47D" w:rsidRPr="000D756E" w:rsidRDefault="3E81E47D" w:rsidP="574A8B51">
            <w:pPr>
              <w:jc w:val="right"/>
              <w:rPr>
                <w:rFonts w:ascii="Arial" w:eastAsia="Arial" w:hAnsi="Arial" w:cs="Arial"/>
                <w:sz w:val="24"/>
                <w:szCs w:val="24"/>
              </w:rPr>
            </w:pPr>
          </w:p>
          <w:p w14:paraId="67F78877" w14:textId="668CE350" w:rsidR="3E81E47D" w:rsidRPr="000D756E" w:rsidRDefault="2044005E" w:rsidP="574A8B51">
            <w:pPr>
              <w:spacing w:line="259" w:lineRule="auto"/>
              <w:jc w:val="right"/>
            </w:pPr>
            <w:r w:rsidRPr="574A8B51">
              <w:rPr>
                <w:rFonts w:ascii="Arial" w:eastAsia="Arial" w:hAnsi="Arial" w:cs="Arial"/>
                <w:sz w:val="24"/>
                <w:szCs w:val="24"/>
              </w:rPr>
              <w:t>70,541</w:t>
            </w:r>
          </w:p>
          <w:p w14:paraId="22B93169" w14:textId="48630B7A" w:rsidR="3E81E47D" w:rsidRPr="000D756E" w:rsidRDefault="3E81E47D" w:rsidP="1CADD3CC">
            <w:pPr>
              <w:jc w:val="right"/>
              <w:rPr>
                <w:rFonts w:ascii="Arial" w:eastAsia="Arial" w:hAnsi="Arial" w:cs="Arial"/>
                <w:sz w:val="24"/>
                <w:szCs w:val="24"/>
              </w:rPr>
            </w:pPr>
          </w:p>
        </w:tc>
      </w:tr>
      <w:tr w:rsidR="006329E6" w:rsidRPr="000D756E" w14:paraId="2B01B96C" w14:textId="77777777" w:rsidTr="574A8B51">
        <w:trPr>
          <w:trHeight w:val="300"/>
        </w:trPr>
        <w:tc>
          <w:tcPr>
            <w:tcW w:w="3300" w:type="dxa"/>
            <w:tcMar>
              <w:top w:w="15" w:type="dxa"/>
              <w:left w:w="15" w:type="dxa"/>
              <w:right w:w="15" w:type="dxa"/>
            </w:tcMar>
            <w:vAlign w:val="center"/>
          </w:tcPr>
          <w:p w14:paraId="7D7F4F91" w14:textId="5BD1B67D" w:rsidR="3E81E47D" w:rsidRPr="000D756E" w:rsidRDefault="3E81E47D" w:rsidP="2A766B46">
            <w:pPr>
              <w:rPr>
                <w:rFonts w:ascii="Arial" w:eastAsia="Arial" w:hAnsi="Arial" w:cs="Arial"/>
                <w:sz w:val="24"/>
                <w:szCs w:val="24"/>
              </w:rPr>
            </w:pPr>
            <w:r w:rsidRPr="000D756E">
              <w:rPr>
                <w:rFonts w:ascii="Arial" w:eastAsia="Arial" w:hAnsi="Arial" w:cs="Arial"/>
                <w:sz w:val="24"/>
                <w:szCs w:val="24"/>
              </w:rPr>
              <w:t>Head of Finance (pro rata)</w:t>
            </w:r>
          </w:p>
        </w:tc>
        <w:tc>
          <w:tcPr>
            <w:tcW w:w="1456" w:type="dxa"/>
            <w:tcMar>
              <w:top w:w="15" w:type="dxa"/>
              <w:left w:w="15" w:type="dxa"/>
              <w:right w:w="15" w:type="dxa"/>
            </w:tcMar>
            <w:vAlign w:val="center"/>
          </w:tcPr>
          <w:p w14:paraId="265FF007" w14:textId="2CDF27EF" w:rsidR="3E81E47D" w:rsidRPr="000D756E" w:rsidRDefault="7D5A2C0E" w:rsidP="17FF5F72">
            <w:pPr>
              <w:jc w:val="right"/>
              <w:rPr>
                <w:rFonts w:ascii="Arial" w:eastAsia="Arial" w:hAnsi="Arial" w:cs="Arial"/>
                <w:sz w:val="24"/>
                <w:szCs w:val="24"/>
              </w:rPr>
            </w:pPr>
            <w:r w:rsidRPr="574A8B51">
              <w:rPr>
                <w:rFonts w:ascii="Arial" w:eastAsia="Arial" w:hAnsi="Arial" w:cs="Arial"/>
                <w:sz w:val="24"/>
                <w:szCs w:val="24"/>
              </w:rPr>
              <w:t>57,071</w:t>
            </w:r>
          </w:p>
        </w:tc>
        <w:tc>
          <w:tcPr>
            <w:tcW w:w="1065" w:type="dxa"/>
            <w:tcMar>
              <w:top w:w="15" w:type="dxa"/>
              <w:left w:w="15" w:type="dxa"/>
              <w:right w:w="15" w:type="dxa"/>
            </w:tcMar>
            <w:vAlign w:val="center"/>
          </w:tcPr>
          <w:p w14:paraId="6265CC68" w14:textId="42FCA85A" w:rsidR="3E81E47D" w:rsidRPr="000D756E" w:rsidRDefault="7972A440" w:rsidP="4B67E96B">
            <w:pPr>
              <w:jc w:val="center"/>
              <w:rPr>
                <w:rFonts w:ascii="Arial" w:eastAsia="Arial" w:hAnsi="Arial" w:cs="Arial"/>
                <w:sz w:val="24"/>
                <w:szCs w:val="24"/>
              </w:rPr>
            </w:pPr>
            <w:r w:rsidRPr="574A8B51">
              <w:rPr>
                <w:rFonts w:ascii="Arial" w:eastAsia="Arial" w:hAnsi="Arial" w:cs="Arial"/>
                <w:sz w:val="24"/>
                <w:szCs w:val="24"/>
              </w:rPr>
              <w:t>-</w:t>
            </w:r>
          </w:p>
        </w:tc>
        <w:tc>
          <w:tcPr>
            <w:tcW w:w="1065" w:type="dxa"/>
            <w:tcMar>
              <w:top w:w="15" w:type="dxa"/>
              <w:left w:w="15" w:type="dxa"/>
              <w:right w:w="15" w:type="dxa"/>
            </w:tcMar>
            <w:vAlign w:val="center"/>
          </w:tcPr>
          <w:p w14:paraId="6BF84043" w14:textId="2B9A82C1" w:rsidR="3E81E47D" w:rsidRPr="000D756E" w:rsidRDefault="7D5A2C0E" w:rsidP="1CADD3CC">
            <w:pPr>
              <w:jc w:val="right"/>
              <w:rPr>
                <w:rFonts w:ascii="Arial" w:eastAsia="Arial" w:hAnsi="Arial" w:cs="Arial"/>
                <w:sz w:val="24"/>
                <w:szCs w:val="24"/>
              </w:rPr>
            </w:pPr>
            <w:r w:rsidRPr="574A8B51">
              <w:rPr>
                <w:rFonts w:ascii="Arial" w:eastAsia="Arial" w:hAnsi="Arial" w:cs="Arial"/>
                <w:sz w:val="24"/>
                <w:szCs w:val="24"/>
              </w:rPr>
              <w:t>57,071</w:t>
            </w:r>
          </w:p>
        </w:tc>
        <w:tc>
          <w:tcPr>
            <w:tcW w:w="1065" w:type="dxa"/>
            <w:tcMar>
              <w:top w:w="15" w:type="dxa"/>
              <w:left w:w="15" w:type="dxa"/>
              <w:right w:w="15" w:type="dxa"/>
            </w:tcMar>
            <w:vAlign w:val="center"/>
          </w:tcPr>
          <w:p w14:paraId="57CFC29E" w14:textId="3AA4E255" w:rsidR="3E81E47D" w:rsidRPr="000D756E" w:rsidRDefault="7D5A2C0E" w:rsidP="1CADD3CC">
            <w:pPr>
              <w:jc w:val="right"/>
              <w:rPr>
                <w:rFonts w:ascii="Arial" w:eastAsia="Arial" w:hAnsi="Arial" w:cs="Arial"/>
                <w:sz w:val="24"/>
                <w:szCs w:val="24"/>
              </w:rPr>
            </w:pPr>
            <w:r w:rsidRPr="574A8B51">
              <w:rPr>
                <w:rFonts w:ascii="Arial" w:eastAsia="Arial" w:hAnsi="Arial" w:cs="Arial"/>
                <w:sz w:val="24"/>
                <w:szCs w:val="24"/>
              </w:rPr>
              <w:t>9,702</w:t>
            </w:r>
          </w:p>
        </w:tc>
        <w:tc>
          <w:tcPr>
            <w:tcW w:w="1125" w:type="dxa"/>
            <w:tcMar>
              <w:top w:w="15" w:type="dxa"/>
              <w:left w:w="15" w:type="dxa"/>
              <w:right w:w="15" w:type="dxa"/>
            </w:tcMar>
            <w:vAlign w:val="center"/>
          </w:tcPr>
          <w:p w14:paraId="20BF697C" w14:textId="7A7F6B07" w:rsidR="3E81E47D" w:rsidRPr="000D756E" w:rsidRDefault="7D5A2C0E" w:rsidP="1CADD3CC">
            <w:pPr>
              <w:jc w:val="right"/>
              <w:rPr>
                <w:rFonts w:ascii="Arial" w:eastAsia="Arial" w:hAnsi="Arial" w:cs="Arial"/>
                <w:sz w:val="24"/>
                <w:szCs w:val="24"/>
              </w:rPr>
            </w:pPr>
            <w:r w:rsidRPr="574A8B51">
              <w:rPr>
                <w:rFonts w:ascii="Arial" w:eastAsia="Arial" w:hAnsi="Arial" w:cs="Arial"/>
                <w:sz w:val="24"/>
                <w:szCs w:val="24"/>
              </w:rPr>
              <w:t>66,773</w:t>
            </w:r>
          </w:p>
        </w:tc>
      </w:tr>
    </w:tbl>
    <w:p w14:paraId="05F7CEC7" w14:textId="37B8CE6B" w:rsidR="574A8B51" w:rsidRDefault="574A8B51"/>
    <w:p w14:paraId="12214253" w14:textId="2EE8A47A" w:rsidR="3E81E47D" w:rsidRPr="000D756E" w:rsidRDefault="3E81E47D" w:rsidP="4B67E96B">
      <w:pPr>
        <w:tabs>
          <w:tab w:val="left" w:pos="426"/>
        </w:tabs>
        <w:jc w:val="center"/>
        <w:rPr>
          <w:rFonts w:ascii="Arial" w:eastAsia="Arial" w:hAnsi="Arial" w:cs="Arial"/>
          <w:sz w:val="24"/>
          <w:szCs w:val="24"/>
        </w:rPr>
      </w:pPr>
    </w:p>
    <w:p w14:paraId="2B9135B9" w14:textId="1741FF51" w:rsidR="006E002A" w:rsidRPr="000D756E" w:rsidRDefault="006E002A" w:rsidP="002A7C01">
      <w:pPr>
        <w:tabs>
          <w:tab w:val="left" w:pos="426"/>
        </w:tabs>
        <w:rPr>
          <w:rFonts w:ascii="Arial" w:hAnsi="Arial" w:cs="Arial"/>
          <w:sz w:val="24"/>
          <w:szCs w:val="24"/>
        </w:rPr>
      </w:pPr>
    </w:p>
    <w:p w14:paraId="1E7C0C75" w14:textId="2BD53321" w:rsidR="006E002A" w:rsidRPr="000D756E" w:rsidRDefault="006E002A" w:rsidP="002A7C01">
      <w:pPr>
        <w:tabs>
          <w:tab w:val="left" w:pos="426"/>
        </w:tabs>
        <w:rPr>
          <w:rFonts w:ascii="Arial" w:hAnsi="Arial" w:cs="Arial"/>
          <w:b/>
          <w:sz w:val="24"/>
          <w:szCs w:val="24"/>
        </w:rPr>
      </w:pPr>
      <w:r w:rsidRPr="000D756E">
        <w:rPr>
          <w:rFonts w:ascii="Arial" w:hAnsi="Arial" w:cs="Arial"/>
          <w:b/>
          <w:sz w:val="24"/>
          <w:szCs w:val="24"/>
        </w:rPr>
        <w:t>20</w:t>
      </w:r>
      <w:r w:rsidR="00A02453" w:rsidRPr="000D756E">
        <w:rPr>
          <w:rFonts w:ascii="Arial" w:hAnsi="Arial" w:cs="Arial"/>
          <w:b/>
          <w:sz w:val="24"/>
          <w:szCs w:val="24"/>
        </w:rPr>
        <w:t>2</w:t>
      </w:r>
      <w:r w:rsidR="008D53C0">
        <w:rPr>
          <w:rFonts w:ascii="Arial" w:hAnsi="Arial" w:cs="Arial"/>
          <w:b/>
          <w:sz w:val="24"/>
          <w:szCs w:val="24"/>
        </w:rPr>
        <w:t>3/24</w:t>
      </w:r>
    </w:p>
    <w:p w14:paraId="17F6A71E" w14:textId="77777777" w:rsidR="002560AC" w:rsidRPr="000D756E" w:rsidRDefault="002560AC" w:rsidP="002A7C01">
      <w:pPr>
        <w:tabs>
          <w:tab w:val="left" w:pos="426"/>
        </w:tabs>
        <w:rPr>
          <w:rFonts w:ascii="Arial" w:hAnsi="Arial" w:cs="Arial"/>
          <w:b/>
          <w:sz w:val="24"/>
          <w:szCs w:val="24"/>
          <w:highlight w:val="cyan"/>
        </w:rPr>
      </w:pPr>
    </w:p>
    <w:p w14:paraId="70B3B07A" w14:textId="6A5EF504" w:rsidR="002560AC" w:rsidRDefault="002560AC" w:rsidP="574A8B51">
      <w:pPr>
        <w:tabs>
          <w:tab w:val="left" w:pos="426"/>
        </w:tabs>
        <w:rPr>
          <w:rFonts w:ascii="Arial" w:hAnsi="Arial" w:cs="Arial"/>
          <w:sz w:val="24"/>
          <w:szCs w:val="24"/>
        </w:rPr>
      </w:pPr>
      <w:r w:rsidRPr="574A8B51">
        <w:rPr>
          <w:rFonts w:ascii="Arial" w:hAnsi="Arial" w:cs="Arial"/>
          <w:sz w:val="24"/>
          <w:szCs w:val="24"/>
        </w:rPr>
        <w:t>Senior officers’ emoluments –</w:t>
      </w:r>
      <w:r w:rsidR="4549CB03" w:rsidRPr="574A8B51">
        <w:rPr>
          <w:rFonts w:ascii="Arial" w:hAnsi="Arial" w:cs="Arial"/>
          <w:sz w:val="24"/>
          <w:szCs w:val="24"/>
        </w:rPr>
        <w:t xml:space="preserve"> (Chief Fire Officer and persons for whom the Chief Officer is directly responsible)</w:t>
      </w:r>
    </w:p>
    <w:p w14:paraId="6C75EFBB" w14:textId="646E02D5" w:rsidR="002560AC" w:rsidRDefault="002560AC" w:rsidP="002A7C01">
      <w:pPr>
        <w:tabs>
          <w:tab w:val="left" w:pos="426"/>
        </w:tabs>
        <w:rPr>
          <w:rFonts w:ascii="Arial" w:hAnsi="Arial" w:cs="Arial"/>
          <w:sz w:val="24"/>
          <w:szCs w:val="24"/>
        </w:rPr>
      </w:pPr>
    </w:p>
    <w:p w14:paraId="6DA9FC0C" w14:textId="77777777" w:rsidR="008D53C0" w:rsidRPr="000D756E" w:rsidRDefault="008D53C0" w:rsidP="002A7C01">
      <w:pPr>
        <w:tabs>
          <w:tab w:val="left" w:pos="426"/>
        </w:tabs>
        <w:rPr>
          <w:rFonts w:ascii="Arial" w:hAnsi="Arial" w:cs="Arial"/>
          <w:sz w:val="24"/>
          <w:szCs w:val="24"/>
        </w:rPr>
      </w:pPr>
    </w:p>
    <w:tbl>
      <w:tblPr>
        <w:tblStyle w:val="TableGrid"/>
        <w:tblW w:w="9189" w:type="dxa"/>
        <w:tblInd w:w="-113" w:type="dxa"/>
        <w:tblLayout w:type="fixed"/>
        <w:tblLook w:val="06A0" w:firstRow="1" w:lastRow="0" w:firstColumn="1" w:lastColumn="0" w:noHBand="1" w:noVBand="1"/>
      </w:tblPr>
      <w:tblGrid>
        <w:gridCol w:w="3413"/>
        <w:gridCol w:w="1456"/>
        <w:gridCol w:w="1065"/>
        <w:gridCol w:w="1065"/>
        <w:gridCol w:w="1065"/>
        <w:gridCol w:w="1125"/>
      </w:tblGrid>
      <w:tr w:rsidR="008D53C0" w:rsidRPr="000D756E" w14:paraId="3704D7F6" w14:textId="77777777" w:rsidTr="574A8B51">
        <w:trPr>
          <w:trHeight w:val="315"/>
        </w:trPr>
        <w:tc>
          <w:tcPr>
            <w:tcW w:w="3413" w:type="dxa"/>
            <w:tcMar>
              <w:top w:w="15" w:type="dxa"/>
              <w:left w:w="15" w:type="dxa"/>
              <w:right w:w="15" w:type="dxa"/>
            </w:tcMar>
            <w:vAlign w:val="center"/>
          </w:tcPr>
          <w:p w14:paraId="45F843AF" w14:textId="77777777" w:rsidR="008D53C0" w:rsidRPr="000D756E" w:rsidRDefault="008D53C0"/>
        </w:tc>
        <w:tc>
          <w:tcPr>
            <w:tcW w:w="1456" w:type="dxa"/>
            <w:tcMar>
              <w:top w:w="15" w:type="dxa"/>
              <w:left w:w="15" w:type="dxa"/>
              <w:right w:w="15" w:type="dxa"/>
            </w:tcMar>
            <w:vAlign w:val="center"/>
          </w:tcPr>
          <w:p w14:paraId="60496744" w14:textId="77777777" w:rsidR="008D53C0" w:rsidRPr="000D756E" w:rsidRDefault="008D53C0">
            <w:pPr>
              <w:jc w:val="center"/>
            </w:pPr>
            <w:r w:rsidRPr="000D756E">
              <w:rPr>
                <w:rFonts w:ascii="Arial" w:eastAsia="Arial" w:hAnsi="Arial" w:cs="Arial"/>
                <w:b/>
                <w:bCs/>
                <w:sz w:val="22"/>
                <w:szCs w:val="22"/>
              </w:rPr>
              <w:t>Salary &amp; allowances</w:t>
            </w:r>
          </w:p>
        </w:tc>
        <w:tc>
          <w:tcPr>
            <w:tcW w:w="1065" w:type="dxa"/>
            <w:tcMar>
              <w:top w:w="15" w:type="dxa"/>
              <w:left w:w="15" w:type="dxa"/>
              <w:right w:w="15" w:type="dxa"/>
            </w:tcMar>
            <w:vAlign w:val="center"/>
          </w:tcPr>
          <w:p w14:paraId="7B0B7B9C" w14:textId="77777777" w:rsidR="008D53C0" w:rsidRPr="000D756E" w:rsidRDefault="008D53C0">
            <w:pPr>
              <w:jc w:val="center"/>
            </w:pPr>
            <w:r w:rsidRPr="000D756E">
              <w:rPr>
                <w:rFonts w:ascii="Arial" w:eastAsia="Arial" w:hAnsi="Arial" w:cs="Arial"/>
                <w:b/>
                <w:bCs/>
                <w:sz w:val="22"/>
                <w:szCs w:val="22"/>
              </w:rPr>
              <w:t>Benefits in kind</w:t>
            </w:r>
          </w:p>
        </w:tc>
        <w:tc>
          <w:tcPr>
            <w:tcW w:w="1065" w:type="dxa"/>
            <w:tcMar>
              <w:top w:w="15" w:type="dxa"/>
              <w:left w:w="15" w:type="dxa"/>
              <w:right w:w="15" w:type="dxa"/>
            </w:tcMar>
            <w:vAlign w:val="center"/>
          </w:tcPr>
          <w:p w14:paraId="0291FCB2" w14:textId="77777777" w:rsidR="008D53C0" w:rsidRPr="000D756E" w:rsidRDefault="008D53C0">
            <w:pPr>
              <w:jc w:val="center"/>
            </w:pPr>
            <w:r w:rsidRPr="000D756E">
              <w:rPr>
                <w:rFonts w:ascii="Arial" w:eastAsia="Arial" w:hAnsi="Arial" w:cs="Arial"/>
                <w:b/>
                <w:bCs/>
                <w:sz w:val="22"/>
                <w:szCs w:val="22"/>
              </w:rPr>
              <w:t>Total</w:t>
            </w:r>
          </w:p>
        </w:tc>
        <w:tc>
          <w:tcPr>
            <w:tcW w:w="1065" w:type="dxa"/>
            <w:tcMar>
              <w:top w:w="15" w:type="dxa"/>
              <w:left w:w="15" w:type="dxa"/>
              <w:right w:w="15" w:type="dxa"/>
            </w:tcMar>
            <w:vAlign w:val="center"/>
          </w:tcPr>
          <w:p w14:paraId="3597F73B" w14:textId="77777777" w:rsidR="008D53C0" w:rsidRPr="000D756E" w:rsidRDefault="008D53C0">
            <w:pPr>
              <w:jc w:val="center"/>
            </w:pPr>
            <w:r w:rsidRPr="000D756E">
              <w:rPr>
                <w:rFonts w:ascii="Arial" w:eastAsia="Arial" w:hAnsi="Arial" w:cs="Arial"/>
                <w:b/>
                <w:bCs/>
                <w:sz w:val="22"/>
                <w:szCs w:val="22"/>
              </w:rPr>
              <w:t>Pension Conts.</w:t>
            </w:r>
          </w:p>
        </w:tc>
        <w:tc>
          <w:tcPr>
            <w:tcW w:w="1125" w:type="dxa"/>
            <w:tcMar>
              <w:top w:w="15" w:type="dxa"/>
              <w:left w:w="15" w:type="dxa"/>
              <w:right w:w="15" w:type="dxa"/>
            </w:tcMar>
            <w:vAlign w:val="center"/>
          </w:tcPr>
          <w:p w14:paraId="21F45F9D" w14:textId="77777777" w:rsidR="008D53C0" w:rsidRPr="000D756E" w:rsidRDefault="008D53C0"/>
        </w:tc>
      </w:tr>
      <w:tr w:rsidR="008D53C0" w:rsidRPr="000D756E" w14:paraId="12A46439" w14:textId="77777777" w:rsidTr="574A8B51">
        <w:trPr>
          <w:trHeight w:val="315"/>
        </w:trPr>
        <w:tc>
          <w:tcPr>
            <w:tcW w:w="3413" w:type="dxa"/>
            <w:tcMar>
              <w:top w:w="15" w:type="dxa"/>
              <w:left w:w="15" w:type="dxa"/>
              <w:right w:w="15" w:type="dxa"/>
            </w:tcMar>
            <w:vAlign w:val="center"/>
          </w:tcPr>
          <w:p w14:paraId="4FDDCE9C" w14:textId="77777777" w:rsidR="008D53C0" w:rsidRPr="000D756E" w:rsidRDefault="008D53C0">
            <w:pPr>
              <w:jc w:val="center"/>
            </w:pPr>
            <w:r w:rsidRPr="000D756E">
              <w:rPr>
                <w:rFonts w:ascii="Arial" w:eastAsia="Arial" w:hAnsi="Arial" w:cs="Arial"/>
                <w:b/>
                <w:bCs/>
                <w:sz w:val="24"/>
                <w:szCs w:val="24"/>
              </w:rPr>
              <w:t>Post</w:t>
            </w:r>
          </w:p>
        </w:tc>
        <w:tc>
          <w:tcPr>
            <w:tcW w:w="1456" w:type="dxa"/>
            <w:tcMar>
              <w:top w:w="15" w:type="dxa"/>
              <w:left w:w="15" w:type="dxa"/>
              <w:right w:w="15" w:type="dxa"/>
            </w:tcMar>
            <w:vAlign w:val="center"/>
          </w:tcPr>
          <w:p w14:paraId="0B4C1323" w14:textId="77777777" w:rsidR="008D53C0" w:rsidRPr="000D756E" w:rsidRDefault="008D53C0">
            <w:pPr>
              <w:jc w:val="center"/>
            </w:pPr>
            <w:r w:rsidRPr="000D756E">
              <w:rPr>
                <w:rFonts w:ascii="Arial" w:eastAsia="Arial" w:hAnsi="Arial" w:cs="Arial"/>
                <w:b/>
                <w:bCs/>
                <w:sz w:val="22"/>
                <w:szCs w:val="22"/>
              </w:rPr>
              <w:t>£</w:t>
            </w:r>
          </w:p>
        </w:tc>
        <w:tc>
          <w:tcPr>
            <w:tcW w:w="1065" w:type="dxa"/>
            <w:tcMar>
              <w:top w:w="15" w:type="dxa"/>
              <w:left w:w="15" w:type="dxa"/>
              <w:right w:w="15" w:type="dxa"/>
            </w:tcMar>
            <w:vAlign w:val="center"/>
          </w:tcPr>
          <w:p w14:paraId="0086DEBD" w14:textId="77777777" w:rsidR="008D53C0" w:rsidRPr="000D756E" w:rsidRDefault="008D53C0">
            <w:pPr>
              <w:jc w:val="center"/>
            </w:pPr>
            <w:r w:rsidRPr="000D756E">
              <w:rPr>
                <w:rFonts w:ascii="Arial" w:eastAsia="Arial" w:hAnsi="Arial" w:cs="Arial"/>
                <w:b/>
                <w:bCs/>
                <w:sz w:val="22"/>
                <w:szCs w:val="22"/>
              </w:rPr>
              <w:t>£</w:t>
            </w:r>
          </w:p>
        </w:tc>
        <w:tc>
          <w:tcPr>
            <w:tcW w:w="1065" w:type="dxa"/>
            <w:tcMar>
              <w:top w:w="15" w:type="dxa"/>
              <w:left w:w="15" w:type="dxa"/>
              <w:right w:w="15" w:type="dxa"/>
            </w:tcMar>
            <w:vAlign w:val="center"/>
          </w:tcPr>
          <w:p w14:paraId="511BB4E7" w14:textId="77777777" w:rsidR="008D53C0" w:rsidRPr="000D756E" w:rsidRDefault="008D53C0">
            <w:pPr>
              <w:jc w:val="center"/>
            </w:pPr>
            <w:r w:rsidRPr="000D756E">
              <w:rPr>
                <w:rFonts w:ascii="Arial" w:eastAsia="Arial" w:hAnsi="Arial" w:cs="Arial"/>
                <w:b/>
                <w:bCs/>
                <w:sz w:val="22"/>
                <w:szCs w:val="22"/>
              </w:rPr>
              <w:t>£</w:t>
            </w:r>
          </w:p>
        </w:tc>
        <w:tc>
          <w:tcPr>
            <w:tcW w:w="1065" w:type="dxa"/>
            <w:tcMar>
              <w:top w:w="15" w:type="dxa"/>
              <w:left w:w="15" w:type="dxa"/>
              <w:right w:w="15" w:type="dxa"/>
            </w:tcMar>
            <w:vAlign w:val="center"/>
          </w:tcPr>
          <w:p w14:paraId="2EF7DD42" w14:textId="77777777" w:rsidR="008D53C0" w:rsidRPr="000D756E" w:rsidRDefault="008D53C0">
            <w:pPr>
              <w:jc w:val="center"/>
            </w:pPr>
            <w:r w:rsidRPr="000D756E">
              <w:rPr>
                <w:rFonts w:ascii="Arial" w:eastAsia="Arial" w:hAnsi="Arial" w:cs="Arial"/>
                <w:b/>
                <w:bCs/>
                <w:sz w:val="22"/>
                <w:szCs w:val="22"/>
              </w:rPr>
              <w:t>£</w:t>
            </w:r>
          </w:p>
        </w:tc>
        <w:tc>
          <w:tcPr>
            <w:tcW w:w="1125" w:type="dxa"/>
            <w:tcMar>
              <w:top w:w="15" w:type="dxa"/>
              <w:left w:w="15" w:type="dxa"/>
              <w:right w:w="15" w:type="dxa"/>
            </w:tcMar>
            <w:vAlign w:val="center"/>
          </w:tcPr>
          <w:p w14:paraId="75EFFC06" w14:textId="77777777" w:rsidR="008D53C0" w:rsidRPr="000D756E" w:rsidRDefault="008D53C0">
            <w:pPr>
              <w:jc w:val="center"/>
            </w:pPr>
            <w:r w:rsidRPr="000D756E">
              <w:rPr>
                <w:rFonts w:ascii="Arial" w:eastAsia="Arial" w:hAnsi="Arial" w:cs="Arial"/>
                <w:b/>
                <w:bCs/>
                <w:sz w:val="22"/>
                <w:szCs w:val="22"/>
              </w:rPr>
              <w:t>Total</w:t>
            </w:r>
          </w:p>
        </w:tc>
      </w:tr>
      <w:tr w:rsidR="008D53C0" w:rsidRPr="000D756E" w14:paraId="0F50A34A" w14:textId="77777777" w:rsidTr="574A8B51">
        <w:trPr>
          <w:trHeight w:val="315"/>
        </w:trPr>
        <w:tc>
          <w:tcPr>
            <w:tcW w:w="3413" w:type="dxa"/>
            <w:tcMar>
              <w:top w:w="15" w:type="dxa"/>
              <w:left w:w="15" w:type="dxa"/>
              <w:right w:w="15" w:type="dxa"/>
            </w:tcMar>
          </w:tcPr>
          <w:p w14:paraId="47A5A3DE" w14:textId="77777777" w:rsidR="008D53C0" w:rsidRPr="000D756E" w:rsidRDefault="008D53C0"/>
        </w:tc>
        <w:tc>
          <w:tcPr>
            <w:tcW w:w="1456" w:type="dxa"/>
            <w:tcMar>
              <w:top w:w="15" w:type="dxa"/>
              <w:left w:w="15" w:type="dxa"/>
              <w:right w:w="15" w:type="dxa"/>
            </w:tcMar>
          </w:tcPr>
          <w:p w14:paraId="388C483A" w14:textId="77777777" w:rsidR="008D53C0" w:rsidRPr="000D756E" w:rsidRDefault="008D53C0"/>
        </w:tc>
        <w:tc>
          <w:tcPr>
            <w:tcW w:w="1065" w:type="dxa"/>
            <w:tcMar>
              <w:top w:w="15" w:type="dxa"/>
              <w:left w:w="15" w:type="dxa"/>
              <w:right w:w="15" w:type="dxa"/>
            </w:tcMar>
          </w:tcPr>
          <w:p w14:paraId="78BBA4F8" w14:textId="77777777" w:rsidR="008D53C0" w:rsidRPr="000D756E" w:rsidRDefault="008D53C0"/>
        </w:tc>
        <w:tc>
          <w:tcPr>
            <w:tcW w:w="1065" w:type="dxa"/>
            <w:tcMar>
              <w:top w:w="15" w:type="dxa"/>
              <w:left w:w="15" w:type="dxa"/>
              <w:right w:w="15" w:type="dxa"/>
            </w:tcMar>
          </w:tcPr>
          <w:p w14:paraId="51B4BE5F" w14:textId="77777777" w:rsidR="008D53C0" w:rsidRPr="000D756E" w:rsidRDefault="008D53C0"/>
        </w:tc>
        <w:tc>
          <w:tcPr>
            <w:tcW w:w="1065" w:type="dxa"/>
            <w:tcMar>
              <w:top w:w="15" w:type="dxa"/>
              <w:left w:w="15" w:type="dxa"/>
              <w:right w:w="15" w:type="dxa"/>
            </w:tcMar>
          </w:tcPr>
          <w:p w14:paraId="1DF81B27" w14:textId="77777777" w:rsidR="008D53C0" w:rsidRPr="000D756E" w:rsidRDefault="008D53C0"/>
        </w:tc>
        <w:tc>
          <w:tcPr>
            <w:tcW w:w="1125" w:type="dxa"/>
            <w:tcMar>
              <w:top w:w="15" w:type="dxa"/>
              <w:left w:w="15" w:type="dxa"/>
              <w:right w:w="15" w:type="dxa"/>
            </w:tcMar>
            <w:vAlign w:val="center"/>
          </w:tcPr>
          <w:p w14:paraId="52367C70" w14:textId="77777777" w:rsidR="008D53C0" w:rsidRPr="000D756E" w:rsidRDefault="008D53C0"/>
        </w:tc>
      </w:tr>
      <w:tr w:rsidR="008D53C0" w:rsidRPr="000D756E" w14:paraId="68BAD503" w14:textId="77777777" w:rsidTr="574A8B51">
        <w:trPr>
          <w:trHeight w:val="315"/>
        </w:trPr>
        <w:tc>
          <w:tcPr>
            <w:tcW w:w="3413" w:type="dxa"/>
            <w:tcMar>
              <w:top w:w="15" w:type="dxa"/>
              <w:left w:w="15" w:type="dxa"/>
              <w:right w:w="15" w:type="dxa"/>
            </w:tcMar>
            <w:vAlign w:val="center"/>
          </w:tcPr>
          <w:p w14:paraId="2395161E" w14:textId="77777777" w:rsidR="008D53C0" w:rsidRPr="000D756E" w:rsidRDefault="008D53C0">
            <w:pPr>
              <w:rPr>
                <w:rFonts w:ascii="Arial" w:eastAsia="Arial" w:hAnsi="Arial" w:cs="Arial"/>
                <w:sz w:val="24"/>
                <w:szCs w:val="24"/>
              </w:rPr>
            </w:pPr>
            <w:r w:rsidRPr="000D756E">
              <w:rPr>
                <w:rFonts w:ascii="Arial" w:eastAsia="Arial" w:hAnsi="Arial" w:cs="Arial"/>
                <w:sz w:val="24"/>
                <w:szCs w:val="24"/>
              </w:rPr>
              <w:t xml:space="preserve">Chief Fire Officer </w:t>
            </w:r>
          </w:p>
        </w:tc>
        <w:tc>
          <w:tcPr>
            <w:tcW w:w="1456" w:type="dxa"/>
            <w:tcMar>
              <w:top w:w="15" w:type="dxa"/>
              <w:left w:w="15" w:type="dxa"/>
              <w:right w:w="15" w:type="dxa"/>
            </w:tcMar>
            <w:vAlign w:val="center"/>
          </w:tcPr>
          <w:p w14:paraId="297E3446"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 xml:space="preserve"> 149,345 </w:t>
            </w:r>
          </w:p>
        </w:tc>
        <w:tc>
          <w:tcPr>
            <w:tcW w:w="1065" w:type="dxa"/>
            <w:tcMar>
              <w:top w:w="15" w:type="dxa"/>
              <w:left w:w="15" w:type="dxa"/>
              <w:right w:w="15" w:type="dxa"/>
            </w:tcMar>
            <w:vAlign w:val="center"/>
          </w:tcPr>
          <w:p w14:paraId="69A81DD2" w14:textId="77777777" w:rsidR="008D53C0" w:rsidRPr="000D756E" w:rsidRDefault="008D53C0">
            <w:pPr>
              <w:jc w:val="center"/>
              <w:rPr>
                <w:rFonts w:ascii="Arial" w:eastAsia="Arial" w:hAnsi="Arial" w:cs="Arial"/>
                <w:sz w:val="24"/>
                <w:szCs w:val="24"/>
              </w:rPr>
            </w:pPr>
          </w:p>
        </w:tc>
        <w:tc>
          <w:tcPr>
            <w:tcW w:w="1065" w:type="dxa"/>
            <w:tcMar>
              <w:top w:w="15" w:type="dxa"/>
              <w:left w:w="15" w:type="dxa"/>
              <w:right w:w="15" w:type="dxa"/>
            </w:tcMar>
            <w:vAlign w:val="center"/>
          </w:tcPr>
          <w:p w14:paraId="718CEA90"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149,345</w:t>
            </w:r>
          </w:p>
        </w:tc>
        <w:tc>
          <w:tcPr>
            <w:tcW w:w="1065" w:type="dxa"/>
            <w:tcMar>
              <w:top w:w="15" w:type="dxa"/>
              <w:left w:w="15" w:type="dxa"/>
              <w:right w:w="15" w:type="dxa"/>
            </w:tcMar>
            <w:vAlign w:val="center"/>
          </w:tcPr>
          <w:p w14:paraId="460F7805"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43,011</w:t>
            </w:r>
          </w:p>
        </w:tc>
        <w:tc>
          <w:tcPr>
            <w:tcW w:w="1125" w:type="dxa"/>
            <w:tcMar>
              <w:top w:w="15" w:type="dxa"/>
              <w:left w:w="15" w:type="dxa"/>
              <w:right w:w="15" w:type="dxa"/>
            </w:tcMar>
            <w:vAlign w:val="center"/>
          </w:tcPr>
          <w:p w14:paraId="5A7C2C42"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192,356</w:t>
            </w:r>
          </w:p>
        </w:tc>
      </w:tr>
      <w:tr w:rsidR="008D53C0" w:rsidRPr="000D756E" w14:paraId="496866FC" w14:textId="77777777" w:rsidTr="574A8B51">
        <w:trPr>
          <w:trHeight w:val="315"/>
        </w:trPr>
        <w:tc>
          <w:tcPr>
            <w:tcW w:w="3413" w:type="dxa"/>
            <w:tcMar>
              <w:top w:w="15" w:type="dxa"/>
              <w:left w:w="15" w:type="dxa"/>
              <w:right w:w="15" w:type="dxa"/>
            </w:tcMar>
            <w:vAlign w:val="center"/>
          </w:tcPr>
          <w:p w14:paraId="628AC9A7" w14:textId="77777777" w:rsidR="008D53C0" w:rsidRPr="000D756E" w:rsidRDefault="008D53C0">
            <w:pPr>
              <w:rPr>
                <w:rFonts w:ascii="Arial" w:eastAsia="Arial" w:hAnsi="Arial" w:cs="Arial"/>
                <w:sz w:val="24"/>
                <w:szCs w:val="24"/>
              </w:rPr>
            </w:pPr>
            <w:r w:rsidRPr="000D756E">
              <w:rPr>
                <w:rFonts w:ascii="Arial" w:eastAsia="Arial" w:hAnsi="Arial" w:cs="Arial"/>
                <w:sz w:val="24"/>
                <w:szCs w:val="24"/>
              </w:rPr>
              <w:t xml:space="preserve">Assistant Chief Fire Officer – Corporate Services </w:t>
            </w:r>
          </w:p>
        </w:tc>
        <w:tc>
          <w:tcPr>
            <w:tcW w:w="1456" w:type="dxa"/>
            <w:tcMar>
              <w:top w:w="15" w:type="dxa"/>
              <w:left w:w="15" w:type="dxa"/>
              <w:right w:w="15" w:type="dxa"/>
            </w:tcMar>
            <w:vAlign w:val="center"/>
          </w:tcPr>
          <w:p w14:paraId="0166E549"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 xml:space="preserve"> 110,526 </w:t>
            </w:r>
          </w:p>
        </w:tc>
        <w:tc>
          <w:tcPr>
            <w:tcW w:w="1065" w:type="dxa"/>
            <w:tcMar>
              <w:top w:w="15" w:type="dxa"/>
              <w:left w:w="15" w:type="dxa"/>
              <w:right w:w="15" w:type="dxa"/>
            </w:tcMar>
            <w:vAlign w:val="center"/>
          </w:tcPr>
          <w:p w14:paraId="6376DE49" w14:textId="77777777" w:rsidR="008D53C0" w:rsidRPr="000D756E" w:rsidRDefault="008D53C0">
            <w:pPr>
              <w:jc w:val="center"/>
              <w:rPr>
                <w:rFonts w:ascii="Arial" w:eastAsia="Arial" w:hAnsi="Arial" w:cs="Arial"/>
                <w:sz w:val="24"/>
                <w:szCs w:val="24"/>
              </w:rPr>
            </w:pPr>
          </w:p>
        </w:tc>
        <w:tc>
          <w:tcPr>
            <w:tcW w:w="1065" w:type="dxa"/>
            <w:tcMar>
              <w:top w:w="15" w:type="dxa"/>
              <w:left w:w="15" w:type="dxa"/>
              <w:right w:w="15" w:type="dxa"/>
            </w:tcMar>
            <w:vAlign w:val="center"/>
          </w:tcPr>
          <w:p w14:paraId="623A7C46"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110,526</w:t>
            </w:r>
          </w:p>
        </w:tc>
        <w:tc>
          <w:tcPr>
            <w:tcW w:w="1065" w:type="dxa"/>
            <w:tcMar>
              <w:top w:w="15" w:type="dxa"/>
              <w:left w:w="15" w:type="dxa"/>
              <w:right w:w="15" w:type="dxa"/>
            </w:tcMar>
            <w:vAlign w:val="center"/>
          </w:tcPr>
          <w:p w14:paraId="78BE61FE"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23,616</w:t>
            </w:r>
          </w:p>
        </w:tc>
        <w:tc>
          <w:tcPr>
            <w:tcW w:w="1125" w:type="dxa"/>
            <w:tcMar>
              <w:top w:w="15" w:type="dxa"/>
              <w:left w:w="15" w:type="dxa"/>
              <w:right w:w="15" w:type="dxa"/>
            </w:tcMar>
            <w:vAlign w:val="center"/>
          </w:tcPr>
          <w:p w14:paraId="3AC241F0"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134,142</w:t>
            </w:r>
          </w:p>
        </w:tc>
      </w:tr>
      <w:tr w:rsidR="008D53C0" w:rsidRPr="000D756E" w14:paraId="2C33DE49" w14:textId="77777777" w:rsidTr="574A8B51">
        <w:trPr>
          <w:trHeight w:val="315"/>
        </w:trPr>
        <w:tc>
          <w:tcPr>
            <w:tcW w:w="3413" w:type="dxa"/>
            <w:tcMar>
              <w:top w:w="15" w:type="dxa"/>
              <w:left w:w="15" w:type="dxa"/>
              <w:right w:w="15" w:type="dxa"/>
            </w:tcMar>
            <w:vAlign w:val="center"/>
          </w:tcPr>
          <w:p w14:paraId="4543A05F" w14:textId="77777777" w:rsidR="008D53C0" w:rsidRPr="000D756E" w:rsidRDefault="008D53C0">
            <w:pPr>
              <w:rPr>
                <w:rFonts w:ascii="Arial" w:eastAsia="Arial" w:hAnsi="Arial" w:cs="Arial"/>
                <w:sz w:val="24"/>
                <w:szCs w:val="24"/>
              </w:rPr>
            </w:pPr>
            <w:r w:rsidRPr="000D756E">
              <w:rPr>
                <w:rFonts w:ascii="Arial" w:eastAsia="Arial" w:hAnsi="Arial" w:cs="Arial"/>
                <w:sz w:val="24"/>
                <w:szCs w:val="24"/>
              </w:rPr>
              <w:t>Assistant Chief Fire Officer – Service Delivery (April 23 to Dec 23)</w:t>
            </w:r>
          </w:p>
        </w:tc>
        <w:tc>
          <w:tcPr>
            <w:tcW w:w="1456" w:type="dxa"/>
            <w:tcMar>
              <w:top w:w="15" w:type="dxa"/>
              <w:left w:w="15" w:type="dxa"/>
              <w:right w:w="15" w:type="dxa"/>
            </w:tcMar>
            <w:vAlign w:val="center"/>
          </w:tcPr>
          <w:p w14:paraId="4E6C39A6"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 xml:space="preserve">69,292 </w:t>
            </w:r>
          </w:p>
        </w:tc>
        <w:tc>
          <w:tcPr>
            <w:tcW w:w="1065" w:type="dxa"/>
            <w:tcMar>
              <w:top w:w="15" w:type="dxa"/>
              <w:left w:w="15" w:type="dxa"/>
              <w:right w:w="15" w:type="dxa"/>
            </w:tcMar>
            <w:vAlign w:val="center"/>
          </w:tcPr>
          <w:p w14:paraId="28EC66AE" w14:textId="77777777" w:rsidR="008D53C0" w:rsidRPr="000D756E" w:rsidRDefault="008D53C0">
            <w:pPr>
              <w:jc w:val="center"/>
              <w:rPr>
                <w:rFonts w:ascii="Arial" w:eastAsia="Arial" w:hAnsi="Arial" w:cs="Arial"/>
                <w:sz w:val="24"/>
                <w:szCs w:val="24"/>
              </w:rPr>
            </w:pPr>
          </w:p>
        </w:tc>
        <w:tc>
          <w:tcPr>
            <w:tcW w:w="1065" w:type="dxa"/>
            <w:tcMar>
              <w:top w:w="15" w:type="dxa"/>
              <w:left w:w="15" w:type="dxa"/>
              <w:right w:w="15" w:type="dxa"/>
            </w:tcMar>
            <w:vAlign w:val="center"/>
          </w:tcPr>
          <w:p w14:paraId="102BDEBB"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69,292</w:t>
            </w:r>
          </w:p>
        </w:tc>
        <w:tc>
          <w:tcPr>
            <w:tcW w:w="1065" w:type="dxa"/>
            <w:tcMar>
              <w:top w:w="15" w:type="dxa"/>
              <w:left w:w="15" w:type="dxa"/>
              <w:right w:w="15" w:type="dxa"/>
            </w:tcMar>
            <w:vAlign w:val="center"/>
          </w:tcPr>
          <w:p w14:paraId="7E0C6447"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19,956</w:t>
            </w:r>
          </w:p>
        </w:tc>
        <w:tc>
          <w:tcPr>
            <w:tcW w:w="1125" w:type="dxa"/>
            <w:tcMar>
              <w:top w:w="15" w:type="dxa"/>
              <w:left w:w="15" w:type="dxa"/>
              <w:right w:w="15" w:type="dxa"/>
            </w:tcMar>
            <w:vAlign w:val="center"/>
          </w:tcPr>
          <w:p w14:paraId="3C6FE869"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89,249</w:t>
            </w:r>
          </w:p>
        </w:tc>
      </w:tr>
      <w:tr w:rsidR="008D53C0" w:rsidRPr="000D756E" w14:paraId="01F0DAC6" w14:textId="77777777" w:rsidTr="574A8B51">
        <w:trPr>
          <w:trHeight w:val="315"/>
        </w:trPr>
        <w:tc>
          <w:tcPr>
            <w:tcW w:w="3413" w:type="dxa"/>
            <w:tcMar>
              <w:top w:w="15" w:type="dxa"/>
              <w:left w:w="15" w:type="dxa"/>
              <w:right w:w="15" w:type="dxa"/>
            </w:tcMar>
            <w:vAlign w:val="center"/>
          </w:tcPr>
          <w:p w14:paraId="5CE35DB3" w14:textId="77777777" w:rsidR="008D53C0" w:rsidRPr="000D756E" w:rsidRDefault="008D53C0">
            <w:pPr>
              <w:rPr>
                <w:rFonts w:ascii="Arial" w:eastAsia="Arial" w:hAnsi="Arial" w:cs="Arial"/>
                <w:sz w:val="24"/>
                <w:szCs w:val="24"/>
              </w:rPr>
            </w:pPr>
            <w:r w:rsidRPr="000D756E">
              <w:rPr>
                <w:rFonts w:ascii="Arial" w:eastAsia="Arial" w:hAnsi="Arial" w:cs="Arial"/>
                <w:sz w:val="24"/>
                <w:szCs w:val="24"/>
              </w:rPr>
              <w:t>Assistant Chief Fire Officer – Service Delivery (Oct 23 to March 24)</w:t>
            </w:r>
          </w:p>
        </w:tc>
        <w:tc>
          <w:tcPr>
            <w:tcW w:w="1456" w:type="dxa"/>
            <w:tcMar>
              <w:top w:w="15" w:type="dxa"/>
              <w:left w:w="15" w:type="dxa"/>
              <w:right w:w="15" w:type="dxa"/>
            </w:tcMar>
            <w:vAlign w:val="center"/>
          </w:tcPr>
          <w:p w14:paraId="198E8B4C"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 xml:space="preserve">54,320 </w:t>
            </w:r>
          </w:p>
        </w:tc>
        <w:tc>
          <w:tcPr>
            <w:tcW w:w="1065" w:type="dxa"/>
            <w:tcMar>
              <w:top w:w="15" w:type="dxa"/>
              <w:left w:w="15" w:type="dxa"/>
              <w:right w:w="15" w:type="dxa"/>
            </w:tcMar>
            <w:vAlign w:val="center"/>
          </w:tcPr>
          <w:p w14:paraId="0C82B256" w14:textId="77777777" w:rsidR="008D53C0" w:rsidRPr="000D756E" w:rsidRDefault="008D53C0">
            <w:pPr>
              <w:jc w:val="center"/>
              <w:rPr>
                <w:rFonts w:ascii="Arial" w:eastAsia="Arial" w:hAnsi="Arial" w:cs="Arial"/>
                <w:sz w:val="24"/>
                <w:szCs w:val="24"/>
              </w:rPr>
            </w:pPr>
          </w:p>
        </w:tc>
        <w:tc>
          <w:tcPr>
            <w:tcW w:w="1065" w:type="dxa"/>
            <w:tcMar>
              <w:top w:w="15" w:type="dxa"/>
              <w:left w:w="15" w:type="dxa"/>
              <w:right w:w="15" w:type="dxa"/>
            </w:tcMar>
            <w:vAlign w:val="center"/>
          </w:tcPr>
          <w:p w14:paraId="0D004AE9"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54,320</w:t>
            </w:r>
          </w:p>
        </w:tc>
        <w:tc>
          <w:tcPr>
            <w:tcW w:w="1065" w:type="dxa"/>
            <w:tcMar>
              <w:top w:w="15" w:type="dxa"/>
              <w:left w:w="15" w:type="dxa"/>
              <w:right w:w="15" w:type="dxa"/>
            </w:tcMar>
            <w:vAlign w:val="center"/>
          </w:tcPr>
          <w:p w14:paraId="5F4692ED"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15,638</w:t>
            </w:r>
          </w:p>
        </w:tc>
        <w:tc>
          <w:tcPr>
            <w:tcW w:w="1125" w:type="dxa"/>
            <w:tcMar>
              <w:top w:w="15" w:type="dxa"/>
              <w:left w:w="15" w:type="dxa"/>
              <w:right w:w="15" w:type="dxa"/>
            </w:tcMar>
            <w:vAlign w:val="center"/>
          </w:tcPr>
          <w:p w14:paraId="317F7679"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69,958</w:t>
            </w:r>
          </w:p>
        </w:tc>
      </w:tr>
      <w:tr w:rsidR="008D53C0" w:rsidRPr="000D756E" w14:paraId="53A7B715" w14:textId="77777777" w:rsidTr="574A8B51">
        <w:trPr>
          <w:trHeight w:val="315"/>
        </w:trPr>
        <w:tc>
          <w:tcPr>
            <w:tcW w:w="3413" w:type="dxa"/>
            <w:tcMar>
              <w:top w:w="15" w:type="dxa"/>
              <w:left w:w="15" w:type="dxa"/>
              <w:right w:w="15" w:type="dxa"/>
            </w:tcMar>
            <w:vAlign w:val="center"/>
          </w:tcPr>
          <w:p w14:paraId="76936C26" w14:textId="77777777" w:rsidR="008D53C0" w:rsidRPr="000D756E" w:rsidRDefault="008D53C0">
            <w:pPr>
              <w:rPr>
                <w:rFonts w:ascii="Arial" w:eastAsia="Arial" w:hAnsi="Arial" w:cs="Arial"/>
                <w:sz w:val="24"/>
                <w:szCs w:val="24"/>
              </w:rPr>
            </w:pPr>
            <w:r w:rsidRPr="000D756E">
              <w:rPr>
                <w:rFonts w:ascii="Arial" w:eastAsia="Arial" w:hAnsi="Arial" w:cs="Arial"/>
                <w:sz w:val="24"/>
                <w:szCs w:val="24"/>
              </w:rPr>
              <w:t>Head of Resources</w:t>
            </w:r>
          </w:p>
        </w:tc>
        <w:tc>
          <w:tcPr>
            <w:tcW w:w="1456" w:type="dxa"/>
            <w:tcMar>
              <w:top w:w="15" w:type="dxa"/>
              <w:left w:w="15" w:type="dxa"/>
              <w:right w:w="15" w:type="dxa"/>
            </w:tcMar>
            <w:vAlign w:val="center"/>
          </w:tcPr>
          <w:p w14:paraId="10A8D835"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 xml:space="preserve">67,160 </w:t>
            </w:r>
          </w:p>
        </w:tc>
        <w:tc>
          <w:tcPr>
            <w:tcW w:w="1065" w:type="dxa"/>
            <w:tcMar>
              <w:top w:w="15" w:type="dxa"/>
              <w:left w:w="15" w:type="dxa"/>
              <w:right w:w="15" w:type="dxa"/>
            </w:tcMar>
            <w:vAlign w:val="center"/>
          </w:tcPr>
          <w:p w14:paraId="387B1A08" w14:textId="77777777" w:rsidR="008D53C0" w:rsidRPr="000D756E" w:rsidRDefault="008D53C0">
            <w:pPr>
              <w:jc w:val="center"/>
              <w:rPr>
                <w:rFonts w:ascii="Arial" w:eastAsia="Arial" w:hAnsi="Arial" w:cs="Arial"/>
                <w:sz w:val="24"/>
                <w:szCs w:val="24"/>
              </w:rPr>
            </w:pPr>
            <w:r w:rsidRPr="000D756E">
              <w:rPr>
                <w:rFonts w:ascii="Arial" w:eastAsia="Arial" w:hAnsi="Arial" w:cs="Arial"/>
                <w:sz w:val="24"/>
                <w:szCs w:val="24"/>
              </w:rPr>
              <w:t xml:space="preserve"> 887 </w:t>
            </w:r>
          </w:p>
        </w:tc>
        <w:tc>
          <w:tcPr>
            <w:tcW w:w="1065" w:type="dxa"/>
            <w:tcMar>
              <w:top w:w="15" w:type="dxa"/>
              <w:left w:w="15" w:type="dxa"/>
              <w:right w:w="15" w:type="dxa"/>
            </w:tcMar>
            <w:vAlign w:val="center"/>
          </w:tcPr>
          <w:p w14:paraId="65A28842"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68,047</w:t>
            </w:r>
          </w:p>
        </w:tc>
        <w:tc>
          <w:tcPr>
            <w:tcW w:w="1065" w:type="dxa"/>
            <w:tcMar>
              <w:top w:w="15" w:type="dxa"/>
              <w:left w:w="15" w:type="dxa"/>
              <w:right w:w="15" w:type="dxa"/>
            </w:tcMar>
            <w:vAlign w:val="center"/>
          </w:tcPr>
          <w:p w14:paraId="275246A3"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11,417</w:t>
            </w:r>
          </w:p>
        </w:tc>
        <w:tc>
          <w:tcPr>
            <w:tcW w:w="1125" w:type="dxa"/>
            <w:tcMar>
              <w:top w:w="15" w:type="dxa"/>
              <w:left w:w="15" w:type="dxa"/>
              <w:right w:w="15" w:type="dxa"/>
            </w:tcMar>
            <w:vAlign w:val="center"/>
          </w:tcPr>
          <w:p w14:paraId="1A6C9BF5"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79,464</w:t>
            </w:r>
          </w:p>
        </w:tc>
      </w:tr>
      <w:tr w:rsidR="008D53C0" w:rsidRPr="000D756E" w14:paraId="5823D69E" w14:textId="77777777" w:rsidTr="574A8B51">
        <w:trPr>
          <w:trHeight w:val="315"/>
        </w:trPr>
        <w:tc>
          <w:tcPr>
            <w:tcW w:w="3413" w:type="dxa"/>
            <w:tcMar>
              <w:top w:w="15" w:type="dxa"/>
              <w:left w:w="15" w:type="dxa"/>
              <w:right w:w="15" w:type="dxa"/>
            </w:tcMar>
            <w:vAlign w:val="center"/>
          </w:tcPr>
          <w:p w14:paraId="642C793F" w14:textId="77777777" w:rsidR="008D53C0" w:rsidRPr="000D756E" w:rsidRDefault="008D53C0">
            <w:pPr>
              <w:rPr>
                <w:rFonts w:ascii="Arial" w:eastAsia="Arial" w:hAnsi="Arial" w:cs="Arial"/>
                <w:sz w:val="24"/>
                <w:szCs w:val="24"/>
              </w:rPr>
            </w:pPr>
            <w:r w:rsidRPr="000D756E">
              <w:rPr>
                <w:rFonts w:ascii="Arial" w:eastAsia="Arial" w:hAnsi="Arial" w:cs="Arial"/>
                <w:sz w:val="24"/>
                <w:szCs w:val="24"/>
              </w:rPr>
              <w:t>Head of Finance (pro rata)</w:t>
            </w:r>
          </w:p>
        </w:tc>
        <w:tc>
          <w:tcPr>
            <w:tcW w:w="1456" w:type="dxa"/>
            <w:tcMar>
              <w:top w:w="15" w:type="dxa"/>
              <w:left w:w="15" w:type="dxa"/>
              <w:right w:w="15" w:type="dxa"/>
            </w:tcMar>
            <w:vAlign w:val="center"/>
          </w:tcPr>
          <w:p w14:paraId="19345E86"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 xml:space="preserve">60,881 </w:t>
            </w:r>
          </w:p>
        </w:tc>
        <w:tc>
          <w:tcPr>
            <w:tcW w:w="1065" w:type="dxa"/>
            <w:tcMar>
              <w:top w:w="15" w:type="dxa"/>
              <w:left w:w="15" w:type="dxa"/>
              <w:right w:w="15" w:type="dxa"/>
            </w:tcMar>
            <w:vAlign w:val="center"/>
          </w:tcPr>
          <w:p w14:paraId="091AFF18" w14:textId="77777777" w:rsidR="008D53C0" w:rsidRPr="000D756E" w:rsidRDefault="008D53C0">
            <w:pPr>
              <w:jc w:val="center"/>
              <w:rPr>
                <w:rFonts w:ascii="Arial" w:eastAsia="Arial" w:hAnsi="Arial" w:cs="Arial"/>
                <w:sz w:val="24"/>
                <w:szCs w:val="24"/>
              </w:rPr>
            </w:pPr>
          </w:p>
        </w:tc>
        <w:tc>
          <w:tcPr>
            <w:tcW w:w="1065" w:type="dxa"/>
            <w:tcMar>
              <w:top w:w="15" w:type="dxa"/>
              <w:left w:w="15" w:type="dxa"/>
              <w:right w:w="15" w:type="dxa"/>
            </w:tcMar>
            <w:vAlign w:val="center"/>
          </w:tcPr>
          <w:p w14:paraId="6BB8E8F9"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60,881</w:t>
            </w:r>
          </w:p>
        </w:tc>
        <w:tc>
          <w:tcPr>
            <w:tcW w:w="1065" w:type="dxa"/>
            <w:tcMar>
              <w:top w:w="15" w:type="dxa"/>
              <w:left w:w="15" w:type="dxa"/>
              <w:right w:w="15" w:type="dxa"/>
            </w:tcMar>
            <w:vAlign w:val="center"/>
          </w:tcPr>
          <w:p w14:paraId="2FCE8D92"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10,343</w:t>
            </w:r>
          </w:p>
        </w:tc>
        <w:tc>
          <w:tcPr>
            <w:tcW w:w="1125" w:type="dxa"/>
            <w:tcMar>
              <w:top w:w="15" w:type="dxa"/>
              <w:left w:w="15" w:type="dxa"/>
              <w:right w:w="15" w:type="dxa"/>
            </w:tcMar>
            <w:vAlign w:val="center"/>
          </w:tcPr>
          <w:p w14:paraId="2219F049" w14:textId="77777777" w:rsidR="008D53C0" w:rsidRPr="000D756E" w:rsidRDefault="008D53C0">
            <w:pPr>
              <w:jc w:val="right"/>
              <w:rPr>
                <w:rFonts w:ascii="Arial" w:eastAsia="Arial" w:hAnsi="Arial" w:cs="Arial"/>
                <w:sz w:val="24"/>
                <w:szCs w:val="24"/>
              </w:rPr>
            </w:pPr>
            <w:r w:rsidRPr="000D756E">
              <w:rPr>
                <w:rFonts w:ascii="Arial" w:eastAsia="Arial" w:hAnsi="Arial" w:cs="Arial"/>
                <w:sz w:val="24"/>
                <w:szCs w:val="24"/>
              </w:rPr>
              <w:t>71,224</w:t>
            </w:r>
          </w:p>
        </w:tc>
      </w:tr>
    </w:tbl>
    <w:p w14:paraId="617DB0A0" w14:textId="675305B2" w:rsidR="574A8B51" w:rsidRDefault="574A8B51"/>
    <w:p w14:paraId="55735925" w14:textId="15034398" w:rsidR="006E113D" w:rsidRDefault="006E113D">
      <w:pPr>
        <w:rPr>
          <w:rFonts w:ascii="Arial" w:eastAsia="Arial" w:hAnsi="Arial" w:cs="Arial"/>
          <w:sz w:val="24"/>
          <w:szCs w:val="24"/>
        </w:rPr>
      </w:pPr>
      <w:r>
        <w:rPr>
          <w:rFonts w:ascii="Arial" w:eastAsia="Arial" w:hAnsi="Arial" w:cs="Arial"/>
          <w:sz w:val="24"/>
          <w:szCs w:val="24"/>
        </w:rPr>
        <w:br w:type="page"/>
      </w:r>
    </w:p>
    <w:p w14:paraId="3944E2DB" w14:textId="77777777" w:rsidR="45B26E0A" w:rsidRPr="000D756E" w:rsidRDefault="45B26E0A" w:rsidP="40CEB4A7">
      <w:pPr>
        <w:rPr>
          <w:rFonts w:ascii="Arial" w:eastAsia="Arial" w:hAnsi="Arial" w:cs="Arial"/>
          <w:sz w:val="24"/>
          <w:szCs w:val="24"/>
        </w:rPr>
      </w:pPr>
    </w:p>
    <w:p w14:paraId="016C91F7" w14:textId="6A940F5E" w:rsidR="45B26E0A" w:rsidRPr="000D756E" w:rsidRDefault="7D1091CF" w:rsidP="40CEB4A7">
      <w:pPr>
        <w:spacing w:line="259" w:lineRule="auto"/>
        <w:rPr>
          <w:rFonts w:ascii="Arial" w:eastAsia="Arial" w:hAnsi="Arial" w:cs="Arial"/>
          <w:b/>
          <w:bCs/>
          <w:sz w:val="24"/>
          <w:szCs w:val="24"/>
        </w:rPr>
      </w:pPr>
      <w:r w:rsidRPr="00567CEE">
        <w:rPr>
          <w:rFonts w:ascii="Arial" w:eastAsia="Arial" w:hAnsi="Arial" w:cs="Arial"/>
          <w:b/>
          <w:sz w:val="24"/>
          <w:szCs w:val="24"/>
        </w:rPr>
        <w:t xml:space="preserve">TERMINATION </w:t>
      </w:r>
      <w:r w:rsidR="4D38E56C" w:rsidRPr="00567CEE">
        <w:rPr>
          <w:rFonts w:ascii="Arial" w:eastAsia="Arial" w:hAnsi="Arial" w:cs="Arial"/>
          <w:b/>
          <w:sz w:val="24"/>
          <w:szCs w:val="24"/>
        </w:rPr>
        <w:t>BENEFITS</w:t>
      </w:r>
    </w:p>
    <w:p w14:paraId="45BB1A77" w14:textId="54D0CA00" w:rsidR="359B8F63" w:rsidRDefault="359B8F63" w:rsidP="359B8F63">
      <w:pPr>
        <w:spacing w:line="259" w:lineRule="auto"/>
        <w:rPr>
          <w:rFonts w:ascii="Arial" w:eastAsia="Arial" w:hAnsi="Arial" w:cs="Arial"/>
          <w:b/>
          <w:bCs/>
          <w:sz w:val="24"/>
          <w:szCs w:val="24"/>
        </w:rPr>
      </w:pPr>
    </w:p>
    <w:p w14:paraId="0FF18281" w14:textId="4C71FA76" w:rsidR="3BD91FDB" w:rsidRDefault="3BD91FDB" w:rsidP="359B8F63">
      <w:pPr>
        <w:rPr>
          <w:rFonts w:ascii="Arial" w:eastAsia="Arial" w:hAnsi="Arial" w:cs="Arial"/>
          <w:sz w:val="24"/>
          <w:szCs w:val="24"/>
        </w:rPr>
      </w:pPr>
      <w:r w:rsidRPr="359B8F63">
        <w:rPr>
          <w:rFonts w:ascii="Arial" w:eastAsia="Arial" w:hAnsi="Arial" w:cs="Arial"/>
          <w:sz w:val="24"/>
          <w:szCs w:val="24"/>
        </w:rPr>
        <w:t>The number of termination payments with total cost per band are set out in the table below.</w:t>
      </w:r>
    </w:p>
    <w:p w14:paraId="7F8A2B1A" w14:textId="3CCE8882" w:rsidR="359B8F63" w:rsidRDefault="359B8F63" w:rsidP="359B8F63">
      <w:pPr>
        <w:spacing w:line="259" w:lineRule="auto"/>
        <w:rPr>
          <w:rFonts w:ascii="Arial" w:eastAsia="Arial" w:hAnsi="Arial" w:cs="Arial"/>
          <w:b/>
          <w:bCs/>
          <w:sz w:val="24"/>
          <w:szCs w:val="24"/>
        </w:rPr>
      </w:pPr>
    </w:p>
    <w:p w14:paraId="06E1471A" w14:textId="6F958949" w:rsidR="45B26E0A" w:rsidRPr="000D756E" w:rsidRDefault="45B26E0A" w:rsidP="40CEB4A7">
      <w:pPr>
        <w:spacing w:line="259" w:lineRule="auto"/>
        <w:rPr>
          <w:rFonts w:ascii="Arial" w:eastAsia="Arial" w:hAnsi="Arial" w:cs="Arial"/>
          <w:sz w:val="24"/>
          <w:szCs w:val="24"/>
        </w:rPr>
      </w:pPr>
    </w:p>
    <w:tbl>
      <w:tblPr>
        <w:tblStyle w:val="TableGrid"/>
        <w:tblW w:w="6762" w:type="dxa"/>
        <w:tblLayout w:type="fixed"/>
        <w:tblLook w:val="06A0" w:firstRow="1" w:lastRow="0" w:firstColumn="1" w:lastColumn="0" w:noHBand="1" w:noVBand="1"/>
      </w:tblPr>
      <w:tblGrid>
        <w:gridCol w:w="2254"/>
        <w:gridCol w:w="2254"/>
        <w:gridCol w:w="2254"/>
      </w:tblGrid>
      <w:tr w:rsidR="40CEB4A7" w14:paraId="1C2DA953" w14:textId="77777777" w:rsidTr="08C084E8">
        <w:trPr>
          <w:trHeight w:val="300"/>
        </w:trPr>
        <w:tc>
          <w:tcPr>
            <w:tcW w:w="2254" w:type="dxa"/>
          </w:tcPr>
          <w:p w14:paraId="4B8CE887" w14:textId="51DE24D5" w:rsidR="58808ED4" w:rsidRDefault="58808ED4" w:rsidP="40CEB4A7">
            <w:pPr>
              <w:rPr>
                <w:rFonts w:ascii="Arial" w:eastAsia="Arial" w:hAnsi="Arial" w:cs="Arial"/>
                <w:sz w:val="24"/>
                <w:szCs w:val="24"/>
              </w:rPr>
            </w:pPr>
            <w:r w:rsidRPr="359B8F63">
              <w:rPr>
                <w:rFonts w:ascii="Arial" w:eastAsia="Arial" w:hAnsi="Arial" w:cs="Arial"/>
                <w:sz w:val="24"/>
                <w:szCs w:val="24"/>
              </w:rPr>
              <w:t>Termination Payment Band</w:t>
            </w:r>
            <w:r w:rsidR="4193C9EC" w:rsidRPr="359B8F63">
              <w:rPr>
                <w:rFonts w:ascii="Arial" w:eastAsia="Arial" w:hAnsi="Arial" w:cs="Arial"/>
                <w:sz w:val="24"/>
                <w:szCs w:val="24"/>
              </w:rPr>
              <w:t xml:space="preserve"> (£)</w:t>
            </w:r>
          </w:p>
        </w:tc>
        <w:tc>
          <w:tcPr>
            <w:tcW w:w="2254" w:type="dxa"/>
          </w:tcPr>
          <w:p w14:paraId="4706E00A" w14:textId="3D94AEEE" w:rsidR="79D2A9A1" w:rsidRDefault="79D2A9A1" w:rsidP="40CEB4A7">
            <w:pPr>
              <w:rPr>
                <w:rFonts w:ascii="Arial" w:eastAsia="Arial" w:hAnsi="Arial" w:cs="Arial"/>
                <w:sz w:val="24"/>
                <w:szCs w:val="24"/>
              </w:rPr>
            </w:pPr>
            <w:r w:rsidRPr="40CEB4A7">
              <w:rPr>
                <w:rFonts w:ascii="Arial" w:eastAsia="Arial" w:hAnsi="Arial" w:cs="Arial"/>
                <w:sz w:val="24"/>
                <w:szCs w:val="24"/>
              </w:rPr>
              <w:t>Number of Payments in Band</w:t>
            </w:r>
          </w:p>
        </w:tc>
        <w:tc>
          <w:tcPr>
            <w:tcW w:w="2254" w:type="dxa"/>
          </w:tcPr>
          <w:p w14:paraId="0ACFF03F" w14:textId="665562E5" w:rsidR="40CEB4A7" w:rsidRDefault="45EA1140" w:rsidP="40CEB4A7">
            <w:pPr>
              <w:rPr>
                <w:rFonts w:ascii="Arial" w:eastAsia="Arial" w:hAnsi="Arial" w:cs="Arial"/>
                <w:sz w:val="24"/>
                <w:szCs w:val="24"/>
              </w:rPr>
            </w:pPr>
            <w:r w:rsidRPr="359B8F63">
              <w:rPr>
                <w:rFonts w:ascii="Arial" w:eastAsia="Arial" w:hAnsi="Arial" w:cs="Arial"/>
                <w:sz w:val="24"/>
                <w:szCs w:val="24"/>
              </w:rPr>
              <w:t>Total Value of Payments in Band</w:t>
            </w:r>
            <w:r w:rsidR="439D5BF5" w:rsidRPr="359B8F63">
              <w:rPr>
                <w:rFonts w:ascii="Arial" w:eastAsia="Arial" w:hAnsi="Arial" w:cs="Arial"/>
                <w:sz w:val="24"/>
                <w:szCs w:val="24"/>
              </w:rPr>
              <w:t xml:space="preserve"> (£)</w:t>
            </w:r>
          </w:p>
        </w:tc>
      </w:tr>
      <w:tr w:rsidR="40CEB4A7" w14:paraId="6AB31764" w14:textId="77777777" w:rsidTr="08C084E8">
        <w:trPr>
          <w:trHeight w:val="300"/>
        </w:trPr>
        <w:tc>
          <w:tcPr>
            <w:tcW w:w="2254" w:type="dxa"/>
          </w:tcPr>
          <w:p w14:paraId="4C5B8EC5" w14:textId="1CE6C443" w:rsidR="2E17B174" w:rsidRDefault="2E17B174" w:rsidP="40CEB4A7">
            <w:pPr>
              <w:rPr>
                <w:rFonts w:ascii="Arial" w:eastAsia="Arial" w:hAnsi="Arial" w:cs="Arial"/>
                <w:sz w:val="24"/>
                <w:szCs w:val="24"/>
              </w:rPr>
            </w:pPr>
            <w:r w:rsidRPr="40CEB4A7">
              <w:rPr>
                <w:rFonts w:ascii="Arial" w:eastAsia="Arial" w:hAnsi="Arial" w:cs="Arial"/>
                <w:sz w:val="24"/>
                <w:szCs w:val="24"/>
              </w:rPr>
              <w:t>0 – 20,000</w:t>
            </w:r>
          </w:p>
        </w:tc>
        <w:tc>
          <w:tcPr>
            <w:tcW w:w="2254" w:type="dxa"/>
          </w:tcPr>
          <w:p w14:paraId="7F4AC62E" w14:textId="06BA6E1C" w:rsidR="40CEB4A7" w:rsidRDefault="3BF4633A" w:rsidP="40CEB4A7">
            <w:pPr>
              <w:rPr>
                <w:rFonts w:ascii="Arial" w:eastAsia="Arial" w:hAnsi="Arial" w:cs="Arial"/>
                <w:sz w:val="24"/>
                <w:szCs w:val="24"/>
              </w:rPr>
            </w:pPr>
            <w:r w:rsidRPr="359B8F63">
              <w:rPr>
                <w:rFonts w:ascii="Arial" w:eastAsia="Arial" w:hAnsi="Arial" w:cs="Arial"/>
                <w:sz w:val="24"/>
                <w:szCs w:val="24"/>
              </w:rPr>
              <w:t>0</w:t>
            </w:r>
          </w:p>
        </w:tc>
        <w:tc>
          <w:tcPr>
            <w:tcW w:w="2254" w:type="dxa"/>
          </w:tcPr>
          <w:p w14:paraId="4149E3E5" w14:textId="7F6F519F" w:rsidR="40CEB4A7" w:rsidRDefault="3BF4633A" w:rsidP="40CEB4A7">
            <w:pPr>
              <w:rPr>
                <w:rFonts w:ascii="Arial" w:eastAsia="Arial" w:hAnsi="Arial" w:cs="Arial"/>
                <w:sz w:val="24"/>
                <w:szCs w:val="24"/>
              </w:rPr>
            </w:pPr>
            <w:r w:rsidRPr="359B8F63">
              <w:rPr>
                <w:rFonts w:ascii="Arial" w:eastAsia="Arial" w:hAnsi="Arial" w:cs="Arial"/>
                <w:sz w:val="24"/>
                <w:szCs w:val="24"/>
              </w:rPr>
              <w:t>0</w:t>
            </w:r>
          </w:p>
        </w:tc>
      </w:tr>
      <w:tr w:rsidR="40CEB4A7" w14:paraId="2472E2C1" w14:textId="77777777" w:rsidTr="08C084E8">
        <w:trPr>
          <w:trHeight w:val="300"/>
        </w:trPr>
        <w:tc>
          <w:tcPr>
            <w:tcW w:w="2254" w:type="dxa"/>
          </w:tcPr>
          <w:p w14:paraId="7341DB83" w14:textId="3D139413" w:rsidR="2E17B174" w:rsidRDefault="2E17B174" w:rsidP="40CEB4A7">
            <w:pPr>
              <w:rPr>
                <w:rFonts w:ascii="Arial" w:eastAsia="Arial" w:hAnsi="Arial" w:cs="Arial"/>
                <w:sz w:val="24"/>
                <w:szCs w:val="24"/>
              </w:rPr>
            </w:pPr>
            <w:r w:rsidRPr="08C084E8">
              <w:rPr>
                <w:rFonts w:ascii="Arial" w:eastAsia="Arial" w:hAnsi="Arial" w:cs="Arial"/>
                <w:sz w:val="24"/>
                <w:szCs w:val="24"/>
              </w:rPr>
              <w:t xml:space="preserve">20,000 – </w:t>
            </w:r>
            <w:r w:rsidR="61B17427" w:rsidRPr="08C084E8">
              <w:rPr>
                <w:rFonts w:ascii="Arial" w:eastAsia="Arial" w:hAnsi="Arial" w:cs="Arial"/>
                <w:sz w:val="24"/>
                <w:szCs w:val="24"/>
              </w:rPr>
              <w:t>8</w:t>
            </w:r>
            <w:r w:rsidRPr="08C084E8">
              <w:rPr>
                <w:rFonts w:ascii="Arial" w:eastAsia="Arial" w:hAnsi="Arial" w:cs="Arial"/>
                <w:sz w:val="24"/>
                <w:szCs w:val="24"/>
              </w:rPr>
              <w:t>0,000</w:t>
            </w:r>
          </w:p>
        </w:tc>
        <w:tc>
          <w:tcPr>
            <w:tcW w:w="2254" w:type="dxa"/>
          </w:tcPr>
          <w:p w14:paraId="4D13A49B" w14:textId="548F869D" w:rsidR="40CEB4A7" w:rsidRDefault="35986712" w:rsidP="40CEB4A7">
            <w:pPr>
              <w:rPr>
                <w:rFonts w:ascii="Arial" w:eastAsia="Arial" w:hAnsi="Arial" w:cs="Arial"/>
                <w:sz w:val="24"/>
                <w:szCs w:val="24"/>
              </w:rPr>
            </w:pPr>
            <w:r w:rsidRPr="08C084E8">
              <w:rPr>
                <w:rFonts w:ascii="Arial" w:eastAsia="Arial" w:hAnsi="Arial" w:cs="Arial"/>
                <w:sz w:val="24"/>
                <w:szCs w:val="24"/>
              </w:rPr>
              <w:t>2</w:t>
            </w:r>
          </w:p>
        </w:tc>
        <w:tc>
          <w:tcPr>
            <w:tcW w:w="2254" w:type="dxa"/>
          </w:tcPr>
          <w:p w14:paraId="0350227A" w14:textId="218C3C56" w:rsidR="40CEB4A7" w:rsidRDefault="35986712" w:rsidP="40CEB4A7">
            <w:pPr>
              <w:rPr>
                <w:rFonts w:ascii="Arial" w:eastAsia="Arial" w:hAnsi="Arial" w:cs="Arial"/>
                <w:sz w:val="24"/>
                <w:szCs w:val="24"/>
              </w:rPr>
            </w:pPr>
            <w:r w:rsidRPr="08C084E8">
              <w:rPr>
                <w:rFonts w:ascii="Arial" w:eastAsia="Arial" w:hAnsi="Arial" w:cs="Arial"/>
                <w:sz w:val="24"/>
                <w:szCs w:val="24"/>
              </w:rPr>
              <w:t>97</w:t>
            </w:r>
            <w:r w:rsidR="00BD5AE2" w:rsidRPr="08C084E8">
              <w:rPr>
                <w:rFonts w:ascii="Arial" w:eastAsia="Arial" w:hAnsi="Arial" w:cs="Arial"/>
                <w:sz w:val="24"/>
                <w:szCs w:val="24"/>
              </w:rPr>
              <w:t>,000</w:t>
            </w:r>
          </w:p>
        </w:tc>
      </w:tr>
    </w:tbl>
    <w:p w14:paraId="19106FF0" w14:textId="0F8BEF2D" w:rsidR="08C084E8" w:rsidRDefault="08C084E8"/>
    <w:p w14:paraId="00292DEC" w14:textId="48DCECAF" w:rsidR="45B26E0A" w:rsidRPr="000D756E" w:rsidRDefault="45B26E0A" w:rsidP="40CEB4A7">
      <w:pPr>
        <w:rPr>
          <w:rFonts w:ascii="Arial" w:eastAsia="Arial" w:hAnsi="Arial" w:cs="Arial"/>
          <w:sz w:val="24"/>
          <w:szCs w:val="24"/>
        </w:rPr>
      </w:pPr>
    </w:p>
    <w:p w14:paraId="58F7F3B7" w14:textId="07D38649" w:rsidR="40CEB4A7" w:rsidRDefault="40CEB4A7" w:rsidP="40CEB4A7">
      <w:pPr>
        <w:rPr>
          <w:rFonts w:ascii="Arial" w:eastAsia="Arial" w:hAnsi="Arial" w:cs="Arial"/>
          <w:sz w:val="24"/>
          <w:szCs w:val="24"/>
        </w:rPr>
      </w:pPr>
    </w:p>
    <w:p w14:paraId="1641C830" w14:textId="77777777" w:rsidR="002D394E" w:rsidRPr="008C469B" w:rsidRDefault="002D394E" w:rsidP="002D394E">
      <w:pPr>
        <w:pStyle w:val="ListParagraph"/>
        <w:numPr>
          <w:ilvl w:val="0"/>
          <w:numId w:val="15"/>
        </w:numPr>
        <w:rPr>
          <w:rFonts w:ascii="Arial" w:hAnsi="Arial" w:cs="Arial"/>
          <w:b/>
          <w:szCs w:val="24"/>
        </w:rPr>
      </w:pPr>
      <w:r w:rsidRPr="008C469B">
        <w:rPr>
          <w:rFonts w:ascii="Arial" w:hAnsi="Arial" w:cs="Arial"/>
          <w:b/>
          <w:szCs w:val="24"/>
        </w:rPr>
        <w:t xml:space="preserve">EXTERNAL AUDIT COSTS   </w:t>
      </w:r>
    </w:p>
    <w:p w14:paraId="74A99FCB" w14:textId="77777777" w:rsidR="002D394E" w:rsidRPr="000D756E" w:rsidRDefault="002D394E" w:rsidP="002D394E">
      <w:pPr>
        <w:pStyle w:val="ListParagraph"/>
        <w:ind w:left="360"/>
        <w:rPr>
          <w:rFonts w:ascii="Arial" w:hAnsi="Arial" w:cs="Arial"/>
          <w:b/>
          <w:szCs w:val="24"/>
        </w:rPr>
      </w:pPr>
    </w:p>
    <w:p w14:paraId="2A641E17" w14:textId="77777777" w:rsidR="002D394E" w:rsidRPr="000D756E" w:rsidRDefault="002D394E" w:rsidP="002D394E">
      <w:pPr>
        <w:pStyle w:val="ListParagraph"/>
        <w:ind w:left="360"/>
        <w:rPr>
          <w:rFonts w:ascii="Arial" w:hAnsi="Arial" w:cs="Arial"/>
          <w:szCs w:val="24"/>
        </w:rPr>
      </w:pPr>
      <w:r w:rsidRPr="000D756E">
        <w:rPr>
          <w:rFonts w:ascii="Arial" w:hAnsi="Arial" w:cs="Arial"/>
          <w:szCs w:val="24"/>
        </w:rPr>
        <w:t>The Authority has incurred the following costs in relation to the audit of the Statement of Accounts and statutory inspections to non audit services provided by the Authority’s external auditors:</w:t>
      </w:r>
    </w:p>
    <w:p w14:paraId="5DE32F32" w14:textId="77777777" w:rsidR="002D394E" w:rsidRPr="000D756E" w:rsidRDefault="002D394E" w:rsidP="002D394E">
      <w:pPr>
        <w:pStyle w:val="ListParagraph"/>
        <w:ind w:left="360"/>
        <w:rPr>
          <w:rFonts w:ascii="Arial" w:hAnsi="Arial" w:cs="Arial"/>
          <w:szCs w:val="24"/>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1276"/>
        <w:gridCol w:w="1276"/>
      </w:tblGrid>
      <w:tr w:rsidR="000D756E" w:rsidRPr="000D756E" w14:paraId="148ADC28" w14:textId="77777777" w:rsidTr="006A4203">
        <w:trPr>
          <w:trHeight w:val="617"/>
        </w:trPr>
        <w:tc>
          <w:tcPr>
            <w:tcW w:w="5098" w:type="dxa"/>
          </w:tcPr>
          <w:p w14:paraId="6F967F02" w14:textId="77777777" w:rsidR="002D394E" w:rsidRPr="000D756E" w:rsidRDefault="002D394E" w:rsidP="00372645">
            <w:pPr>
              <w:rPr>
                <w:rFonts w:ascii="Arial" w:hAnsi="Arial" w:cs="Arial"/>
                <w:b/>
                <w:sz w:val="24"/>
                <w:szCs w:val="24"/>
              </w:rPr>
            </w:pPr>
          </w:p>
        </w:tc>
        <w:tc>
          <w:tcPr>
            <w:tcW w:w="1276" w:type="dxa"/>
          </w:tcPr>
          <w:p w14:paraId="7B935480" w14:textId="579582E9" w:rsidR="002D394E" w:rsidRPr="000D756E" w:rsidRDefault="002D394E" w:rsidP="00372645">
            <w:pPr>
              <w:jc w:val="right"/>
              <w:rPr>
                <w:rFonts w:ascii="Arial" w:hAnsi="Arial" w:cs="Arial"/>
                <w:b/>
                <w:bCs/>
                <w:sz w:val="24"/>
                <w:szCs w:val="24"/>
              </w:rPr>
            </w:pPr>
            <w:r w:rsidRPr="000D756E">
              <w:rPr>
                <w:rFonts w:ascii="Arial" w:hAnsi="Arial" w:cs="Arial"/>
                <w:b/>
                <w:bCs/>
                <w:sz w:val="24"/>
                <w:szCs w:val="24"/>
              </w:rPr>
              <w:t>202</w:t>
            </w:r>
            <w:r w:rsidR="006F21BB">
              <w:rPr>
                <w:rFonts w:ascii="Arial" w:hAnsi="Arial" w:cs="Arial"/>
                <w:b/>
                <w:bCs/>
                <w:sz w:val="24"/>
                <w:szCs w:val="24"/>
              </w:rPr>
              <w:t>4/25</w:t>
            </w:r>
          </w:p>
          <w:p w14:paraId="5E1DBE8A" w14:textId="77777777" w:rsidR="002D394E" w:rsidRPr="000D756E" w:rsidRDefault="002D394E" w:rsidP="00372645">
            <w:pPr>
              <w:jc w:val="right"/>
              <w:rPr>
                <w:rFonts w:ascii="Arial" w:hAnsi="Arial" w:cs="Arial"/>
                <w:b/>
                <w:sz w:val="24"/>
                <w:szCs w:val="24"/>
              </w:rPr>
            </w:pPr>
            <w:r w:rsidRPr="000D756E">
              <w:rPr>
                <w:rFonts w:ascii="Arial" w:hAnsi="Arial" w:cs="Arial"/>
                <w:b/>
                <w:sz w:val="24"/>
                <w:szCs w:val="24"/>
              </w:rPr>
              <w:t>£’000</w:t>
            </w:r>
          </w:p>
        </w:tc>
        <w:tc>
          <w:tcPr>
            <w:tcW w:w="1276" w:type="dxa"/>
          </w:tcPr>
          <w:p w14:paraId="0FD8FACD" w14:textId="06D70DE6" w:rsidR="002D394E" w:rsidRPr="000D756E" w:rsidRDefault="002D394E" w:rsidP="00CB2AE9">
            <w:pPr>
              <w:jc w:val="right"/>
              <w:rPr>
                <w:rFonts w:ascii="Arial" w:hAnsi="Arial" w:cs="Arial"/>
                <w:b/>
                <w:sz w:val="24"/>
                <w:szCs w:val="24"/>
              </w:rPr>
            </w:pPr>
            <w:r w:rsidRPr="000D756E">
              <w:rPr>
                <w:rFonts w:ascii="Arial" w:hAnsi="Arial" w:cs="Arial"/>
                <w:b/>
                <w:bCs/>
                <w:sz w:val="24"/>
                <w:szCs w:val="24"/>
              </w:rPr>
              <w:t>202</w:t>
            </w:r>
            <w:r w:rsidR="006F21BB">
              <w:rPr>
                <w:rFonts w:ascii="Arial" w:hAnsi="Arial" w:cs="Arial"/>
                <w:b/>
                <w:bCs/>
                <w:sz w:val="24"/>
                <w:szCs w:val="24"/>
              </w:rPr>
              <w:t>3/24</w:t>
            </w:r>
          </w:p>
          <w:p w14:paraId="121A430C" w14:textId="77777777" w:rsidR="002D394E" w:rsidRPr="000D756E" w:rsidRDefault="002D394E" w:rsidP="00372645">
            <w:pPr>
              <w:jc w:val="right"/>
              <w:rPr>
                <w:rFonts w:ascii="Arial" w:hAnsi="Arial" w:cs="Arial"/>
                <w:b/>
                <w:sz w:val="24"/>
                <w:szCs w:val="24"/>
              </w:rPr>
            </w:pPr>
            <w:r w:rsidRPr="000D756E">
              <w:rPr>
                <w:rFonts w:ascii="Arial" w:hAnsi="Arial" w:cs="Arial"/>
                <w:b/>
                <w:sz w:val="24"/>
                <w:szCs w:val="24"/>
              </w:rPr>
              <w:t>£’000</w:t>
            </w:r>
          </w:p>
        </w:tc>
      </w:tr>
      <w:tr w:rsidR="006F21BB" w:rsidRPr="000D756E" w14:paraId="4CD7517D" w14:textId="77777777" w:rsidTr="006A4203">
        <w:trPr>
          <w:trHeight w:val="926"/>
        </w:trPr>
        <w:tc>
          <w:tcPr>
            <w:tcW w:w="5098" w:type="dxa"/>
          </w:tcPr>
          <w:p w14:paraId="2E2CB83C" w14:textId="77777777" w:rsidR="006F21BB" w:rsidRPr="000D756E" w:rsidRDefault="006F21BB" w:rsidP="006F21BB">
            <w:pPr>
              <w:rPr>
                <w:rFonts w:ascii="Arial" w:hAnsi="Arial" w:cs="Arial"/>
                <w:sz w:val="24"/>
                <w:szCs w:val="24"/>
              </w:rPr>
            </w:pPr>
          </w:p>
          <w:p w14:paraId="04A49723" w14:textId="77777777" w:rsidR="006F21BB" w:rsidRPr="000D756E" w:rsidRDefault="006F21BB" w:rsidP="006F21BB">
            <w:pPr>
              <w:rPr>
                <w:rFonts w:ascii="Arial" w:hAnsi="Arial" w:cs="Arial"/>
                <w:sz w:val="24"/>
                <w:szCs w:val="24"/>
              </w:rPr>
            </w:pPr>
            <w:r w:rsidRPr="000D756E">
              <w:rPr>
                <w:rFonts w:ascii="Arial" w:hAnsi="Arial" w:cs="Arial"/>
                <w:sz w:val="24"/>
                <w:szCs w:val="24"/>
              </w:rPr>
              <w:t>Fees paid with regard to external audit services carried out by the appointed auditor for the year</w:t>
            </w:r>
          </w:p>
          <w:p w14:paraId="477A8F7B" w14:textId="4210327F" w:rsidR="006F21BB" w:rsidRPr="000D756E" w:rsidRDefault="35E1543A" w:rsidP="006F21BB">
            <w:pPr>
              <w:rPr>
                <w:rFonts w:ascii="Arial" w:hAnsi="Arial" w:cs="Arial"/>
                <w:sz w:val="24"/>
                <w:szCs w:val="24"/>
              </w:rPr>
            </w:pPr>
            <w:r w:rsidRPr="574A8B51">
              <w:rPr>
                <w:rFonts w:ascii="Arial" w:hAnsi="Arial" w:cs="Arial"/>
                <w:sz w:val="24"/>
                <w:szCs w:val="24"/>
              </w:rPr>
              <w:t>Uplift of fees on previous year charges</w:t>
            </w:r>
          </w:p>
          <w:p w14:paraId="43DF2E2F" w14:textId="77777777" w:rsidR="006F21BB" w:rsidRPr="000D756E" w:rsidRDefault="006F21BB" w:rsidP="006F21BB">
            <w:pPr>
              <w:rPr>
                <w:rFonts w:ascii="Arial" w:hAnsi="Arial" w:cs="Arial"/>
                <w:sz w:val="24"/>
                <w:szCs w:val="24"/>
              </w:rPr>
            </w:pPr>
          </w:p>
        </w:tc>
        <w:tc>
          <w:tcPr>
            <w:tcW w:w="1276" w:type="dxa"/>
          </w:tcPr>
          <w:p w14:paraId="11B4D35E" w14:textId="791EB17D" w:rsidR="006F21BB" w:rsidRPr="000D756E" w:rsidRDefault="006F21BB" w:rsidP="574A8B51">
            <w:pPr>
              <w:rPr>
                <w:rFonts w:ascii="Arial" w:hAnsi="Arial" w:cs="Arial"/>
                <w:sz w:val="24"/>
                <w:szCs w:val="24"/>
              </w:rPr>
            </w:pPr>
          </w:p>
          <w:p w14:paraId="465771D3" w14:textId="23A49F05" w:rsidR="006F21BB" w:rsidRPr="000D756E" w:rsidRDefault="783CEC92" w:rsidP="00826EC7">
            <w:pPr>
              <w:jc w:val="right"/>
              <w:rPr>
                <w:rFonts w:ascii="Arial" w:hAnsi="Arial" w:cs="Arial"/>
                <w:sz w:val="24"/>
                <w:szCs w:val="24"/>
              </w:rPr>
            </w:pPr>
            <w:r w:rsidRPr="574A8B51">
              <w:rPr>
                <w:rFonts w:ascii="Arial" w:hAnsi="Arial" w:cs="Arial"/>
                <w:sz w:val="24"/>
                <w:szCs w:val="24"/>
              </w:rPr>
              <w:t>98</w:t>
            </w:r>
          </w:p>
          <w:p w14:paraId="672F331B" w14:textId="1D2C80B3" w:rsidR="006F21BB" w:rsidRPr="000D756E" w:rsidRDefault="006F21BB" w:rsidP="00826EC7">
            <w:pPr>
              <w:jc w:val="right"/>
              <w:rPr>
                <w:rFonts w:ascii="Arial" w:hAnsi="Arial" w:cs="Arial"/>
                <w:sz w:val="24"/>
                <w:szCs w:val="24"/>
              </w:rPr>
            </w:pPr>
          </w:p>
          <w:p w14:paraId="4D2D1CD7" w14:textId="72AC68A4" w:rsidR="006F21BB" w:rsidRPr="000D756E" w:rsidRDefault="783CEC92" w:rsidP="00826EC7">
            <w:pPr>
              <w:jc w:val="right"/>
              <w:rPr>
                <w:rFonts w:ascii="Arial" w:hAnsi="Arial" w:cs="Arial"/>
                <w:sz w:val="24"/>
                <w:szCs w:val="24"/>
              </w:rPr>
            </w:pPr>
            <w:r w:rsidRPr="574A8B51">
              <w:rPr>
                <w:rFonts w:ascii="Arial" w:hAnsi="Arial" w:cs="Arial"/>
                <w:sz w:val="24"/>
                <w:szCs w:val="24"/>
              </w:rPr>
              <w:t>7</w:t>
            </w:r>
          </w:p>
        </w:tc>
        <w:tc>
          <w:tcPr>
            <w:tcW w:w="1276" w:type="dxa"/>
          </w:tcPr>
          <w:p w14:paraId="790C1E0D" w14:textId="77777777" w:rsidR="006F21BB" w:rsidRPr="000D756E" w:rsidRDefault="006F21BB" w:rsidP="006F21BB">
            <w:pPr>
              <w:jc w:val="right"/>
              <w:rPr>
                <w:rFonts w:ascii="Arial" w:hAnsi="Arial" w:cs="Arial"/>
                <w:sz w:val="24"/>
                <w:szCs w:val="24"/>
              </w:rPr>
            </w:pPr>
          </w:p>
          <w:p w14:paraId="60E9C79D" w14:textId="77777777" w:rsidR="006F21BB" w:rsidRPr="000D756E" w:rsidRDefault="006F21BB" w:rsidP="006F21BB">
            <w:pPr>
              <w:jc w:val="right"/>
              <w:rPr>
                <w:rFonts w:ascii="Arial" w:hAnsi="Arial" w:cs="Arial"/>
                <w:sz w:val="24"/>
                <w:szCs w:val="24"/>
              </w:rPr>
            </w:pPr>
            <w:r w:rsidRPr="000D756E">
              <w:rPr>
                <w:rFonts w:ascii="Arial" w:hAnsi="Arial" w:cs="Arial"/>
                <w:sz w:val="24"/>
                <w:szCs w:val="24"/>
              </w:rPr>
              <w:t>92</w:t>
            </w:r>
          </w:p>
          <w:p w14:paraId="039BCBA6" w14:textId="77777777" w:rsidR="006F21BB" w:rsidRPr="000D756E" w:rsidRDefault="006F21BB" w:rsidP="006F21BB">
            <w:pPr>
              <w:jc w:val="right"/>
              <w:rPr>
                <w:rFonts w:ascii="Arial" w:hAnsi="Arial" w:cs="Arial"/>
                <w:sz w:val="24"/>
                <w:szCs w:val="24"/>
              </w:rPr>
            </w:pPr>
          </w:p>
          <w:p w14:paraId="0AE04B37" w14:textId="77777777" w:rsidR="006F21BB" w:rsidRPr="000D756E" w:rsidRDefault="006F21BB" w:rsidP="006F21BB">
            <w:pPr>
              <w:jc w:val="right"/>
              <w:rPr>
                <w:rFonts w:ascii="Arial" w:hAnsi="Arial" w:cs="Arial"/>
                <w:sz w:val="24"/>
                <w:szCs w:val="24"/>
              </w:rPr>
            </w:pPr>
            <w:r w:rsidRPr="000D756E">
              <w:rPr>
                <w:rFonts w:ascii="Arial" w:hAnsi="Arial" w:cs="Arial"/>
                <w:sz w:val="24"/>
                <w:szCs w:val="24"/>
              </w:rPr>
              <w:t>9</w:t>
            </w:r>
          </w:p>
          <w:p w14:paraId="1EEEDE6A" w14:textId="2F2C6FE8" w:rsidR="006F21BB" w:rsidRPr="000D756E" w:rsidRDefault="006F21BB" w:rsidP="006F21BB">
            <w:pPr>
              <w:rPr>
                <w:rFonts w:ascii="Arial" w:hAnsi="Arial" w:cs="Arial"/>
                <w:sz w:val="24"/>
                <w:szCs w:val="24"/>
              </w:rPr>
            </w:pPr>
          </w:p>
        </w:tc>
      </w:tr>
      <w:tr w:rsidR="006F21BB" w:rsidRPr="000D756E" w14:paraId="01001E57" w14:textId="77777777" w:rsidTr="006A4203">
        <w:trPr>
          <w:trHeight w:val="472"/>
        </w:trPr>
        <w:tc>
          <w:tcPr>
            <w:tcW w:w="5098" w:type="dxa"/>
            <w:vAlign w:val="center"/>
          </w:tcPr>
          <w:p w14:paraId="7B5DFF19" w14:textId="77777777" w:rsidR="006F21BB" w:rsidRPr="000D756E" w:rsidRDefault="006F21BB" w:rsidP="006F21BB">
            <w:pPr>
              <w:rPr>
                <w:rFonts w:ascii="Arial" w:hAnsi="Arial" w:cs="Arial"/>
                <w:sz w:val="24"/>
                <w:szCs w:val="24"/>
              </w:rPr>
            </w:pPr>
            <w:r w:rsidRPr="000D756E">
              <w:rPr>
                <w:rFonts w:ascii="Arial" w:hAnsi="Arial" w:cs="Arial"/>
                <w:sz w:val="24"/>
                <w:szCs w:val="24"/>
              </w:rPr>
              <w:t>Total Audit Fees</w:t>
            </w:r>
          </w:p>
        </w:tc>
        <w:tc>
          <w:tcPr>
            <w:tcW w:w="1276" w:type="dxa"/>
            <w:vAlign w:val="center"/>
          </w:tcPr>
          <w:p w14:paraId="6010685A" w14:textId="58016840" w:rsidR="006F21BB" w:rsidRPr="000D756E" w:rsidRDefault="65C7A1E8" w:rsidP="006F21BB">
            <w:pPr>
              <w:jc w:val="right"/>
              <w:rPr>
                <w:rFonts w:ascii="Arial" w:hAnsi="Arial" w:cs="Arial"/>
                <w:b/>
                <w:bCs/>
                <w:sz w:val="24"/>
                <w:szCs w:val="24"/>
              </w:rPr>
            </w:pPr>
            <w:r w:rsidRPr="574A8B51">
              <w:rPr>
                <w:rFonts w:ascii="Arial" w:hAnsi="Arial" w:cs="Arial"/>
                <w:b/>
                <w:bCs/>
                <w:sz w:val="24"/>
                <w:szCs w:val="24"/>
              </w:rPr>
              <w:t>105</w:t>
            </w:r>
          </w:p>
        </w:tc>
        <w:tc>
          <w:tcPr>
            <w:tcW w:w="1276" w:type="dxa"/>
            <w:vAlign w:val="center"/>
          </w:tcPr>
          <w:p w14:paraId="708031B7" w14:textId="26836CF3" w:rsidR="006F21BB" w:rsidRPr="000D756E" w:rsidRDefault="006F21BB" w:rsidP="006F21BB">
            <w:pPr>
              <w:jc w:val="right"/>
              <w:rPr>
                <w:rFonts w:ascii="Arial" w:hAnsi="Arial" w:cs="Arial"/>
                <w:b/>
                <w:sz w:val="24"/>
                <w:szCs w:val="24"/>
              </w:rPr>
            </w:pPr>
            <w:r w:rsidRPr="000D756E">
              <w:rPr>
                <w:rFonts w:ascii="Arial" w:hAnsi="Arial" w:cs="Arial"/>
                <w:b/>
                <w:bCs/>
                <w:sz w:val="24"/>
                <w:szCs w:val="24"/>
              </w:rPr>
              <w:t>101</w:t>
            </w:r>
          </w:p>
        </w:tc>
      </w:tr>
    </w:tbl>
    <w:p w14:paraId="484DACE5" w14:textId="5D8F47DC" w:rsidR="000B61F7" w:rsidRPr="000D756E" w:rsidRDefault="00FA590A" w:rsidP="574A8B51">
      <w:pPr>
        <w:ind w:left="360"/>
        <w:rPr>
          <w:rFonts w:ascii="Arial" w:hAnsi="Arial" w:cs="Arial"/>
        </w:rPr>
      </w:pPr>
      <w:r w:rsidRPr="574A8B51">
        <w:rPr>
          <w:rFonts w:ascii="Arial" w:hAnsi="Arial" w:cs="Arial"/>
        </w:rPr>
        <w:br w:type="page"/>
      </w:r>
    </w:p>
    <w:p w14:paraId="38A582FF" w14:textId="53DFB5C8" w:rsidR="002D394E" w:rsidRPr="000D756E" w:rsidRDefault="006E002A" w:rsidP="002D394E">
      <w:pPr>
        <w:ind w:left="360"/>
        <w:rPr>
          <w:rFonts w:ascii="Arial" w:hAnsi="Arial" w:cs="Arial"/>
          <w:b/>
          <w:sz w:val="24"/>
          <w:szCs w:val="24"/>
        </w:rPr>
      </w:pPr>
      <w:r w:rsidRPr="000D756E">
        <w:rPr>
          <w:rFonts w:ascii="Arial" w:hAnsi="Arial" w:cs="Arial"/>
          <w:b/>
          <w:sz w:val="24"/>
          <w:szCs w:val="24"/>
        </w:rPr>
        <w:lastRenderedPageBreak/>
        <w:t xml:space="preserve"> </w:t>
      </w:r>
    </w:p>
    <w:p w14:paraId="5C06EBBA" w14:textId="1E1F7A5A" w:rsidR="006E002A" w:rsidRPr="000D756E" w:rsidRDefault="006E002A" w:rsidP="001C227A">
      <w:pPr>
        <w:numPr>
          <w:ilvl w:val="0"/>
          <w:numId w:val="15"/>
        </w:numPr>
        <w:rPr>
          <w:rFonts w:ascii="Arial" w:hAnsi="Arial" w:cs="Arial"/>
          <w:b/>
          <w:sz w:val="24"/>
          <w:szCs w:val="24"/>
        </w:rPr>
      </w:pPr>
      <w:r w:rsidRPr="000D756E">
        <w:rPr>
          <w:rFonts w:ascii="Arial" w:hAnsi="Arial" w:cs="Arial"/>
          <w:b/>
          <w:sz w:val="24"/>
          <w:szCs w:val="24"/>
        </w:rPr>
        <w:t xml:space="preserve">GRANT INCOME   </w:t>
      </w:r>
    </w:p>
    <w:p w14:paraId="108E37F5" w14:textId="77777777" w:rsidR="006E002A" w:rsidRPr="000D756E" w:rsidRDefault="006E002A" w:rsidP="002A7C01">
      <w:pPr>
        <w:rPr>
          <w:rFonts w:ascii="Arial" w:hAnsi="Arial" w:cs="Arial"/>
          <w:b/>
          <w:sz w:val="24"/>
          <w:szCs w:val="24"/>
        </w:rPr>
      </w:pPr>
    </w:p>
    <w:p w14:paraId="3B056F5F" w14:textId="4258FD8D" w:rsidR="006E002A" w:rsidRPr="000D756E" w:rsidRDefault="006E002A" w:rsidP="002A7C01">
      <w:pPr>
        <w:rPr>
          <w:rFonts w:ascii="Arial" w:hAnsi="Arial" w:cs="Arial"/>
          <w:sz w:val="24"/>
          <w:szCs w:val="24"/>
        </w:rPr>
      </w:pPr>
      <w:r w:rsidRPr="000D756E">
        <w:rPr>
          <w:rFonts w:ascii="Arial" w:hAnsi="Arial" w:cs="Arial"/>
          <w:sz w:val="24"/>
          <w:szCs w:val="24"/>
        </w:rPr>
        <w:t xml:space="preserve">The Authority credited the following grants to the Comprehensive Income and Expenditure Statement in </w:t>
      </w:r>
      <w:r w:rsidR="00B159D7" w:rsidRPr="000D756E">
        <w:rPr>
          <w:rFonts w:ascii="Arial" w:hAnsi="Arial" w:cs="Arial"/>
          <w:sz w:val="24"/>
          <w:szCs w:val="24"/>
        </w:rPr>
        <w:t>20</w:t>
      </w:r>
      <w:r w:rsidR="00687280" w:rsidRPr="000D756E">
        <w:rPr>
          <w:rFonts w:ascii="Arial" w:hAnsi="Arial" w:cs="Arial"/>
          <w:sz w:val="24"/>
          <w:szCs w:val="24"/>
        </w:rPr>
        <w:t>2</w:t>
      </w:r>
      <w:r w:rsidR="006A4203">
        <w:rPr>
          <w:rFonts w:ascii="Arial" w:hAnsi="Arial" w:cs="Arial"/>
          <w:sz w:val="24"/>
          <w:szCs w:val="24"/>
        </w:rPr>
        <w:t>4/25</w:t>
      </w:r>
      <w:r w:rsidRPr="000D756E">
        <w:rPr>
          <w:rFonts w:ascii="Arial" w:hAnsi="Arial" w:cs="Arial"/>
          <w:sz w:val="24"/>
          <w:szCs w:val="24"/>
        </w:rPr>
        <w:t>:</w:t>
      </w:r>
    </w:p>
    <w:p w14:paraId="5A8E6048" w14:textId="77777777" w:rsidR="006E002A" w:rsidRPr="000D756E" w:rsidRDefault="006E002A" w:rsidP="002A7C01">
      <w:pPr>
        <w:rPr>
          <w:rFonts w:ascii="Arial" w:hAnsi="Arial" w:cs="Arial"/>
          <w:sz w:val="24"/>
          <w:szCs w:val="24"/>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1276"/>
        <w:gridCol w:w="1417"/>
      </w:tblGrid>
      <w:tr w:rsidR="00CC7A62" w:rsidRPr="000D756E" w14:paraId="7DE15345" w14:textId="77777777" w:rsidTr="00F457DB">
        <w:trPr>
          <w:trHeight w:val="617"/>
        </w:trPr>
        <w:tc>
          <w:tcPr>
            <w:tcW w:w="6776" w:type="dxa"/>
          </w:tcPr>
          <w:p w14:paraId="2310A305" w14:textId="77777777" w:rsidR="005E0082" w:rsidRPr="000D756E" w:rsidRDefault="005E0082" w:rsidP="005E0082">
            <w:pPr>
              <w:rPr>
                <w:rFonts w:ascii="Arial" w:hAnsi="Arial" w:cs="Arial"/>
                <w:b/>
                <w:sz w:val="24"/>
                <w:szCs w:val="24"/>
              </w:rPr>
            </w:pPr>
          </w:p>
          <w:p w14:paraId="504AA9C4" w14:textId="77777777" w:rsidR="005E0082" w:rsidRPr="000D756E" w:rsidRDefault="005E0082" w:rsidP="005E0082">
            <w:pPr>
              <w:rPr>
                <w:rFonts w:ascii="Arial" w:hAnsi="Arial" w:cs="Arial"/>
                <w:b/>
                <w:sz w:val="24"/>
                <w:szCs w:val="24"/>
              </w:rPr>
            </w:pPr>
            <w:r w:rsidRPr="000D756E">
              <w:rPr>
                <w:rFonts w:ascii="Arial" w:hAnsi="Arial" w:cs="Arial"/>
                <w:b/>
                <w:sz w:val="24"/>
                <w:szCs w:val="24"/>
              </w:rPr>
              <w:t xml:space="preserve"> </w:t>
            </w:r>
          </w:p>
        </w:tc>
        <w:tc>
          <w:tcPr>
            <w:tcW w:w="1276" w:type="dxa"/>
          </w:tcPr>
          <w:p w14:paraId="5B5FB1D2" w14:textId="77777777" w:rsidR="005E0082" w:rsidRPr="000D756E" w:rsidRDefault="005E0082" w:rsidP="005E0082">
            <w:pPr>
              <w:jc w:val="right"/>
              <w:rPr>
                <w:rFonts w:ascii="Arial" w:hAnsi="Arial" w:cs="Arial"/>
                <w:b/>
                <w:sz w:val="24"/>
                <w:szCs w:val="24"/>
              </w:rPr>
            </w:pPr>
          </w:p>
          <w:p w14:paraId="0135BB88" w14:textId="75748D77" w:rsidR="005E0082" w:rsidRPr="000D756E" w:rsidRDefault="005E0082" w:rsidP="005E0082">
            <w:pPr>
              <w:jc w:val="right"/>
              <w:rPr>
                <w:rFonts w:ascii="Arial" w:hAnsi="Arial" w:cs="Arial"/>
                <w:b/>
                <w:sz w:val="24"/>
                <w:szCs w:val="24"/>
              </w:rPr>
            </w:pPr>
            <w:r w:rsidRPr="000D756E">
              <w:rPr>
                <w:rFonts w:ascii="Arial" w:hAnsi="Arial" w:cs="Arial"/>
                <w:b/>
                <w:sz w:val="24"/>
                <w:szCs w:val="24"/>
              </w:rPr>
              <w:t>202</w:t>
            </w:r>
            <w:r w:rsidR="00B1584C">
              <w:rPr>
                <w:rFonts w:ascii="Arial" w:hAnsi="Arial" w:cs="Arial"/>
                <w:b/>
                <w:sz w:val="24"/>
                <w:szCs w:val="24"/>
              </w:rPr>
              <w:t>4/25</w:t>
            </w:r>
          </w:p>
          <w:p w14:paraId="0567F5A6" w14:textId="77777777" w:rsidR="005E0082" w:rsidRPr="000D756E" w:rsidRDefault="005E0082" w:rsidP="005E0082">
            <w:pPr>
              <w:jc w:val="right"/>
              <w:rPr>
                <w:rFonts w:ascii="Arial" w:hAnsi="Arial" w:cs="Arial"/>
                <w:b/>
                <w:sz w:val="24"/>
                <w:szCs w:val="24"/>
              </w:rPr>
            </w:pPr>
            <w:r w:rsidRPr="000D756E">
              <w:rPr>
                <w:rFonts w:ascii="Arial" w:hAnsi="Arial" w:cs="Arial"/>
                <w:b/>
                <w:sz w:val="24"/>
                <w:szCs w:val="24"/>
              </w:rPr>
              <w:t>£’000</w:t>
            </w:r>
          </w:p>
          <w:p w14:paraId="00479F5A" w14:textId="77777777" w:rsidR="005E0082" w:rsidRPr="000D756E" w:rsidRDefault="005E0082" w:rsidP="005E0082">
            <w:pPr>
              <w:jc w:val="right"/>
              <w:rPr>
                <w:rFonts w:ascii="Arial" w:hAnsi="Arial" w:cs="Arial"/>
                <w:b/>
                <w:sz w:val="24"/>
                <w:szCs w:val="24"/>
              </w:rPr>
            </w:pPr>
          </w:p>
        </w:tc>
        <w:tc>
          <w:tcPr>
            <w:tcW w:w="1417" w:type="dxa"/>
          </w:tcPr>
          <w:p w14:paraId="03BDEC5A" w14:textId="77777777" w:rsidR="005E0082" w:rsidRPr="000D756E" w:rsidRDefault="005E0082" w:rsidP="005E0082">
            <w:pPr>
              <w:jc w:val="right"/>
              <w:rPr>
                <w:rFonts w:ascii="Arial" w:hAnsi="Arial" w:cs="Arial"/>
                <w:b/>
                <w:sz w:val="24"/>
                <w:szCs w:val="24"/>
              </w:rPr>
            </w:pPr>
          </w:p>
          <w:p w14:paraId="2820E43B" w14:textId="5A430F35" w:rsidR="005E0082" w:rsidRPr="000D756E" w:rsidRDefault="005E0082" w:rsidP="005E0082">
            <w:pPr>
              <w:jc w:val="right"/>
              <w:rPr>
                <w:rFonts w:ascii="Arial" w:hAnsi="Arial" w:cs="Arial"/>
                <w:b/>
                <w:sz w:val="24"/>
                <w:szCs w:val="24"/>
              </w:rPr>
            </w:pPr>
            <w:r w:rsidRPr="000D756E">
              <w:rPr>
                <w:rFonts w:ascii="Arial" w:hAnsi="Arial" w:cs="Arial"/>
                <w:b/>
                <w:sz w:val="24"/>
                <w:szCs w:val="24"/>
              </w:rPr>
              <w:t>20</w:t>
            </w:r>
            <w:r w:rsidR="00D937AC" w:rsidRPr="000D756E">
              <w:rPr>
                <w:rFonts w:ascii="Arial" w:hAnsi="Arial" w:cs="Arial"/>
                <w:b/>
                <w:sz w:val="24"/>
                <w:szCs w:val="24"/>
              </w:rPr>
              <w:t>2</w:t>
            </w:r>
            <w:r w:rsidR="00B1584C">
              <w:rPr>
                <w:rFonts w:ascii="Arial" w:hAnsi="Arial" w:cs="Arial"/>
                <w:b/>
                <w:sz w:val="24"/>
                <w:szCs w:val="24"/>
              </w:rPr>
              <w:t>3/24</w:t>
            </w:r>
          </w:p>
          <w:p w14:paraId="10E0735E" w14:textId="77777777" w:rsidR="005E0082" w:rsidRPr="000D756E" w:rsidRDefault="005E0082" w:rsidP="005E0082">
            <w:pPr>
              <w:jc w:val="right"/>
              <w:rPr>
                <w:rFonts w:ascii="Arial" w:hAnsi="Arial" w:cs="Arial"/>
                <w:b/>
                <w:sz w:val="24"/>
                <w:szCs w:val="24"/>
              </w:rPr>
            </w:pPr>
            <w:r w:rsidRPr="000D756E">
              <w:rPr>
                <w:rFonts w:ascii="Arial" w:hAnsi="Arial" w:cs="Arial"/>
                <w:b/>
                <w:sz w:val="24"/>
                <w:szCs w:val="24"/>
              </w:rPr>
              <w:t>£’000</w:t>
            </w:r>
          </w:p>
          <w:p w14:paraId="74C2842D" w14:textId="77777777" w:rsidR="005E0082" w:rsidRPr="000D756E" w:rsidRDefault="005E0082" w:rsidP="005E0082">
            <w:pPr>
              <w:jc w:val="right"/>
              <w:rPr>
                <w:rFonts w:ascii="Arial" w:hAnsi="Arial" w:cs="Arial"/>
                <w:b/>
                <w:sz w:val="24"/>
                <w:szCs w:val="24"/>
              </w:rPr>
            </w:pPr>
          </w:p>
        </w:tc>
      </w:tr>
      <w:tr w:rsidR="006071DF" w:rsidRPr="000D756E" w14:paraId="43C62887" w14:textId="77777777" w:rsidTr="00F457DB">
        <w:trPr>
          <w:trHeight w:val="327"/>
        </w:trPr>
        <w:tc>
          <w:tcPr>
            <w:tcW w:w="6776" w:type="dxa"/>
            <w:vAlign w:val="bottom"/>
          </w:tcPr>
          <w:p w14:paraId="48448B75" w14:textId="232FF27B" w:rsidR="0064579E" w:rsidRPr="000D756E" w:rsidRDefault="0064579E" w:rsidP="0064579E">
            <w:pPr>
              <w:rPr>
                <w:rFonts w:ascii="Arial" w:hAnsi="Arial" w:cs="Arial"/>
                <w:b/>
                <w:sz w:val="24"/>
                <w:szCs w:val="24"/>
              </w:rPr>
            </w:pPr>
            <w:r w:rsidRPr="000D756E">
              <w:rPr>
                <w:rFonts w:ascii="Arial" w:hAnsi="Arial" w:cs="Arial"/>
                <w:b/>
                <w:sz w:val="24"/>
                <w:szCs w:val="24"/>
              </w:rPr>
              <w:t>MHCLG Revenue Grants:</w:t>
            </w:r>
          </w:p>
        </w:tc>
        <w:tc>
          <w:tcPr>
            <w:tcW w:w="1276" w:type="dxa"/>
            <w:vAlign w:val="bottom"/>
          </w:tcPr>
          <w:p w14:paraId="08A6D80E" w14:textId="77777777" w:rsidR="0064579E" w:rsidRPr="000D756E" w:rsidRDefault="0064579E" w:rsidP="0064579E">
            <w:pPr>
              <w:jc w:val="right"/>
              <w:rPr>
                <w:rFonts w:ascii="Arial" w:hAnsi="Arial" w:cs="Arial"/>
                <w:sz w:val="24"/>
                <w:szCs w:val="24"/>
              </w:rPr>
            </w:pPr>
          </w:p>
        </w:tc>
        <w:tc>
          <w:tcPr>
            <w:tcW w:w="1417" w:type="dxa"/>
            <w:vAlign w:val="bottom"/>
          </w:tcPr>
          <w:p w14:paraId="049677DC" w14:textId="77777777" w:rsidR="0064579E" w:rsidRPr="000D756E" w:rsidRDefault="0064579E" w:rsidP="0064579E">
            <w:pPr>
              <w:jc w:val="right"/>
              <w:rPr>
                <w:rFonts w:ascii="Arial" w:hAnsi="Arial" w:cs="Arial"/>
                <w:sz w:val="24"/>
                <w:szCs w:val="24"/>
              </w:rPr>
            </w:pPr>
          </w:p>
        </w:tc>
      </w:tr>
      <w:tr w:rsidR="006071DF" w:rsidRPr="000D756E" w14:paraId="2FE176B0" w14:textId="77777777" w:rsidTr="00F457DB">
        <w:trPr>
          <w:trHeight w:val="327"/>
        </w:trPr>
        <w:tc>
          <w:tcPr>
            <w:tcW w:w="6776" w:type="dxa"/>
            <w:vAlign w:val="bottom"/>
          </w:tcPr>
          <w:p w14:paraId="240D892E" w14:textId="77777777" w:rsidR="00B1584C" w:rsidRPr="000D756E" w:rsidRDefault="00B1584C" w:rsidP="00B1584C">
            <w:pPr>
              <w:rPr>
                <w:rFonts w:ascii="Arial" w:hAnsi="Arial" w:cs="Arial"/>
                <w:sz w:val="24"/>
                <w:szCs w:val="24"/>
              </w:rPr>
            </w:pPr>
            <w:r w:rsidRPr="000D756E">
              <w:rPr>
                <w:rFonts w:ascii="Arial" w:hAnsi="Arial" w:cs="Arial"/>
                <w:sz w:val="24"/>
                <w:szCs w:val="24"/>
              </w:rPr>
              <w:t>Revenue Support Grant</w:t>
            </w:r>
          </w:p>
        </w:tc>
        <w:tc>
          <w:tcPr>
            <w:tcW w:w="1276" w:type="dxa"/>
            <w:vAlign w:val="bottom"/>
          </w:tcPr>
          <w:p w14:paraId="36545DC9" w14:textId="31CCFC3F" w:rsidR="00B1584C" w:rsidRPr="000D756E" w:rsidRDefault="00FC707D" w:rsidP="00B1584C">
            <w:pPr>
              <w:jc w:val="right"/>
              <w:rPr>
                <w:rFonts w:ascii="Arial" w:hAnsi="Arial" w:cs="Arial"/>
                <w:sz w:val="24"/>
                <w:szCs w:val="24"/>
              </w:rPr>
            </w:pPr>
            <w:r>
              <w:rPr>
                <w:rFonts w:ascii="Arial" w:hAnsi="Arial" w:cs="Arial"/>
                <w:sz w:val="24"/>
                <w:szCs w:val="24"/>
              </w:rPr>
              <w:t>-2,701</w:t>
            </w:r>
          </w:p>
        </w:tc>
        <w:tc>
          <w:tcPr>
            <w:tcW w:w="1417" w:type="dxa"/>
            <w:vAlign w:val="bottom"/>
          </w:tcPr>
          <w:p w14:paraId="50D55420" w14:textId="4ACA858C" w:rsidR="00B1584C" w:rsidRPr="000D756E" w:rsidRDefault="00B1584C" w:rsidP="00B1584C">
            <w:pPr>
              <w:jc w:val="right"/>
              <w:rPr>
                <w:rFonts w:ascii="Arial" w:hAnsi="Arial" w:cs="Arial"/>
                <w:sz w:val="24"/>
                <w:szCs w:val="24"/>
              </w:rPr>
            </w:pPr>
            <w:r w:rsidRPr="000D756E">
              <w:rPr>
                <w:rFonts w:ascii="Arial" w:hAnsi="Arial" w:cs="Arial"/>
                <w:sz w:val="24"/>
                <w:szCs w:val="24"/>
              </w:rPr>
              <w:t>-1,501</w:t>
            </w:r>
          </w:p>
        </w:tc>
      </w:tr>
      <w:tr w:rsidR="006071DF" w:rsidRPr="000D756E" w14:paraId="46596ED4" w14:textId="77777777" w:rsidTr="00F457DB">
        <w:trPr>
          <w:trHeight w:val="327"/>
        </w:trPr>
        <w:tc>
          <w:tcPr>
            <w:tcW w:w="6776" w:type="dxa"/>
            <w:vAlign w:val="bottom"/>
          </w:tcPr>
          <w:p w14:paraId="0AA6B2E6" w14:textId="0D3212B6" w:rsidR="00B1584C" w:rsidRPr="000D756E" w:rsidRDefault="00B1584C" w:rsidP="00B1584C">
            <w:pPr>
              <w:rPr>
                <w:rFonts w:ascii="Arial" w:hAnsi="Arial" w:cs="Arial"/>
                <w:sz w:val="24"/>
                <w:szCs w:val="24"/>
              </w:rPr>
            </w:pPr>
            <w:r w:rsidRPr="000D756E">
              <w:rPr>
                <w:rFonts w:ascii="Arial" w:hAnsi="Arial" w:cs="Arial"/>
                <w:sz w:val="24"/>
                <w:szCs w:val="24"/>
              </w:rPr>
              <w:t>Pensions Grant</w:t>
            </w:r>
            <w:r w:rsidR="00CF79AC">
              <w:rPr>
                <w:rFonts w:ascii="Arial" w:hAnsi="Arial" w:cs="Arial"/>
                <w:sz w:val="24"/>
                <w:szCs w:val="24"/>
              </w:rPr>
              <w:t xml:space="preserve"> 2016 Valuation</w:t>
            </w:r>
            <w:r w:rsidR="00FC707D">
              <w:rPr>
                <w:rFonts w:ascii="Arial" w:hAnsi="Arial" w:cs="Arial"/>
                <w:sz w:val="24"/>
                <w:szCs w:val="24"/>
              </w:rPr>
              <w:t xml:space="preserve"> (24/25 in </w:t>
            </w:r>
            <w:r w:rsidR="00A0595E">
              <w:rPr>
                <w:rFonts w:ascii="Arial" w:hAnsi="Arial" w:cs="Arial"/>
                <w:sz w:val="24"/>
                <w:szCs w:val="24"/>
              </w:rPr>
              <w:t>revenue support grant)</w:t>
            </w:r>
          </w:p>
        </w:tc>
        <w:tc>
          <w:tcPr>
            <w:tcW w:w="1276" w:type="dxa"/>
            <w:vAlign w:val="bottom"/>
          </w:tcPr>
          <w:p w14:paraId="3829DA0D" w14:textId="1FF5D827" w:rsidR="00B1584C" w:rsidRPr="000D756E" w:rsidRDefault="00FC707D" w:rsidP="00B1584C">
            <w:pPr>
              <w:jc w:val="right"/>
              <w:rPr>
                <w:rFonts w:ascii="Arial" w:hAnsi="Arial" w:cs="Arial"/>
                <w:sz w:val="24"/>
                <w:szCs w:val="24"/>
              </w:rPr>
            </w:pPr>
            <w:r>
              <w:rPr>
                <w:rFonts w:ascii="Arial" w:hAnsi="Arial" w:cs="Arial"/>
                <w:sz w:val="24"/>
                <w:szCs w:val="24"/>
              </w:rPr>
              <w:t>0</w:t>
            </w:r>
          </w:p>
        </w:tc>
        <w:tc>
          <w:tcPr>
            <w:tcW w:w="1417" w:type="dxa"/>
            <w:vAlign w:val="bottom"/>
          </w:tcPr>
          <w:p w14:paraId="66054977" w14:textId="7381DCAE" w:rsidR="00B1584C" w:rsidRPr="000D756E" w:rsidRDefault="00B1584C" w:rsidP="00B1584C">
            <w:pPr>
              <w:jc w:val="right"/>
              <w:rPr>
                <w:rFonts w:ascii="Arial" w:hAnsi="Arial" w:cs="Arial"/>
                <w:sz w:val="24"/>
                <w:szCs w:val="24"/>
              </w:rPr>
            </w:pPr>
            <w:r w:rsidRPr="000D756E">
              <w:rPr>
                <w:rFonts w:ascii="Arial" w:hAnsi="Arial" w:cs="Arial"/>
                <w:sz w:val="24"/>
                <w:szCs w:val="24"/>
              </w:rPr>
              <w:t>-1,101</w:t>
            </w:r>
          </w:p>
        </w:tc>
      </w:tr>
      <w:tr w:rsidR="006071DF" w:rsidRPr="000D756E" w14:paraId="5742A2B3" w14:textId="77777777" w:rsidTr="00F457DB">
        <w:trPr>
          <w:trHeight w:val="327"/>
        </w:trPr>
        <w:tc>
          <w:tcPr>
            <w:tcW w:w="6776" w:type="dxa"/>
            <w:vAlign w:val="bottom"/>
          </w:tcPr>
          <w:p w14:paraId="6BDB5FD4" w14:textId="7E06682D" w:rsidR="00CF79AC" w:rsidRDefault="00CF79AC" w:rsidP="00B1584C">
            <w:pPr>
              <w:rPr>
                <w:rFonts w:ascii="Arial" w:hAnsi="Arial" w:cs="Arial"/>
                <w:sz w:val="24"/>
                <w:szCs w:val="24"/>
              </w:rPr>
            </w:pPr>
            <w:r>
              <w:rPr>
                <w:rFonts w:ascii="Arial" w:hAnsi="Arial" w:cs="Arial"/>
                <w:sz w:val="24"/>
                <w:szCs w:val="24"/>
              </w:rPr>
              <w:t>Pensions Grant 2020 Valuation</w:t>
            </w:r>
          </w:p>
        </w:tc>
        <w:tc>
          <w:tcPr>
            <w:tcW w:w="1276" w:type="dxa"/>
            <w:vAlign w:val="bottom"/>
          </w:tcPr>
          <w:p w14:paraId="59F82B72" w14:textId="623D765D" w:rsidR="00CF79AC" w:rsidRDefault="00F06D8B" w:rsidP="00B1584C">
            <w:pPr>
              <w:jc w:val="right"/>
              <w:rPr>
                <w:rFonts w:ascii="Arial" w:hAnsi="Arial" w:cs="Arial"/>
                <w:sz w:val="24"/>
                <w:szCs w:val="24"/>
              </w:rPr>
            </w:pPr>
            <w:r>
              <w:rPr>
                <w:rFonts w:ascii="Arial" w:hAnsi="Arial" w:cs="Arial"/>
                <w:sz w:val="24"/>
                <w:szCs w:val="24"/>
              </w:rPr>
              <w:t>-</w:t>
            </w:r>
            <w:r w:rsidR="00CF79AC">
              <w:rPr>
                <w:rFonts w:ascii="Arial" w:hAnsi="Arial" w:cs="Arial"/>
                <w:sz w:val="24"/>
                <w:szCs w:val="24"/>
              </w:rPr>
              <w:t>909</w:t>
            </w:r>
          </w:p>
        </w:tc>
        <w:tc>
          <w:tcPr>
            <w:tcW w:w="1417" w:type="dxa"/>
            <w:vAlign w:val="bottom"/>
          </w:tcPr>
          <w:p w14:paraId="20A78FC1" w14:textId="06E5F68D" w:rsidR="00CF79AC" w:rsidRDefault="00CF79AC" w:rsidP="00B1584C">
            <w:pPr>
              <w:jc w:val="right"/>
              <w:rPr>
                <w:rFonts w:ascii="Arial" w:hAnsi="Arial" w:cs="Arial"/>
                <w:sz w:val="24"/>
                <w:szCs w:val="24"/>
              </w:rPr>
            </w:pPr>
            <w:r>
              <w:rPr>
                <w:rFonts w:ascii="Arial" w:hAnsi="Arial" w:cs="Arial"/>
                <w:sz w:val="24"/>
                <w:szCs w:val="24"/>
              </w:rPr>
              <w:t>0</w:t>
            </w:r>
          </w:p>
        </w:tc>
      </w:tr>
      <w:tr w:rsidR="006071DF" w:rsidRPr="000D756E" w14:paraId="52793850" w14:textId="77777777" w:rsidTr="00F457DB">
        <w:trPr>
          <w:trHeight w:val="327"/>
        </w:trPr>
        <w:tc>
          <w:tcPr>
            <w:tcW w:w="6776" w:type="dxa"/>
            <w:vAlign w:val="bottom"/>
          </w:tcPr>
          <w:p w14:paraId="2DBC0958" w14:textId="76F6FC84" w:rsidR="00600F8D" w:rsidRPr="000D756E" w:rsidRDefault="00600F8D" w:rsidP="00B1584C">
            <w:pPr>
              <w:rPr>
                <w:rFonts w:ascii="Arial" w:hAnsi="Arial" w:cs="Arial"/>
                <w:sz w:val="24"/>
                <w:szCs w:val="24"/>
              </w:rPr>
            </w:pPr>
            <w:r>
              <w:rPr>
                <w:rFonts w:ascii="Arial" w:hAnsi="Arial" w:cs="Arial"/>
                <w:sz w:val="24"/>
                <w:szCs w:val="24"/>
              </w:rPr>
              <w:t>Funding Guarantee</w:t>
            </w:r>
            <w:r w:rsidR="00A97154">
              <w:rPr>
                <w:rFonts w:ascii="Arial" w:hAnsi="Arial" w:cs="Arial"/>
                <w:sz w:val="24"/>
                <w:szCs w:val="24"/>
              </w:rPr>
              <w:t xml:space="preserve"> Grant</w:t>
            </w:r>
          </w:p>
        </w:tc>
        <w:tc>
          <w:tcPr>
            <w:tcW w:w="1276" w:type="dxa"/>
            <w:vAlign w:val="bottom"/>
          </w:tcPr>
          <w:p w14:paraId="21BF3D0D" w14:textId="6AF2AC44" w:rsidR="00600F8D" w:rsidRDefault="00F06D8B" w:rsidP="00B1584C">
            <w:pPr>
              <w:jc w:val="right"/>
              <w:rPr>
                <w:rFonts w:ascii="Arial" w:hAnsi="Arial" w:cs="Arial"/>
                <w:sz w:val="24"/>
                <w:szCs w:val="24"/>
              </w:rPr>
            </w:pPr>
            <w:r>
              <w:rPr>
                <w:rFonts w:ascii="Arial" w:hAnsi="Arial" w:cs="Arial"/>
                <w:sz w:val="24"/>
                <w:szCs w:val="24"/>
              </w:rPr>
              <w:t>-</w:t>
            </w:r>
            <w:r w:rsidR="00D83FE0">
              <w:rPr>
                <w:rFonts w:ascii="Arial" w:hAnsi="Arial" w:cs="Arial"/>
                <w:sz w:val="24"/>
                <w:szCs w:val="24"/>
              </w:rPr>
              <w:t>373</w:t>
            </w:r>
          </w:p>
        </w:tc>
        <w:tc>
          <w:tcPr>
            <w:tcW w:w="1417" w:type="dxa"/>
            <w:vAlign w:val="bottom"/>
          </w:tcPr>
          <w:p w14:paraId="4095EB86" w14:textId="7C42465E" w:rsidR="00600F8D" w:rsidRPr="000D756E" w:rsidRDefault="00A97154" w:rsidP="00B1584C">
            <w:pPr>
              <w:jc w:val="right"/>
              <w:rPr>
                <w:rFonts w:ascii="Arial" w:hAnsi="Arial" w:cs="Arial"/>
                <w:sz w:val="24"/>
                <w:szCs w:val="24"/>
              </w:rPr>
            </w:pPr>
            <w:r>
              <w:rPr>
                <w:rFonts w:ascii="Arial" w:hAnsi="Arial" w:cs="Arial"/>
                <w:sz w:val="24"/>
                <w:szCs w:val="24"/>
              </w:rPr>
              <w:t>0</w:t>
            </w:r>
          </w:p>
        </w:tc>
      </w:tr>
      <w:tr w:rsidR="006071DF" w:rsidRPr="000D756E" w14:paraId="0860030B" w14:textId="77777777" w:rsidTr="00F457DB">
        <w:trPr>
          <w:trHeight w:val="327"/>
        </w:trPr>
        <w:tc>
          <w:tcPr>
            <w:tcW w:w="6776" w:type="dxa"/>
            <w:vAlign w:val="bottom"/>
          </w:tcPr>
          <w:p w14:paraId="77930F28" w14:textId="77777777" w:rsidR="00B1584C" w:rsidRPr="000D756E" w:rsidRDefault="00B1584C" w:rsidP="00B1584C">
            <w:pPr>
              <w:rPr>
                <w:rFonts w:ascii="Arial" w:hAnsi="Arial" w:cs="Arial"/>
                <w:sz w:val="24"/>
                <w:szCs w:val="24"/>
              </w:rPr>
            </w:pPr>
            <w:r w:rsidRPr="000D756E">
              <w:rPr>
                <w:rFonts w:ascii="Arial" w:hAnsi="Arial" w:cs="Arial"/>
                <w:sz w:val="24"/>
                <w:szCs w:val="24"/>
              </w:rPr>
              <w:t>Rural Service Delivery Grant</w:t>
            </w:r>
          </w:p>
        </w:tc>
        <w:tc>
          <w:tcPr>
            <w:tcW w:w="1276" w:type="dxa"/>
            <w:vAlign w:val="bottom"/>
          </w:tcPr>
          <w:p w14:paraId="5FB96DD6" w14:textId="7AC7AEC6" w:rsidR="00B1584C" w:rsidRPr="000D756E" w:rsidRDefault="00F06D8B" w:rsidP="00B1584C">
            <w:pPr>
              <w:jc w:val="right"/>
              <w:rPr>
                <w:rFonts w:ascii="Arial" w:hAnsi="Arial" w:cs="Arial"/>
                <w:sz w:val="24"/>
                <w:szCs w:val="24"/>
              </w:rPr>
            </w:pPr>
            <w:r>
              <w:rPr>
                <w:rFonts w:ascii="Arial" w:hAnsi="Arial" w:cs="Arial"/>
                <w:sz w:val="24"/>
                <w:szCs w:val="24"/>
              </w:rPr>
              <w:t>-</w:t>
            </w:r>
            <w:r w:rsidR="00A0595E">
              <w:rPr>
                <w:rFonts w:ascii="Arial" w:hAnsi="Arial" w:cs="Arial"/>
                <w:sz w:val="24"/>
                <w:szCs w:val="24"/>
              </w:rPr>
              <w:t>43</w:t>
            </w:r>
            <w:r>
              <w:rPr>
                <w:rFonts w:ascii="Arial" w:hAnsi="Arial" w:cs="Arial"/>
                <w:sz w:val="24"/>
                <w:szCs w:val="24"/>
              </w:rPr>
              <w:t>5</w:t>
            </w:r>
          </w:p>
        </w:tc>
        <w:tc>
          <w:tcPr>
            <w:tcW w:w="1417" w:type="dxa"/>
            <w:vAlign w:val="bottom"/>
          </w:tcPr>
          <w:p w14:paraId="3777E15B" w14:textId="784BE538" w:rsidR="00B1584C" w:rsidRPr="000D756E" w:rsidRDefault="00B1584C" w:rsidP="00B1584C">
            <w:pPr>
              <w:jc w:val="right"/>
              <w:rPr>
                <w:rFonts w:ascii="Arial" w:hAnsi="Arial" w:cs="Arial"/>
                <w:sz w:val="24"/>
                <w:szCs w:val="24"/>
              </w:rPr>
            </w:pPr>
            <w:r w:rsidRPr="000D756E">
              <w:rPr>
                <w:rFonts w:ascii="Arial" w:hAnsi="Arial" w:cs="Arial"/>
                <w:sz w:val="24"/>
                <w:szCs w:val="24"/>
              </w:rPr>
              <w:t>-375</w:t>
            </w:r>
          </w:p>
        </w:tc>
      </w:tr>
      <w:tr w:rsidR="006071DF" w:rsidRPr="000D756E" w14:paraId="60331E7A" w14:textId="77777777" w:rsidTr="00F457DB">
        <w:trPr>
          <w:trHeight w:val="327"/>
        </w:trPr>
        <w:tc>
          <w:tcPr>
            <w:tcW w:w="6776" w:type="dxa"/>
            <w:vAlign w:val="bottom"/>
          </w:tcPr>
          <w:p w14:paraId="6661739E" w14:textId="08AAF671" w:rsidR="00B1584C" w:rsidRPr="000D756E" w:rsidRDefault="00B1584C" w:rsidP="00B1584C">
            <w:pPr>
              <w:rPr>
                <w:rFonts w:ascii="Arial" w:hAnsi="Arial" w:cs="Arial"/>
                <w:sz w:val="24"/>
                <w:szCs w:val="24"/>
              </w:rPr>
            </w:pPr>
            <w:r w:rsidRPr="000D756E">
              <w:rPr>
                <w:rFonts w:ascii="Arial" w:hAnsi="Arial" w:cs="Arial"/>
                <w:sz w:val="24"/>
                <w:szCs w:val="24"/>
              </w:rPr>
              <w:t>Business Rates Uplift Grants</w:t>
            </w:r>
          </w:p>
        </w:tc>
        <w:tc>
          <w:tcPr>
            <w:tcW w:w="1276" w:type="dxa"/>
            <w:vAlign w:val="bottom"/>
          </w:tcPr>
          <w:p w14:paraId="439D5E33" w14:textId="5988EEB8" w:rsidR="00B1584C" w:rsidRPr="000D756E" w:rsidRDefault="00F06D8B" w:rsidP="00B1584C">
            <w:pPr>
              <w:jc w:val="right"/>
              <w:rPr>
                <w:rFonts w:ascii="Arial" w:hAnsi="Arial" w:cs="Arial"/>
                <w:sz w:val="24"/>
                <w:szCs w:val="24"/>
              </w:rPr>
            </w:pPr>
            <w:r>
              <w:rPr>
                <w:rFonts w:ascii="Arial" w:hAnsi="Arial" w:cs="Arial"/>
                <w:sz w:val="24"/>
                <w:szCs w:val="24"/>
              </w:rPr>
              <w:t>-</w:t>
            </w:r>
            <w:r w:rsidR="00A0595E">
              <w:rPr>
                <w:rFonts w:ascii="Arial" w:hAnsi="Arial" w:cs="Arial"/>
                <w:sz w:val="24"/>
                <w:szCs w:val="24"/>
              </w:rPr>
              <w:t>1,250</w:t>
            </w:r>
          </w:p>
        </w:tc>
        <w:tc>
          <w:tcPr>
            <w:tcW w:w="1417" w:type="dxa"/>
            <w:vAlign w:val="bottom"/>
          </w:tcPr>
          <w:p w14:paraId="3FDC1AD3" w14:textId="74169CCF" w:rsidR="00B1584C" w:rsidRPr="000D756E" w:rsidRDefault="00B1584C" w:rsidP="00B1584C">
            <w:pPr>
              <w:jc w:val="right"/>
              <w:rPr>
                <w:rFonts w:ascii="Arial" w:hAnsi="Arial" w:cs="Arial"/>
                <w:sz w:val="24"/>
                <w:szCs w:val="24"/>
              </w:rPr>
            </w:pPr>
            <w:r w:rsidRPr="000D756E">
              <w:rPr>
                <w:rFonts w:ascii="Arial" w:hAnsi="Arial" w:cs="Arial"/>
                <w:sz w:val="24"/>
                <w:szCs w:val="24"/>
              </w:rPr>
              <w:t>-1,097</w:t>
            </w:r>
          </w:p>
        </w:tc>
      </w:tr>
      <w:tr w:rsidR="006071DF" w:rsidRPr="000D756E" w14:paraId="165D572B" w14:textId="77777777" w:rsidTr="00F457DB">
        <w:trPr>
          <w:trHeight w:val="327"/>
        </w:trPr>
        <w:tc>
          <w:tcPr>
            <w:tcW w:w="6776" w:type="dxa"/>
            <w:vAlign w:val="bottom"/>
          </w:tcPr>
          <w:p w14:paraId="48874C08" w14:textId="77777777" w:rsidR="00B1584C" w:rsidRPr="000D756E" w:rsidRDefault="00B1584C" w:rsidP="00B1584C">
            <w:pPr>
              <w:rPr>
                <w:rFonts w:ascii="Arial" w:hAnsi="Arial" w:cs="Arial"/>
                <w:sz w:val="24"/>
                <w:szCs w:val="24"/>
              </w:rPr>
            </w:pPr>
            <w:r w:rsidRPr="000D756E">
              <w:rPr>
                <w:rFonts w:ascii="Arial" w:hAnsi="Arial" w:cs="Arial"/>
                <w:sz w:val="24"/>
                <w:szCs w:val="24"/>
              </w:rPr>
              <w:t>New Dimension Grant</w:t>
            </w:r>
          </w:p>
        </w:tc>
        <w:tc>
          <w:tcPr>
            <w:tcW w:w="1276" w:type="dxa"/>
            <w:vAlign w:val="bottom"/>
          </w:tcPr>
          <w:p w14:paraId="097CA3BB" w14:textId="5ACCBB22" w:rsidR="00B1584C" w:rsidRPr="000D756E" w:rsidRDefault="00A0595E" w:rsidP="00B1584C">
            <w:pPr>
              <w:jc w:val="right"/>
              <w:rPr>
                <w:rFonts w:ascii="Arial" w:hAnsi="Arial" w:cs="Arial"/>
                <w:sz w:val="24"/>
                <w:szCs w:val="24"/>
              </w:rPr>
            </w:pPr>
            <w:r>
              <w:rPr>
                <w:rFonts w:ascii="Arial" w:hAnsi="Arial" w:cs="Arial"/>
                <w:sz w:val="24"/>
                <w:szCs w:val="24"/>
              </w:rPr>
              <w:t>-7</w:t>
            </w:r>
          </w:p>
        </w:tc>
        <w:tc>
          <w:tcPr>
            <w:tcW w:w="1417" w:type="dxa"/>
            <w:vAlign w:val="bottom"/>
          </w:tcPr>
          <w:p w14:paraId="3C8D9F24" w14:textId="3D4EB38B" w:rsidR="00B1584C" w:rsidRPr="000D756E" w:rsidRDefault="00B1584C" w:rsidP="00B1584C">
            <w:pPr>
              <w:jc w:val="right"/>
              <w:rPr>
                <w:rFonts w:ascii="Arial" w:hAnsi="Arial" w:cs="Arial"/>
                <w:sz w:val="24"/>
                <w:szCs w:val="24"/>
              </w:rPr>
            </w:pPr>
            <w:r w:rsidRPr="000D756E">
              <w:rPr>
                <w:rFonts w:ascii="Arial" w:hAnsi="Arial" w:cs="Arial"/>
                <w:sz w:val="24"/>
                <w:szCs w:val="24"/>
              </w:rPr>
              <w:t>-7</w:t>
            </w:r>
          </w:p>
        </w:tc>
      </w:tr>
      <w:tr w:rsidR="006071DF" w:rsidRPr="000D756E" w14:paraId="0AE7688E" w14:textId="77777777" w:rsidTr="00F457DB">
        <w:trPr>
          <w:trHeight w:val="327"/>
        </w:trPr>
        <w:tc>
          <w:tcPr>
            <w:tcW w:w="6776" w:type="dxa"/>
            <w:vAlign w:val="bottom"/>
          </w:tcPr>
          <w:p w14:paraId="15E5C1C0" w14:textId="5F2A7050" w:rsidR="00B1584C" w:rsidRPr="000D756E" w:rsidRDefault="00B1584C" w:rsidP="00B1584C">
            <w:pPr>
              <w:rPr>
                <w:rFonts w:ascii="Arial" w:hAnsi="Arial" w:cs="Arial"/>
                <w:sz w:val="24"/>
                <w:szCs w:val="24"/>
              </w:rPr>
            </w:pPr>
            <w:r w:rsidRPr="000D756E">
              <w:rPr>
                <w:rFonts w:ascii="Arial" w:hAnsi="Arial" w:cs="Arial"/>
                <w:sz w:val="24"/>
                <w:szCs w:val="24"/>
              </w:rPr>
              <w:t>Business Rates Reconciliation Grant</w:t>
            </w:r>
          </w:p>
        </w:tc>
        <w:tc>
          <w:tcPr>
            <w:tcW w:w="1276" w:type="dxa"/>
            <w:vAlign w:val="bottom"/>
          </w:tcPr>
          <w:p w14:paraId="2A468DE9" w14:textId="4ABB89A6" w:rsidR="00B1584C" w:rsidRPr="000D756E" w:rsidRDefault="0044002B" w:rsidP="00B1584C">
            <w:pPr>
              <w:jc w:val="right"/>
              <w:rPr>
                <w:rFonts w:ascii="Arial" w:hAnsi="Arial" w:cs="Arial"/>
                <w:sz w:val="24"/>
                <w:szCs w:val="24"/>
              </w:rPr>
            </w:pPr>
            <w:r>
              <w:rPr>
                <w:rFonts w:ascii="Arial" w:hAnsi="Arial" w:cs="Arial"/>
                <w:sz w:val="24"/>
                <w:szCs w:val="24"/>
              </w:rPr>
              <w:t>17</w:t>
            </w:r>
          </w:p>
        </w:tc>
        <w:tc>
          <w:tcPr>
            <w:tcW w:w="1417" w:type="dxa"/>
            <w:vAlign w:val="bottom"/>
          </w:tcPr>
          <w:p w14:paraId="6A1F37E1" w14:textId="3EB42615" w:rsidR="00B1584C" w:rsidRPr="000D756E" w:rsidRDefault="00B1584C" w:rsidP="00B1584C">
            <w:pPr>
              <w:jc w:val="right"/>
              <w:rPr>
                <w:rFonts w:ascii="Arial" w:hAnsi="Arial" w:cs="Arial"/>
                <w:sz w:val="24"/>
                <w:szCs w:val="24"/>
              </w:rPr>
            </w:pPr>
            <w:r w:rsidRPr="000D756E">
              <w:rPr>
                <w:rFonts w:ascii="Arial" w:hAnsi="Arial" w:cs="Arial"/>
                <w:sz w:val="24"/>
                <w:szCs w:val="24"/>
              </w:rPr>
              <w:t>-64</w:t>
            </w:r>
          </w:p>
        </w:tc>
      </w:tr>
      <w:tr w:rsidR="006071DF" w:rsidRPr="000D756E" w14:paraId="13822340" w14:textId="77777777" w:rsidTr="00F457DB">
        <w:trPr>
          <w:trHeight w:val="327"/>
        </w:trPr>
        <w:tc>
          <w:tcPr>
            <w:tcW w:w="6776" w:type="dxa"/>
            <w:vAlign w:val="bottom"/>
          </w:tcPr>
          <w:p w14:paraId="6AA2B460" w14:textId="77777777" w:rsidR="00B1584C" w:rsidRPr="000D756E" w:rsidRDefault="00B1584C" w:rsidP="00B1584C">
            <w:pPr>
              <w:rPr>
                <w:rFonts w:ascii="Arial" w:hAnsi="Arial" w:cs="Arial"/>
                <w:sz w:val="24"/>
                <w:szCs w:val="24"/>
              </w:rPr>
            </w:pPr>
            <w:r w:rsidRPr="000D756E">
              <w:rPr>
                <w:rFonts w:ascii="Arial" w:hAnsi="Arial" w:cs="Arial"/>
                <w:sz w:val="24"/>
                <w:szCs w:val="24"/>
              </w:rPr>
              <w:t>Transparency Code Grant</w:t>
            </w:r>
          </w:p>
        </w:tc>
        <w:tc>
          <w:tcPr>
            <w:tcW w:w="1276" w:type="dxa"/>
            <w:vAlign w:val="bottom"/>
          </w:tcPr>
          <w:p w14:paraId="7EEEA7D4" w14:textId="1F1EC50B" w:rsidR="00B1584C" w:rsidRPr="000D756E" w:rsidRDefault="0044002B" w:rsidP="00B1584C">
            <w:pPr>
              <w:jc w:val="right"/>
              <w:rPr>
                <w:rFonts w:ascii="Arial" w:hAnsi="Arial" w:cs="Arial"/>
                <w:sz w:val="24"/>
                <w:szCs w:val="24"/>
              </w:rPr>
            </w:pPr>
            <w:r>
              <w:rPr>
                <w:rFonts w:ascii="Arial" w:hAnsi="Arial" w:cs="Arial"/>
                <w:sz w:val="24"/>
                <w:szCs w:val="24"/>
              </w:rPr>
              <w:t>-8</w:t>
            </w:r>
          </w:p>
        </w:tc>
        <w:tc>
          <w:tcPr>
            <w:tcW w:w="1417" w:type="dxa"/>
            <w:vAlign w:val="bottom"/>
          </w:tcPr>
          <w:p w14:paraId="334E90D5" w14:textId="61ECCCEF" w:rsidR="00B1584C" w:rsidRPr="000D756E" w:rsidRDefault="00B1584C" w:rsidP="00B1584C">
            <w:pPr>
              <w:jc w:val="right"/>
              <w:rPr>
                <w:rFonts w:ascii="Arial" w:hAnsi="Arial" w:cs="Arial"/>
                <w:sz w:val="24"/>
                <w:szCs w:val="24"/>
              </w:rPr>
            </w:pPr>
            <w:r w:rsidRPr="000D756E">
              <w:rPr>
                <w:rFonts w:ascii="Arial" w:hAnsi="Arial" w:cs="Arial"/>
                <w:sz w:val="24"/>
                <w:szCs w:val="24"/>
              </w:rPr>
              <w:t>-8</w:t>
            </w:r>
          </w:p>
        </w:tc>
      </w:tr>
      <w:tr w:rsidR="006071DF" w:rsidRPr="000D756E" w14:paraId="35FCD7DA" w14:textId="77777777" w:rsidTr="00F457DB">
        <w:trPr>
          <w:trHeight w:val="285"/>
        </w:trPr>
        <w:tc>
          <w:tcPr>
            <w:tcW w:w="6776" w:type="dxa"/>
          </w:tcPr>
          <w:p w14:paraId="39C10359" w14:textId="6956D4E0" w:rsidR="00B1584C" w:rsidRPr="000D756E" w:rsidRDefault="00B1584C" w:rsidP="00B1584C">
            <w:pPr>
              <w:rPr>
                <w:rFonts w:ascii="Arial" w:hAnsi="Arial" w:cs="Arial"/>
                <w:sz w:val="24"/>
                <w:szCs w:val="24"/>
              </w:rPr>
            </w:pPr>
            <w:r w:rsidRPr="000D756E">
              <w:rPr>
                <w:rFonts w:ascii="Arial" w:hAnsi="Arial" w:cs="Arial"/>
                <w:sz w:val="24"/>
                <w:szCs w:val="24"/>
              </w:rPr>
              <w:t>Services Grant</w:t>
            </w:r>
          </w:p>
        </w:tc>
        <w:tc>
          <w:tcPr>
            <w:tcW w:w="1276" w:type="dxa"/>
            <w:vAlign w:val="bottom"/>
          </w:tcPr>
          <w:p w14:paraId="3CAA387C" w14:textId="5B6EBBD7" w:rsidR="00B1584C" w:rsidRPr="000D756E" w:rsidRDefault="005549F5" w:rsidP="00B1584C">
            <w:pPr>
              <w:jc w:val="right"/>
              <w:rPr>
                <w:rFonts w:ascii="Arial" w:hAnsi="Arial" w:cs="Arial"/>
                <w:sz w:val="24"/>
                <w:szCs w:val="24"/>
              </w:rPr>
            </w:pPr>
            <w:r>
              <w:rPr>
                <w:rFonts w:ascii="Arial" w:hAnsi="Arial" w:cs="Arial"/>
                <w:sz w:val="24"/>
                <w:szCs w:val="24"/>
              </w:rPr>
              <w:t>-27</w:t>
            </w:r>
          </w:p>
        </w:tc>
        <w:tc>
          <w:tcPr>
            <w:tcW w:w="1417" w:type="dxa"/>
            <w:vAlign w:val="bottom"/>
          </w:tcPr>
          <w:p w14:paraId="16AF47F3" w14:textId="70232F51" w:rsidR="00B1584C" w:rsidRPr="000D756E" w:rsidRDefault="00B1584C" w:rsidP="00B1584C">
            <w:pPr>
              <w:jc w:val="right"/>
              <w:rPr>
                <w:rFonts w:ascii="Arial" w:hAnsi="Arial" w:cs="Arial"/>
                <w:sz w:val="24"/>
                <w:szCs w:val="24"/>
              </w:rPr>
            </w:pPr>
            <w:r w:rsidRPr="000D756E">
              <w:rPr>
                <w:rFonts w:ascii="Arial" w:hAnsi="Arial" w:cs="Arial"/>
                <w:sz w:val="24"/>
                <w:szCs w:val="24"/>
              </w:rPr>
              <w:t>-159</w:t>
            </w:r>
          </w:p>
        </w:tc>
      </w:tr>
      <w:tr w:rsidR="006071DF" w:rsidRPr="000D756E" w14:paraId="109BF623" w14:textId="77777777" w:rsidTr="00F457DB">
        <w:trPr>
          <w:trHeight w:val="261"/>
        </w:trPr>
        <w:tc>
          <w:tcPr>
            <w:tcW w:w="6776" w:type="dxa"/>
          </w:tcPr>
          <w:p w14:paraId="69E7EEEA" w14:textId="29439AA1" w:rsidR="00B1584C" w:rsidRPr="000D756E" w:rsidRDefault="00B1584C" w:rsidP="00B1584C">
            <w:pPr>
              <w:rPr>
                <w:rFonts w:ascii="Arial" w:hAnsi="Arial" w:cs="Arial"/>
                <w:sz w:val="24"/>
                <w:szCs w:val="24"/>
              </w:rPr>
            </w:pPr>
            <w:r w:rsidRPr="000D756E">
              <w:rPr>
                <w:rFonts w:ascii="Arial" w:hAnsi="Arial" w:cs="Arial"/>
                <w:sz w:val="24"/>
                <w:szCs w:val="24"/>
              </w:rPr>
              <w:t>Protection Uplift Grant</w:t>
            </w:r>
          </w:p>
        </w:tc>
        <w:tc>
          <w:tcPr>
            <w:tcW w:w="1276" w:type="dxa"/>
            <w:vAlign w:val="bottom"/>
          </w:tcPr>
          <w:p w14:paraId="01C5650C" w14:textId="5492E349" w:rsidR="00B1584C" w:rsidRPr="000D756E" w:rsidRDefault="00D32599" w:rsidP="00B1584C">
            <w:pPr>
              <w:jc w:val="right"/>
              <w:rPr>
                <w:rFonts w:ascii="Arial" w:hAnsi="Arial" w:cs="Arial"/>
                <w:sz w:val="24"/>
                <w:szCs w:val="24"/>
              </w:rPr>
            </w:pPr>
            <w:r>
              <w:rPr>
                <w:rFonts w:ascii="Arial" w:hAnsi="Arial" w:cs="Arial"/>
                <w:sz w:val="24"/>
                <w:szCs w:val="24"/>
              </w:rPr>
              <w:t>-132</w:t>
            </w:r>
          </w:p>
        </w:tc>
        <w:tc>
          <w:tcPr>
            <w:tcW w:w="1417" w:type="dxa"/>
            <w:vAlign w:val="bottom"/>
          </w:tcPr>
          <w:p w14:paraId="0CC22F44" w14:textId="43BA7C72" w:rsidR="00B1584C" w:rsidRPr="000D756E" w:rsidRDefault="00B1584C" w:rsidP="00B1584C">
            <w:pPr>
              <w:jc w:val="right"/>
              <w:rPr>
                <w:rFonts w:ascii="Arial" w:hAnsi="Arial" w:cs="Arial"/>
                <w:sz w:val="24"/>
                <w:szCs w:val="24"/>
              </w:rPr>
            </w:pPr>
            <w:r w:rsidRPr="000D756E">
              <w:rPr>
                <w:rFonts w:ascii="Arial" w:hAnsi="Arial" w:cs="Arial"/>
                <w:sz w:val="24"/>
                <w:szCs w:val="24"/>
              </w:rPr>
              <w:t>0</w:t>
            </w:r>
          </w:p>
        </w:tc>
      </w:tr>
      <w:tr w:rsidR="006071DF" w:rsidRPr="000D756E" w14:paraId="11F5B77C" w14:textId="77777777" w:rsidTr="00F457DB">
        <w:trPr>
          <w:trHeight w:val="261"/>
        </w:trPr>
        <w:tc>
          <w:tcPr>
            <w:tcW w:w="6776" w:type="dxa"/>
          </w:tcPr>
          <w:p w14:paraId="4A3E4A30" w14:textId="0ED9DB6D" w:rsidR="00B1584C" w:rsidRPr="000D756E" w:rsidRDefault="00B1584C" w:rsidP="00B1584C">
            <w:pPr>
              <w:rPr>
                <w:rFonts w:ascii="Arial" w:hAnsi="Arial" w:cs="Arial"/>
                <w:sz w:val="24"/>
                <w:szCs w:val="24"/>
              </w:rPr>
            </w:pPr>
            <w:r w:rsidRPr="000D756E">
              <w:rPr>
                <w:rFonts w:ascii="Arial" w:hAnsi="Arial" w:cs="Arial"/>
                <w:sz w:val="24"/>
                <w:szCs w:val="24"/>
              </w:rPr>
              <w:t>Levy Surplus Grant</w:t>
            </w:r>
          </w:p>
        </w:tc>
        <w:tc>
          <w:tcPr>
            <w:tcW w:w="1276" w:type="dxa"/>
            <w:vAlign w:val="bottom"/>
          </w:tcPr>
          <w:p w14:paraId="52B0E7D8" w14:textId="018F7AFD" w:rsidR="00B1584C" w:rsidRPr="000D756E" w:rsidRDefault="00D32599" w:rsidP="00B1584C">
            <w:pPr>
              <w:jc w:val="right"/>
              <w:rPr>
                <w:rFonts w:ascii="Arial" w:hAnsi="Arial" w:cs="Arial"/>
                <w:sz w:val="24"/>
                <w:szCs w:val="24"/>
              </w:rPr>
            </w:pPr>
            <w:r>
              <w:rPr>
                <w:rFonts w:ascii="Arial" w:hAnsi="Arial" w:cs="Arial"/>
                <w:sz w:val="24"/>
                <w:szCs w:val="24"/>
              </w:rPr>
              <w:t>-33</w:t>
            </w:r>
          </w:p>
        </w:tc>
        <w:tc>
          <w:tcPr>
            <w:tcW w:w="1417" w:type="dxa"/>
            <w:vAlign w:val="bottom"/>
          </w:tcPr>
          <w:p w14:paraId="67BB27E0" w14:textId="4684517B" w:rsidR="00B1584C" w:rsidRPr="000D756E" w:rsidRDefault="00B1584C" w:rsidP="00B1584C">
            <w:pPr>
              <w:jc w:val="right"/>
              <w:rPr>
                <w:rFonts w:ascii="Arial" w:hAnsi="Arial" w:cs="Arial"/>
                <w:sz w:val="24"/>
                <w:szCs w:val="24"/>
              </w:rPr>
            </w:pPr>
            <w:r w:rsidRPr="000D756E">
              <w:rPr>
                <w:rFonts w:ascii="Arial" w:hAnsi="Arial" w:cs="Arial"/>
                <w:sz w:val="24"/>
                <w:szCs w:val="24"/>
              </w:rPr>
              <w:t>-33</w:t>
            </w:r>
          </w:p>
        </w:tc>
      </w:tr>
      <w:tr w:rsidR="006071DF" w:rsidRPr="000D756E" w14:paraId="061B8EA3" w14:textId="77777777" w:rsidTr="00F457DB">
        <w:trPr>
          <w:trHeight w:val="261"/>
        </w:trPr>
        <w:tc>
          <w:tcPr>
            <w:tcW w:w="6776" w:type="dxa"/>
          </w:tcPr>
          <w:p w14:paraId="6CFC05F8" w14:textId="1C58010A" w:rsidR="00B1584C" w:rsidRPr="000D756E" w:rsidRDefault="00B1584C" w:rsidP="00B1584C">
            <w:pPr>
              <w:rPr>
                <w:rFonts w:ascii="Arial" w:hAnsi="Arial" w:cs="Arial"/>
                <w:sz w:val="24"/>
                <w:szCs w:val="24"/>
              </w:rPr>
            </w:pPr>
            <w:r w:rsidRPr="000D756E">
              <w:rPr>
                <w:rFonts w:ascii="Arial" w:hAnsi="Arial" w:cs="Arial"/>
                <w:sz w:val="24"/>
                <w:szCs w:val="24"/>
              </w:rPr>
              <w:t>Redmond Review – Audit Fees Grant</w:t>
            </w:r>
          </w:p>
        </w:tc>
        <w:tc>
          <w:tcPr>
            <w:tcW w:w="1276" w:type="dxa"/>
            <w:vAlign w:val="bottom"/>
          </w:tcPr>
          <w:p w14:paraId="1B7DE472" w14:textId="4280F264" w:rsidR="00B1584C" w:rsidRPr="000D756E" w:rsidRDefault="00D32599" w:rsidP="00B1584C">
            <w:pPr>
              <w:jc w:val="right"/>
              <w:rPr>
                <w:rFonts w:ascii="Arial" w:hAnsi="Arial" w:cs="Arial"/>
                <w:sz w:val="24"/>
                <w:szCs w:val="24"/>
              </w:rPr>
            </w:pPr>
            <w:r>
              <w:rPr>
                <w:rFonts w:ascii="Arial" w:hAnsi="Arial" w:cs="Arial"/>
                <w:sz w:val="24"/>
                <w:szCs w:val="24"/>
              </w:rPr>
              <w:t>0</w:t>
            </w:r>
          </w:p>
        </w:tc>
        <w:tc>
          <w:tcPr>
            <w:tcW w:w="1417" w:type="dxa"/>
            <w:vAlign w:val="bottom"/>
          </w:tcPr>
          <w:p w14:paraId="47B1ABE0" w14:textId="20762BEC" w:rsidR="00B1584C" w:rsidRPr="000D756E" w:rsidRDefault="00B1584C" w:rsidP="00B1584C">
            <w:pPr>
              <w:jc w:val="right"/>
              <w:rPr>
                <w:rFonts w:ascii="Arial" w:hAnsi="Arial" w:cs="Arial"/>
                <w:sz w:val="24"/>
                <w:szCs w:val="24"/>
              </w:rPr>
            </w:pPr>
            <w:r w:rsidRPr="000D756E">
              <w:rPr>
                <w:rFonts w:ascii="Arial" w:hAnsi="Arial" w:cs="Arial"/>
                <w:sz w:val="24"/>
                <w:szCs w:val="24"/>
              </w:rPr>
              <w:t>-12</w:t>
            </w:r>
          </w:p>
        </w:tc>
      </w:tr>
      <w:tr w:rsidR="006071DF" w:rsidRPr="000D756E" w14:paraId="4E39A3E7" w14:textId="77777777" w:rsidTr="00F457DB">
        <w:trPr>
          <w:trHeight w:val="261"/>
        </w:trPr>
        <w:tc>
          <w:tcPr>
            <w:tcW w:w="6776" w:type="dxa"/>
          </w:tcPr>
          <w:p w14:paraId="2E34C418" w14:textId="672C8268" w:rsidR="00B1584C" w:rsidRPr="000D756E" w:rsidRDefault="00B1584C" w:rsidP="00B1584C">
            <w:pPr>
              <w:rPr>
                <w:rFonts w:ascii="Arial" w:hAnsi="Arial" w:cs="Arial"/>
                <w:sz w:val="24"/>
                <w:szCs w:val="24"/>
              </w:rPr>
            </w:pPr>
            <w:r w:rsidRPr="000D756E">
              <w:rPr>
                <w:rFonts w:ascii="Arial" w:hAnsi="Arial" w:cs="Arial"/>
                <w:sz w:val="24"/>
                <w:szCs w:val="24"/>
              </w:rPr>
              <w:t>Green Grant</w:t>
            </w:r>
          </w:p>
        </w:tc>
        <w:tc>
          <w:tcPr>
            <w:tcW w:w="1276" w:type="dxa"/>
            <w:vAlign w:val="bottom"/>
          </w:tcPr>
          <w:p w14:paraId="39538E0F" w14:textId="4A9DB45E" w:rsidR="00B1584C" w:rsidRPr="000D756E" w:rsidRDefault="00B1584C" w:rsidP="00B1584C">
            <w:pPr>
              <w:jc w:val="right"/>
              <w:rPr>
                <w:rFonts w:ascii="Arial" w:hAnsi="Arial" w:cs="Arial"/>
                <w:sz w:val="24"/>
                <w:szCs w:val="24"/>
              </w:rPr>
            </w:pPr>
          </w:p>
        </w:tc>
        <w:tc>
          <w:tcPr>
            <w:tcW w:w="1417" w:type="dxa"/>
            <w:vAlign w:val="bottom"/>
          </w:tcPr>
          <w:p w14:paraId="557D97E9" w14:textId="2FD2FEC2" w:rsidR="00B1584C" w:rsidRPr="000D756E" w:rsidRDefault="00B1584C" w:rsidP="00B1584C">
            <w:pPr>
              <w:jc w:val="right"/>
              <w:rPr>
                <w:rFonts w:ascii="Arial" w:hAnsi="Arial" w:cs="Arial"/>
                <w:sz w:val="24"/>
                <w:szCs w:val="24"/>
              </w:rPr>
            </w:pPr>
            <w:r w:rsidRPr="000D756E">
              <w:rPr>
                <w:rFonts w:ascii="Arial" w:hAnsi="Arial" w:cs="Arial"/>
                <w:sz w:val="24"/>
                <w:szCs w:val="24"/>
              </w:rPr>
              <w:t>-4</w:t>
            </w:r>
          </w:p>
        </w:tc>
      </w:tr>
      <w:tr w:rsidR="006071DF" w:rsidRPr="000D756E" w14:paraId="2DE15E87" w14:textId="77777777" w:rsidTr="00F457DB">
        <w:trPr>
          <w:trHeight w:val="616"/>
        </w:trPr>
        <w:tc>
          <w:tcPr>
            <w:tcW w:w="6776" w:type="dxa"/>
          </w:tcPr>
          <w:p w14:paraId="09DE3317" w14:textId="77777777" w:rsidR="00B1584C" w:rsidRPr="000D756E" w:rsidRDefault="00B1584C" w:rsidP="00B1584C">
            <w:pPr>
              <w:rPr>
                <w:rFonts w:ascii="Arial" w:hAnsi="Arial" w:cs="Arial"/>
                <w:b/>
                <w:sz w:val="24"/>
                <w:szCs w:val="24"/>
              </w:rPr>
            </w:pPr>
          </w:p>
          <w:p w14:paraId="2C5AB6B9" w14:textId="125A051F" w:rsidR="00B1584C" w:rsidRPr="000D756E" w:rsidRDefault="00B1584C" w:rsidP="00B1584C">
            <w:pPr>
              <w:rPr>
                <w:rFonts w:ascii="Arial" w:hAnsi="Arial" w:cs="Arial"/>
                <w:b/>
                <w:sz w:val="24"/>
                <w:szCs w:val="24"/>
              </w:rPr>
            </w:pPr>
            <w:r w:rsidRPr="000D756E">
              <w:rPr>
                <w:rFonts w:ascii="Arial" w:hAnsi="Arial" w:cs="Arial"/>
                <w:b/>
                <w:sz w:val="24"/>
                <w:szCs w:val="24"/>
              </w:rPr>
              <w:t xml:space="preserve">Total </w:t>
            </w:r>
          </w:p>
        </w:tc>
        <w:tc>
          <w:tcPr>
            <w:tcW w:w="1276" w:type="dxa"/>
            <w:vAlign w:val="bottom"/>
          </w:tcPr>
          <w:p w14:paraId="2F20A7FB" w14:textId="121D565D" w:rsidR="00B1584C" w:rsidRPr="000D756E" w:rsidRDefault="00F06D8B" w:rsidP="00B1584C">
            <w:pPr>
              <w:jc w:val="right"/>
              <w:rPr>
                <w:rFonts w:ascii="Arial" w:hAnsi="Arial" w:cs="Arial"/>
                <w:b/>
                <w:sz w:val="24"/>
                <w:szCs w:val="24"/>
              </w:rPr>
            </w:pPr>
            <w:r>
              <w:rPr>
                <w:rFonts w:ascii="Arial" w:hAnsi="Arial" w:cs="Arial"/>
                <w:b/>
                <w:sz w:val="24"/>
                <w:szCs w:val="24"/>
              </w:rPr>
              <w:t>-5,858</w:t>
            </w:r>
          </w:p>
        </w:tc>
        <w:tc>
          <w:tcPr>
            <w:tcW w:w="1417" w:type="dxa"/>
            <w:vAlign w:val="bottom"/>
          </w:tcPr>
          <w:p w14:paraId="192CDD9F" w14:textId="05F2C5F5" w:rsidR="00B1584C" w:rsidRPr="000D756E" w:rsidRDefault="00B1584C" w:rsidP="00B1584C">
            <w:pPr>
              <w:jc w:val="right"/>
              <w:rPr>
                <w:rFonts w:ascii="Arial" w:hAnsi="Arial" w:cs="Arial"/>
                <w:b/>
                <w:sz w:val="24"/>
                <w:szCs w:val="24"/>
              </w:rPr>
            </w:pPr>
            <w:r w:rsidRPr="000D756E">
              <w:rPr>
                <w:rFonts w:ascii="Arial" w:hAnsi="Arial" w:cs="Arial"/>
                <w:b/>
                <w:sz w:val="24"/>
                <w:szCs w:val="24"/>
              </w:rPr>
              <w:t>-4,361</w:t>
            </w:r>
          </w:p>
        </w:tc>
      </w:tr>
    </w:tbl>
    <w:p w14:paraId="5DE19A07" w14:textId="00AC779B" w:rsidR="75549D1D" w:rsidRPr="000D756E" w:rsidRDefault="75549D1D"/>
    <w:p w14:paraId="66BAE1D8" w14:textId="2CA5F82F" w:rsidR="005449D6" w:rsidRPr="000D756E" w:rsidRDefault="005449D6" w:rsidP="002A7C01">
      <w:pPr>
        <w:rPr>
          <w:rFonts w:ascii="Arial" w:hAnsi="Arial" w:cs="Arial"/>
          <w:sz w:val="24"/>
          <w:szCs w:val="24"/>
        </w:rPr>
      </w:pPr>
    </w:p>
    <w:p w14:paraId="2A770D70" w14:textId="53C0FC8E" w:rsidR="006E002A" w:rsidRPr="000D756E" w:rsidRDefault="008D5DB9" w:rsidP="001C227A">
      <w:pPr>
        <w:pStyle w:val="BodyText"/>
        <w:numPr>
          <w:ilvl w:val="0"/>
          <w:numId w:val="15"/>
        </w:numPr>
        <w:rPr>
          <w:rFonts w:ascii="Arial" w:hAnsi="Arial" w:cs="Arial"/>
          <w:b/>
          <w:szCs w:val="24"/>
        </w:rPr>
      </w:pPr>
      <w:r w:rsidRPr="000D756E">
        <w:rPr>
          <w:rFonts w:ascii="Arial" w:hAnsi="Arial" w:cs="Arial"/>
          <w:b/>
          <w:szCs w:val="24"/>
        </w:rPr>
        <w:t xml:space="preserve"> </w:t>
      </w:r>
      <w:r w:rsidR="006E002A" w:rsidRPr="000D756E">
        <w:rPr>
          <w:rFonts w:ascii="Arial" w:hAnsi="Arial" w:cs="Arial"/>
          <w:b/>
          <w:szCs w:val="24"/>
        </w:rPr>
        <w:t xml:space="preserve">RELATED PARTIES </w:t>
      </w:r>
      <w:r w:rsidR="00EE5FFC" w:rsidRPr="000D756E">
        <w:rPr>
          <w:rFonts w:ascii="Arial" w:hAnsi="Arial" w:cs="Arial"/>
          <w:b/>
          <w:szCs w:val="24"/>
        </w:rPr>
        <w:t xml:space="preserve"> </w:t>
      </w:r>
    </w:p>
    <w:p w14:paraId="344B3FBB" w14:textId="77777777" w:rsidR="006E002A" w:rsidRPr="000D756E" w:rsidRDefault="006E002A" w:rsidP="002A7C01">
      <w:pPr>
        <w:pStyle w:val="BodyText"/>
        <w:rPr>
          <w:rFonts w:ascii="Arial" w:hAnsi="Arial" w:cs="Arial"/>
          <w:b/>
          <w:szCs w:val="24"/>
        </w:rPr>
      </w:pPr>
    </w:p>
    <w:p w14:paraId="770F90E0" w14:textId="0F5F8ADC" w:rsidR="00BB4075" w:rsidRPr="000D756E" w:rsidRDefault="006E002A" w:rsidP="002A7C01">
      <w:pPr>
        <w:pStyle w:val="BodyText"/>
        <w:rPr>
          <w:rFonts w:ascii="Arial" w:hAnsi="Arial" w:cs="Arial"/>
          <w:szCs w:val="24"/>
        </w:rPr>
      </w:pPr>
      <w:r w:rsidRPr="000D756E">
        <w:rPr>
          <w:rFonts w:ascii="Arial" w:hAnsi="Arial" w:cs="Arial"/>
          <w:szCs w:val="24"/>
        </w:rPr>
        <w:t>The Authority is required to disclose material transactions with related parties – bodies or individuals that have the potential to control or influence the Authority or to be controlled or influenced by the Authority. Disclosure of these transactions allows readers to assess the extent to which the Authority might have been constrained in its ability to operate independently or might have secured the ability to limit another party’s ability to bargain freely with the Authority.</w:t>
      </w:r>
    </w:p>
    <w:p w14:paraId="4C6C647A" w14:textId="77777777" w:rsidR="00BB4075" w:rsidRPr="000D756E" w:rsidRDefault="00BB4075" w:rsidP="002A7C01">
      <w:pPr>
        <w:pStyle w:val="BodyText"/>
        <w:rPr>
          <w:rFonts w:ascii="Arial" w:hAnsi="Arial" w:cs="Arial"/>
          <w:szCs w:val="24"/>
        </w:rPr>
      </w:pPr>
    </w:p>
    <w:p w14:paraId="37D44203" w14:textId="77777777" w:rsidR="006E002A" w:rsidRPr="000D756E" w:rsidRDefault="006E002A" w:rsidP="002A7C01">
      <w:pPr>
        <w:pStyle w:val="BodyText"/>
        <w:rPr>
          <w:rFonts w:ascii="Arial" w:hAnsi="Arial" w:cs="Arial"/>
          <w:b/>
          <w:szCs w:val="24"/>
        </w:rPr>
      </w:pPr>
      <w:r w:rsidRPr="000D756E">
        <w:rPr>
          <w:rFonts w:ascii="Arial" w:hAnsi="Arial" w:cs="Arial"/>
          <w:b/>
          <w:szCs w:val="24"/>
        </w:rPr>
        <w:t>Central Government</w:t>
      </w:r>
    </w:p>
    <w:p w14:paraId="64F53B03" w14:textId="77777777" w:rsidR="006E002A" w:rsidRPr="000D756E" w:rsidRDefault="006E002A" w:rsidP="002A7C01">
      <w:pPr>
        <w:pStyle w:val="BodyText"/>
        <w:rPr>
          <w:rFonts w:ascii="Arial" w:hAnsi="Arial" w:cs="Arial"/>
          <w:szCs w:val="24"/>
        </w:rPr>
      </w:pPr>
    </w:p>
    <w:p w14:paraId="2EE5DEB2" w14:textId="53E08961" w:rsidR="006E002A" w:rsidRPr="000D756E" w:rsidRDefault="00B259C4" w:rsidP="002A7C01">
      <w:pPr>
        <w:pStyle w:val="BodyText"/>
        <w:rPr>
          <w:rFonts w:ascii="Arial" w:hAnsi="Arial" w:cs="Arial"/>
          <w:szCs w:val="24"/>
        </w:rPr>
      </w:pPr>
      <w:r w:rsidRPr="000D756E">
        <w:rPr>
          <w:rFonts w:ascii="Arial" w:hAnsi="Arial" w:cs="Arial"/>
          <w:szCs w:val="24"/>
        </w:rPr>
        <w:t>The UK G</w:t>
      </w:r>
      <w:r w:rsidR="006E002A" w:rsidRPr="000D756E">
        <w:rPr>
          <w:rFonts w:ascii="Arial" w:hAnsi="Arial" w:cs="Arial"/>
          <w:szCs w:val="24"/>
        </w:rPr>
        <w:t xml:space="preserve">overnment has effective control over the general operations of the Authority – it is responsible for providing the statutory framework within which the Authority operates, provides a proportion of its funding in the form of grants and prescribes the terms of many of the transactions that the Authority has with other parties (ie council tax bills). Grants received from government departments are set out in </w:t>
      </w:r>
      <w:r w:rsidR="006F3CD2" w:rsidRPr="000D756E">
        <w:rPr>
          <w:rFonts w:ascii="Arial" w:hAnsi="Arial" w:cs="Arial"/>
          <w:szCs w:val="24"/>
        </w:rPr>
        <w:t>n</w:t>
      </w:r>
      <w:r w:rsidR="006E002A" w:rsidRPr="000D756E">
        <w:rPr>
          <w:rFonts w:ascii="Arial" w:hAnsi="Arial" w:cs="Arial"/>
          <w:szCs w:val="24"/>
        </w:rPr>
        <w:t xml:space="preserve">ote </w:t>
      </w:r>
      <w:r w:rsidR="002E58F0" w:rsidRPr="000D756E">
        <w:rPr>
          <w:rFonts w:ascii="Arial" w:hAnsi="Arial" w:cs="Arial"/>
          <w:szCs w:val="24"/>
        </w:rPr>
        <w:t>1</w:t>
      </w:r>
      <w:r w:rsidR="00BF311A" w:rsidRPr="000D756E">
        <w:rPr>
          <w:rFonts w:ascii="Arial" w:hAnsi="Arial" w:cs="Arial"/>
          <w:szCs w:val="24"/>
        </w:rPr>
        <w:t>0</w:t>
      </w:r>
      <w:r w:rsidR="006E002A" w:rsidRPr="000D756E">
        <w:rPr>
          <w:rFonts w:ascii="Arial" w:hAnsi="Arial" w:cs="Arial"/>
          <w:szCs w:val="24"/>
        </w:rPr>
        <w:t xml:space="preserve">. </w:t>
      </w:r>
    </w:p>
    <w:p w14:paraId="439D2F20" w14:textId="77777777" w:rsidR="00485C31" w:rsidRPr="000D756E" w:rsidRDefault="00485C31" w:rsidP="002A7C01">
      <w:pPr>
        <w:pStyle w:val="BodyText"/>
        <w:rPr>
          <w:rFonts w:ascii="Arial" w:hAnsi="Arial" w:cs="Arial"/>
          <w:szCs w:val="24"/>
        </w:rPr>
      </w:pPr>
    </w:p>
    <w:p w14:paraId="0025BE03" w14:textId="77777777" w:rsidR="006E002A" w:rsidRPr="000D756E" w:rsidRDefault="006E002A" w:rsidP="002A7C01">
      <w:pPr>
        <w:pStyle w:val="BodyText"/>
        <w:rPr>
          <w:rFonts w:ascii="Arial" w:hAnsi="Arial" w:cs="Arial"/>
          <w:b/>
          <w:szCs w:val="24"/>
        </w:rPr>
      </w:pPr>
      <w:r w:rsidRPr="000D756E">
        <w:rPr>
          <w:rFonts w:ascii="Arial" w:hAnsi="Arial" w:cs="Arial"/>
          <w:b/>
          <w:szCs w:val="24"/>
        </w:rPr>
        <w:lastRenderedPageBreak/>
        <w:t>Members</w:t>
      </w:r>
    </w:p>
    <w:p w14:paraId="42F73555" w14:textId="77777777" w:rsidR="006E002A" w:rsidRPr="000D756E" w:rsidRDefault="006E002A" w:rsidP="002A7C01">
      <w:pPr>
        <w:pStyle w:val="BodyText"/>
        <w:rPr>
          <w:rFonts w:ascii="Arial" w:hAnsi="Arial" w:cs="Arial"/>
          <w:b/>
          <w:szCs w:val="24"/>
        </w:rPr>
      </w:pPr>
    </w:p>
    <w:p w14:paraId="20C5D938" w14:textId="0E52FB1D" w:rsidR="006E002A" w:rsidRPr="000D756E" w:rsidRDefault="006E002A" w:rsidP="002A7C01">
      <w:pPr>
        <w:pStyle w:val="BodyText"/>
        <w:rPr>
          <w:rFonts w:ascii="Arial" w:hAnsi="Arial" w:cs="Arial"/>
          <w:szCs w:val="24"/>
        </w:rPr>
      </w:pPr>
      <w:r w:rsidRPr="000D756E">
        <w:rPr>
          <w:rFonts w:ascii="Arial" w:hAnsi="Arial" w:cs="Arial"/>
          <w:szCs w:val="24"/>
        </w:rPr>
        <w:t xml:space="preserve">Members of the Authority have direct control over the Authority’s financial and operating policies. </w:t>
      </w:r>
      <w:bookmarkStart w:id="2" w:name="OLE_LINK1"/>
      <w:bookmarkStart w:id="3" w:name="OLE_LINK2"/>
      <w:r w:rsidRPr="000D756E">
        <w:rPr>
          <w:rFonts w:ascii="Arial" w:hAnsi="Arial" w:cs="Arial"/>
          <w:szCs w:val="24"/>
        </w:rPr>
        <w:t xml:space="preserve">The total of </w:t>
      </w:r>
      <w:r w:rsidR="003423F4" w:rsidRPr="000D756E">
        <w:rPr>
          <w:rFonts w:ascii="Arial" w:hAnsi="Arial" w:cs="Arial"/>
          <w:szCs w:val="24"/>
        </w:rPr>
        <w:t>members’ allowances paid in 20</w:t>
      </w:r>
      <w:r w:rsidR="005E0082" w:rsidRPr="000D756E">
        <w:rPr>
          <w:rFonts w:ascii="Arial" w:hAnsi="Arial" w:cs="Arial"/>
          <w:szCs w:val="24"/>
        </w:rPr>
        <w:t>2</w:t>
      </w:r>
      <w:r w:rsidR="00B1584C">
        <w:rPr>
          <w:rFonts w:ascii="Arial" w:hAnsi="Arial" w:cs="Arial"/>
          <w:szCs w:val="24"/>
        </w:rPr>
        <w:t>4/25</w:t>
      </w:r>
      <w:r w:rsidR="003423F4" w:rsidRPr="000D756E">
        <w:rPr>
          <w:rFonts w:ascii="Arial" w:hAnsi="Arial" w:cs="Arial"/>
          <w:szCs w:val="24"/>
        </w:rPr>
        <w:t xml:space="preserve"> </w:t>
      </w:r>
      <w:r w:rsidRPr="000D756E">
        <w:rPr>
          <w:rFonts w:ascii="Arial" w:hAnsi="Arial" w:cs="Arial"/>
          <w:szCs w:val="24"/>
        </w:rPr>
        <w:t xml:space="preserve">is shown in </w:t>
      </w:r>
      <w:r w:rsidR="00B259C4" w:rsidRPr="000D756E">
        <w:rPr>
          <w:rFonts w:ascii="Arial" w:hAnsi="Arial" w:cs="Arial"/>
          <w:szCs w:val="24"/>
        </w:rPr>
        <w:t>note</w:t>
      </w:r>
      <w:r w:rsidR="00D064A5" w:rsidRPr="000D756E">
        <w:rPr>
          <w:rFonts w:ascii="Arial" w:hAnsi="Arial" w:cs="Arial"/>
          <w:szCs w:val="24"/>
        </w:rPr>
        <w:t xml:space="preserve"> 7</w:t>
      </w:r>
      <w:r w:rsidRPr="000D756E">
        <w:rPr>
          <w:rFonts w:ascii="Arial" w:hAnsi="Arial" w:cs="Arial"/>
          <w:szCs w:val="24"/>
        </w:rPr>
        <w:t>.</w:t>
      </w:r>
    </w:p>
    <w:bookmarkEnd w:id="2"/>
    <w:bookmarkEnd w:id="3"/>
    <w:p w14:paraId="612B0B50" w14:textId="77777777" w:rsidR="006E002A" w:rsidRPr="000D756E" w:rsidRDefault="006E002A" w:rsidP="002A7C01">
      <w:pPr>
        <w:pStyle w:val="BodyText"/>
        <w:rPr>
          <w:rFonts w:ascii="Arial" w:hAnsi="Arial" w:cs="Arial"/>
          <w:szCs w:val="24"/>
        </w:rPr>
      </w:pPr>
    </w:p>
    <w:p w14:paraId="4B5DF153" w14:textId="77777777" w:rsidR="006E002A" w:rsidRPr="000D756E" w:rsidRDefault="006E002A" w:rsidP="002A7C01">
      <w:pPr>
        <w:pStyle w:val="BodyText"/>
        <w:rPr>
          <w:rFonts w:ascii="Arial" w:hAnsi="Arial" w:cs="Arial"/>
          <w:szCs w:val="24"/>
        </w:rPr>
      </w:pPr>
      <w:r w:rsidRPr="000D756E">
        <w:rPr>
          <w:rFonts w:ascii="Arial" w:hAnsi="Arial" w:cs="Arial"/>
          <w:szCs w:val="24"/>
        </w:rPr>
        <w:t>There are no instances of transactions involving these related parties which require disclos</w:t>
      </w:r>
      <w:r w:rsidR="00155B6D" w:rsidRPr="000D756E">
        <w:rPr>
          <w:rFonts w:ascii="Arial" w:hAnsi="Arial" w:cs="Arial"/>
          <w:szCs w:val="24"/>
        </w:rPr>
        <w:t>ure</w:t>
      </w:r>
      <w:r w:rsidRPr="000D756E">
        <w:rPr>
          <w:rFonts w:ascii="Arial" w:hAnsi="Arial" w:cs="Arial"/>
          <w:szCs w:val="24"/>
        </w:rPr>
        <w:t>.</w:t>
      </w:r>
    </w:p>
    <w:p w14:paraId="6DFFE141" w14:textId="77777777" w:rsidR="006E002A" w:rsidRPr="000D756E" w:rsidRDefault="006E002A" w:rsidP="002A7C01">
      <w:pPr>
        <w:pStyle w:val="BodyText"/>
        <w:rPr>
          <w:rFonts w:ascii="Arial" w:hAnsi="Arial" w:cs="Arial"/>
          <w:szCs w:val="24"/>
        </w:rPr>
      </w:pPr>
    </w:p>
    <w:p w14:paraId="0C716E3B" w14:textId="77777777" w:rsidR="006E002A" w:rsidRPr="000D756E" w:rsidRDefault="006E002A" w:rsidP="002A7C01">
      <w:pPr>
        <w:pStyle w:val="BodyText"/>
        <w:rPr>
          <w:rFonts w:ascii="Arial" w:hAnsi="Arial" w:cs="Arial"/>
          <w:b/>
          <w:szCs w:val="24"/>
        </w:rPr>
      </w:pPr>
      <w:r w:rsidRPr="000D756E">
        <w:rPr>
          <w:rFonts w:ascii="Arial" w:hAnsi="Arial" w:cs="Arial"/>
          <w:b/>
          <w:szCs w:val="24"/>
        </w:rPr>
        <w:t>Officers</w:t>
      </w:r>
    </w:p>
    <w:p w14:paraId="769E8B65" w14:textId="77777777" w:rsidR="006E002A" w:rsidRPr="000D756E" w:rsidRDefault="006E002A" w:rsidP="002A7C01">
      <w:pPr>
        <w:pStyle w:val="BodyText"/>
        <w:rPr>
          <w:rFonts w:ascii="Arial" w:hAnsi="Arial" w:cs="Arial"/>
          <w:szCs w:val="24"/>
        </w:rPr>
      </w:pPr>
    </w:p>
    <w:p w14:paraId="1025DABD" w14:textId="5E2A6DB6" w:rsidR="005E0082" w:rsidRPr="000D756E" w:rsidRDefault="006E002A" w:rsidP="002A7C01">
      <w:pPr>
        <w:pStyle w:val="BodyText"/>
        <w:rPr>
          <w:rFonts w:ascii="Arial" w:hAnsi="Arial" w:cs="Arial"/>
          <w:szCs w:val="24"/>
        </w:rPr>
      </w:pPr>
      <w:r w:rsidRPr="000D756E">
        <w:rPr>
          <w:rFonts w:ascii="Arial" w:hAnsi="Arial" w:cs="Arial"/>
          <w:szCs w:val="24"/>
        </w:rPr>
        <w:t>There are no instances of transactions involving these related parties which require disclos</w:t>
      </w:r>
      <w:r w:rsidR="0090364F" w:rsidRPr="000D756E">
        <w:rPr>
          <w:rFonts w:ascii="Arial" w:hAnsi="Arial" w:cs="Arial"/>
          <w:szCs w:val="24"/>
        </w:rPr>
        <w:t>ure</w:t>
      </w:r>
      <w:r w:rsidRPr="000D756E">
        <w:rPr>
          <w:rFonts w:ascii="Arial" w:hAnsi="Arial" w:cs="Arial"/>
          <w:szCs w:val="24"/>
        </w:rPr>
        <w:t>.</w:t>
      </w:r>
    </w:p>
    <w:p w14:paraId="06CCB1A9" w14:textId="77777777" w:rsidR="006E002A" w:rsidRPr="000D756E" w:rsidRDefault="006E002A" w:rsidP="002A7C01">
      <w:pPr>
        <w:pStyle w:val="BodyText"/>
        <w:rPr>
          <w:rFonts w:ascii="Arial" w:hAnsi="Arial" w:cs="Arial"/>
          <w:szCs w:val="24"/>
        </w:rPr>
      </w:pPr>
    </w:p>
    <w:p w14:paraId="75C86447" w14:textId="77777777" w:rsidR="006E002A" w:rsidRPr="000D756E" w:rsidRDefault="00B259C4" w:rsidP="002A7C01">
      <w:pPr>
        <w:pStyle w:val="BodyText"/>
        <w:rPr>
          <w:rFonts w:ascii="Arial" w:hAnsi="Arial" w:cs="Arial"/>
          <w:b/>
          <w:szCs w:val="24"/>
        </w:rPr>
      </w:pPr>
      <w:r w:rsidRPr="000D756E">
        <w:rPr>
          <w:rFonts w:ascii="Arial" w:hAnsi="Arial" w:cs="Arial"/>
          <w:b/>
          <w:szCs w:val="24"/>
        </w:rPr>
        <w:t>Other Public Bodies (subject to common control by the UK Government)</w:t>
      </w:r>
      <w:r w:rsidR="00B841C0" w:rsidRPr="000D756E">
        <w:rPr>
          <w:rFonts w:ascii="Arial" w:hAnsi="Arial" w:cs="Arial"/>
          <w:b/>
          <w:szCs w:val="24"/>
        </w:rPr>
        <w:t xml:space="preserve"> </w:t>
      </w:r>
    </w:p>
    <w:p w14:paraId="23BBE75D" w14:textId="77777777" w:rsidR="006E002A" w:rsidRPr="000D756E" w:rsidRDefault="006E002A" w:rsidP="002A7C01">
      <w:pPr>
        <w:pStyle w:val="BodyText"/>
        <w:rPr>
          <w:rFonts w:ascii="Arial" w:hAnsi="Arial" w:cs="Arial"/>
          <w:szCs w:val="24"/>
        </w:rPr>
      </w:pPr>
    </w:p>
    <w:p w14:paraId="7AA7A017" w14:textId="15A0ED08" w:rsidR="00B259C4" w:rsidRPr="000D756E" w:rsidRDefault="006E002A" w:rsidP="002A7C01">
      <w:pPr>
        <w:pStyle w:val="BodyText"/>
        <w:rPr>
          <w:rFonts w:ascii="Arial" w:hAnsi="Arial" w:cs="Arial"/>
          <w:szCs w:val="24"/>
        </w:rPr>
      </w:pPr>
      <w:r w:rsidRPr="000D756E">
        <w:rPr>
          <w:rFonts w:ascii="Arial" w:hAnsi="Arial" w:cs="Arial"/>
          <w:szCs w:val="24"/>
        </w:rPr>
        <w:t xml:space="preserve">The </w:t>
      </w:r>
      <w:r w:rsidR="00822FF6" w:rsidRPr="000D756E">
        <w:rPr>
          <w:rFonts w:ascii="Arial" w:hAnsi="Arial" w:cs="Arial"/>
          <w:szCs w:val="24"/>
        </w:rPr>
        <w:t>Associate Director: Policy &amp; Governance</w:t>
      </w:r>
      <w:r w:rsidR="00507583" w:rsidRPr="000D756E">
        <w:rPr>
          <w:rFonts w:ascii="Arial" w:hAnsi="Arial" w:cs="Arial"/>
          <w:szCs w:val="24"/>
        </w:rPr>
        <w:t xml:space="preserve"> at </w:t>
      </w:r>
      <w:r w:rsidRPr="000D756E">
        <w:rPr>
          <w:rFonts w:ascii="Arial" w:hAnsi="Arial" w:cs="Arial"/>
          <w:szCs w:val="24"/>
        </w:rPr>
        <w:t xml:space="preserve">Telford &amp; Wrekin </w:t>
      </w:r>
      <w:r w:rsidR="00507583" w:rsidRPr="000D756E">
        <w:rPr>
          <w:rFonts w:ascii="Arial" w:hAnsi="Arial" w:cs="Arial"/>
          <w:szCs w:val="24"/>
        </w:rPr>
        <w:t xml:space="preserve">Council </w:t>
      </w:r>
      <w:r w:rsidR="006A4C7A" w:rsidRPr="000D756E">
        <w:rPr>
          <w:rFonts w:ascii="Arial" w:hAnsi="Arial" w:cs="Arial"/>
          <w:szCs w:val="24"/>
        </w:rPr>
        <w:t>is</w:t>
      </w:r>
      <w:r w:rsidRPr="000D756E">
        <w:rPr>
          <w:rFonts w:ascii="Arial" w:hAnsi="Arial" w:cs="Arial"/>
          <w:szCs w:val="24"/>
        </w:rPr>
        <w:t xml:space="preserve"> also the Clerk of Shropshire and Wrekin Fire Authority. </w:t>
      </w:r>
    </w:p>
    <w:p w14:paraId="0BB5933C" w14:textId="77777777" w:rsidR="00B259C4" w:rsidRPr="000D756E" w:rsidRDefault="00B259C4" w:rsidP="002A7C01">
      <w:pPr>
        <w:pStyle w:val="BodyText"/>
        <w:rPr>
          <w:rFonts w:ascii="Arial" w:hAnsi="Arial" w:cs="Arial"/>
          <w:szCs w:val="24"/>
        </w:rPr>
      </w:pPr>
    </w:p>
    <w:p w14:paraId="4FDE2875" w14:textId="3F545C88" w:rsidR="00B259C4" w:rsidRPr="000D756E" w:rsidRDefault="00223395" w:rsidP="002A7C01">
      <w:pPr>
        <w:pStyle w:val="BodyText"/>
        <w:rPr>
          <w:rFonts w:ascii="Arial" w:hAnsi="Arial" w:cs="Arial"/>
          <w:szCs w:val="24"/>
        </w:rPr>
      </w:pPr>
      <w:r w:rsidRPr="000D756E">
        <w:rPr>
          <w:rFonts w:ascii="Arial" w:hAnsi="Arial" w:cs="Arial"/>
          <w:szCs w:val="24"/>
        </w:rPr>
        <w:t>T</w:t>
      </w:r>
      <w:r w:rsidR="00B259C4" w:rsidRPr="000D756E">
        <w:rPr>
          <w:rFonts w:ascii="Arial" w:hAnsi="Arial" w:cs="Arial"/>
          <w:szCs w:val="24"/>
        </w:rPr>
        <w:t xml:space="preserve">he </w:t>
      </w:r>
      <w:r w:rsidR="00503B71" w:rsidRPr="000D756E">
        <w:rPr>
          <w:rFonts w:ascii="Arial" w:hAnsi="Arial" w:cs="Arial"/>
          <w:szCs w:val="24"/>
        </w:rPr>
        <w:t>Executive</w:t>
      </w:r>
      <w:r w:rsidR="00693670" w:rsidRPr="000D756E">
        <w:rPr>
          <w:rFonts w:ascii="Arial" w:hAnsi="Arial" w:cs="Arial"/>
          <w:szCs w:val="24"/>
        </w:rPr>
        <w:t xml:space="preserve"> Director of </w:t>
      </w:r>
      <w:r w:rsidR="00A40FFD" w:rsidRPr="000D756E">
        <w:rPr>
          <w:rFonts w:ascii="Arial" w:hAnsi="Arial" w:cs="Arial"/>
          <w:szCs w:val="24"/>
        </w:rPr>
        <w:t>Resources</w:t>
      </w:r>
      <w:r w:rsidR="003815EA" w:rsidRPr="000D756E">
        <w:rPr>
          <w:rFonts w:ascii="Arial" w:hAnsi="Arial" w:cs="Arial"/>
          <w:szCs w:val="24"/>
        </w:rPr>
        <w:t xml:space="preserve"> </w:t>
      </w:r>
      <w:r w:rsidR="00D905CA" w:rsidRPr="000D756E">
        <w:rPr>
          <w:rFonts w:ascii="Arial" w:hAnsi="Arial" w:cs="Arial"/>
          <w:szCs w:val="24"/>
        </w:rPr>
        <w:t>at</w:t>
      </w:r>
      <w:r w:rsidR="00B259C4" w:rsidRPr="000D756E">
        <w:rPr>
          <w:rFonts w:ascii="Arial" w:hAnsi="Arial" w:cs="Arial"/>
          <w:szCs w:val="24"/>
        </w:rPr>
        <w:t xml:space="preserve"> Shropshire Council </w:t>
      </w:r>
      <w:r w:rsidR="006A4C7A" w:rsidRPr="000D756E">
        <w:rPr>
          <w:rFonts w:ascii="Arial" w:hAnsi="Arial" w:cs="Arial"/>
          <w:szCs w:val="24"/>
        </w:rPr>
        <w:t>is</w:t>
      </w:r>
      <w:r w:rsidRPr="000D756E">
        <w:rPr>
          <w:rFonts w:ascii="Arial" w:hAnsi="Arial" w:cs="Arial"/>
          <w:szCs w:val="24"/>
        </w:rPr>
        <w:t xml:space="preserve"> also the </w:t>
      </w:r>
      <w:r w:rsidR="00B259C4" w:rsidRPr="000D756E">
        <w:rPr>
          <w:rFonts w:ascii="Arial" w:hAnsi="Arial" w:cs="Arial"/>
          <w:szCs w:val="24"/>
        </w:rPr>
        <w:t>Treasurer of Shropshire and Wrekin Fire Authority.</w:t>
      </w:r>
    </w:p>
    <w:p w14:paraId="18C2EB2B" w14:textId="77777777" w:rsidR="00B259C4" w:rsidRPr="000D756E" w:rsidRDefault="00B259C4" w:rsidP="002A7C01">
      <w:pPr>
        <w:pStyle w:val="BodyText"/>
        <w:rPr>
          <w:rFonts w:ascii="Arial" w:hAnsi="Arial" w:cs="Arial"/>
          <w:szCs w:val="24"/>
        </w:rPr>
      </w:pPr>
    </w:p>
    <w:p w14:paraId="70484D67" w14:textId="31DD49C6" w:rsidR="00373DA8" w:rsidRPr="000D756E" w:rsidRDefault="006E002A" w:rsidP="007C4836">
      <w:pPr>
        <w:rPr>
          <w:rFonts w:ascii="Arial" w:hAnsi="Arial" w:cs="Arial"/>
          <w:sz w:val="24"/>
          <w:szCs w:val="24"/>
          <w:lang w:eastAsia="en-GB"/>
        </w:rPr>
      </w:pPr>
      <w:r w:rsidRPr="574A8B51">
        <w:rPr>
          <w:rFonts w:ascii="Arial" w:hAnsi="Arial" w:cs="Arial"/>
          <w:sz w:val="24"/>
          <w:szCs w:val="24"/>
        </w:rPr>
        <w:t xml:space="preserve">Shropshire Council and Telford &amp; Wrekin </w:t>
      </w:r>
      <w:r w:rsidR="00F217D6" w:rsidRPr="574A8B51">
        <w:rPr>
          <w:rFonts w:ascii="Arial" w:hAnsi="Arial" w:cs="Arial"/>
          <w:sz w:val="24"/>
          <w:szCs w:val="24"/>
        </w:rPr>
        <w:t xml:space="preserve">Council </w:t>
      </w:r>
      <w:r w:rsidRPr="574A8B51">
        <w:rPr>
          <w:rFonts w:ascii="Arial" w:hAnsi="Arial" w:cs="Arial"/>
          <w:sz w:val="24"/>
          <w:szCs w:val="24"/>
        </w:rPr>
        <w:t>provide a number of support services for Shropshire and Wrekin Fire Authority. The gross payments made to the</w:t>
      </w:r>
      <w:r w:rsidR="00D90DBF" w:rsidRPr="574A8B51">
        <w:rPr>
          <w:rFonts w:ascii="Arial" w:hAnsi="Arial" w:cs="Arial"/>
          <w:sz w:val="24"/>
          <w:szCs w:val="24"/>
        </w:rPr>
        <w:t xml:space="preserve">se authorities were </w:t>
      </w:r>
      <w:r w:rsidR="31C0511B" w:rsidRPr="574A8B51">
        <w:rPr>
          <w:rFonts w:ascii="Arial" w:hAnsi="Arial" w:cs="Arial"/>
          <w:sz w:val="24"/>
          <w:szCs w:val="24"/>
        </w:rPr>
        <w:t>£</w:t>
      </w:r>
      <w:r w:rsidR="26BAD1F8" w:rsidRPr="574A8B51">
        <w:rPr>
          <w:rFonts w:ascii="Arial" w:hAnsi="Arial" w:cs="Arial"/>
          <w:sz w:val="24"/>
          <w:szCs w:val="24"/>
        </w:rPr>
        <w:t>581,718</w:t>
      </w:r>
      <w:r w:rsidR="00E236C2" w:rsidRPr="574A8B51">
        <w:rPr>
          <w:rFonts w:ascii="Arial" w:hAnsi="Arial" w:cs="Arial"/>
          <w:sz w:val="24"/>
          <w:szCs w:val="24"/>
        </w:rPr>
        <w:t xml:space="preserve"> </w:t>
      </w:r>
      <w:r w:rsidRPr="574A8B51">
        <w:rPr>
          <w:rFonts w:ascii="Arial" w:hAnsi="Arial" w:cs="Arial"/>
          <w:sz w:val="24"/>
          <w:szCs w:val="24"/>
        </w:rPr>
        <w:t xml:space="preserve">to Shropshire Council and </w:t>
      </w:r>
      <w:r w:rsidR="34E6915E" w:rsidRPr="574A8B51">
        <w:rPr>
          <w:rFonts w:ascii="Arial" w:hAnsi="Arial" w:cs="Arial"/>
          <w:sz w:val="24"/>
          <w:szCs w:val="24"/>
        </w:rPr>
        <w:t>£</w:t>
      </w:r>
      <w:r w:rsidR="78C66900" w:rsidRPr="574A8B51">
        <w:rPr>
          <w:rFonts w:ascii="Arial" w:hAnsi="Arial" w:cs="Arial"/>
          <w:sz w:val="24"/>
          <w:szCs w:val="24"/>
        </w:rPr>
        <w:t>176,602</w:t>
      </w:r>
      <w:r w:rsidR="00E236C2" w:rsidRPr="574A8B51">
        <w:rPr>
          <w:rFonts w:ascii="Arial" w:hAnsi="Arial" w:cs="Arial"/>
          <w:sz w:val="24"/>
          <w:szCs w:val="24"/>
        </w:rPr>
        <w:t xml:space="preserve"> </w:t>
      </w:r>
      <w:r w:rsidRPr="574A8B51">
        <w:rPr>
          <w:rFonts w:ascii="Arial" w:hAnsi="Arial" w:cs="Arial"/>
          <w:sz w:val="24"/>
          <w:szCs w:val="24"/>
        </w:rPr>
        <w:t xml:space="preserve">to </w:t>
      </w:r>
      <w:r w:rsidR="00F217D6" w:rsidRPr="574A8B51">
        <w:rPr>
          <w:rFonts w:ascii="Arial" w:hAnsi="Arial" w:cs="Arial"/>
          <w:sz w:val="24"/>
          <w:szCs w:val="24"/>
        </w:rPr>
        <w:t>Te</w:t>
      </w:r>
      <w:r w:rsidRPr="574A8B51">
        <w:rPr>
          <w:rFonts w:ascii="Arial" w:hAnsi="Arial" w:cs="Arial"/>
          <w:sz w:val="24"/>
          <w:szCs w:val="24"/>
        </w:rPr>
        <w:t>lford &amp; Wrekin</w:t>
      </w:r>
      <w:r w:rsidR="00F217D6" w:rsidRPr="574A8B51">
        <w:rPr>
          <w:rFonts w:ascii="Arial" w:hAnsi="Arial" w:cs="Arial"/>
          <w:sz w:val="24"/>
          <w:szCs w:val="24"/>
        </w:rPr>
        <w:t xml:space="preserve"> Council</w:t>
      </w:r>
      <w:r w:rsidRPr="574A8B51">
        <w:rPr>
          <w:rFonts w:ascii="Arial" w:hAnsi="Arial" w:cs="Arial"/>
          <w:sz w:val="24"/>
          <w:szCs w:val="24"/>
        </w:rPr>
        <w:t>.</w:t>
      </w:r>
      <w:r w:rsidR="006D031F" w:rsidRPr="574A8B51">
        <w:rPr>
          <w:rFonts w:ascii="Arial" w:hAnsi="Arial" w:cs="Arial"/>
          <w:sz w:val="24"/>
          <w:szCs w:val="24"/>
        </w:rPr>
        <w:t xml:space="preserve"> </w:t>
      </w:r>
    </w:p>
    <w:p w14:paraId="614433A2" w14:textId="4A70451A" w:rsidR="007443CE" w:rsidRPr="000D756E" w:rsidRDefault="0051045A" w:rsidP="007443CE">
      <w:pPr>
        <w:rPr>
          <w:rFonts w:ascii="Arial" w:hAnsi="Arial" w:cs="Arial"/>
          <w:sz w:val="24"/>
          <w:szCs w:val="24"/>
        </w:rPr>
      </w:pPr>
      <w:r w:rsidRPr="000D756E">
        <w:rPr>
          <w:rFonts w:ascii="Arial" w:hAnsi="Arial" w:cs="Arial"/>
          <w:sz w:val="24"/>
          <w:szCs w:val="24"/>
        </w:rPr>
        <w:br w:type="page"/>
      </w:r>
    </w:p>
    <w:p w14:paraId="107DA9DE" w14:textId="275A38A8" w:rsidR="004D4099" w:rsidRPr="000D756E" w:rsidRDefault="00BE3E59" w:rsidP="001C227A">
      <w:pPr>
        <w:pStyle w:val="Heading2"/>
        <w:numPr>
          <w:ilvl w:val="0"/>
          <w:numId w:val="15"/>
        </w:numPr>
        <w:rPr>
          <w:rFonts w:cs="Arial"/>
          <w:szCs w:val="24"/>
        </w:rPr>
      </w:pPr>
      <w:r w:rsidRPr="000D756E">
        <w:rPr>
          <w:rFonts w:cs="Arial"/>
          <w:caps w:val="0"/>
          <w:szCs w:val="24"/>
        </w:rPr>
        <w:lastRenderedPageBreak/>
        <w:t xml:space="preserve">PARTICIPATION IN PENSION SCHEMES  </w:t>
      </w:r>
    </w:p>
    <w:p w14:paraId="3FEA5F39" w14:textId="77777777" w:rsidR="004D4099" w:rsidRPr="000D756E" w:rsidRDefault="004D4099" w:rsidP="002A7C01">
      <w:pPr>
        <w:pStyle w:val="Heading2"/>
        <w:rPr>
          <w:szCs w:val="24"/>
        </w:rPr>
      </w:pPr>
      <w:r w:rsidRPr="000D756E">
        <w:rPr>
          <w:szCs w:val="24"/>
        </w:rPr>
        <w:t xml:space="preserve"> </w:t>
      </w:r>
      <w:r w:rsidRPr="000D756E">
        <w:rPr>
          <w:szCs w:val="24"/>
        </w:rPr>
        <w:tab/>
      </w:r>
    </w:p>
    <w:p w14:paraId="1D53E2AE" w14:textId="77777777" w:rsidR="00C0176B" w:rsidRPr="000D756E" w:rsidRDefault="004D4099" w:rsidP="002A7C01">
      <w:pPr>
        <w:pStyle w:val="Heading7"/>
        <w:rPr>
          <w:rFonts w:cs="Arial"/>
          <w:b w:val="0"/>
        </w:rPr>
      </w:pPr>
      <w:r w:rsidRPr="000D756E">
        <w:rPr>
          <w:rFonts w:cs="Arial"/>
          <w:b w:val="0"/>
        </w:rPr>
        <w:t>As part of the terms and conditions of employment of its officers and other employees, the Fire Authority makes contributions towards the cost of retirement benefits. Although these benefits will not actually be payable until the employees retire, the Fire Authority has a commitment to make the payments</w:t>
      </w:r>
      <w:r w:rsidR="004B2AF7" w:rsidRPr="000D756E">
        <w:rPr>
          <w:rFonts w:cs="Arial"/>
          <w:b w:val="0"/>
        </w:rPr>
        <w:t>,</w:t>
      </w:r>
      <w:r w:rsidRPr="000D756E">
        <w:rPr>
          <w:rFonts w:cs="Arial"/>
          <w:b w:val="0"/>
        </w:rPr>
        <w:t xml:space="preserve"> </w:t>
      </w:r>
      <w:r w:rsidR="003A4707" w:rsidRPr="000D756E">
        <w:rPr>
          <w:rFonts w:cs="Arial"/>
          <w:b w:val="0"/>
        </w:rPr>
        <w:t>and this commitment</w:t>
      </w:r>
      <w:r w:rsidR="007138A6" w:rsidRPr="000D756E">
        <w:rPr>
          <w:rFonts w:cs="Arial"/>
          <w:b w:val="0"/>
        </w:rPr>
        <w:t xml:space="preserve"> needs to be disclosed</w:t>
      </w:r>
      <w:r w:rsidRPr="000D756E">
        <w:rPr>
          <w:rFonts w:cs="Arial"/>
          <w:b w:val="0"/>
        </w:rPr>
        <w:t xml:space="preserve"> at the time employees earn their future entitlement.</w:t>
      </w:r>
    </w:p>
    <w:p w14:paraId="362BDFF0" w14:textId="77777777" w:rsidR="00B4310C" w:rsidRPr="000D756E" w:rsidRDefault="00B4310C" w:rsidP="00B4310C"/>
    <w:p w14:paraId="4C3AD2E7" w14:textId="77777777" w:rsidR="004D4099" w:rsidRPr="000D756E" w:rsidRDefault="004D4099" w:rsidP="002A7C01">
      <w:pPr>
        <w:pStyle w:val="Heading7"/>
        <w:rPr>
          <w:rFonts w:cs="Arial"/>
          <w:b w:val="0"/>
        </w:rPr>
      </w:pPr>
      <w:r w:rsidRPr="000D756E">
        <w:rPr>
          <w:rFonts w:cs="Arial"/>
          <w:b w:val="0"/>
        </w:rPr>
        <w:t xml:space="preserve">The Fire Authority participates in </w:t>
      </w:r>
      <w:r w:rsidR="00DB1767" w:rsidRPr="000D756E">
        <w:rPr>
          <w:rFonts w:cs="Arial"/>
          <w:b w:val="0"/>
        </w:rPr>
        <w:t>four</w:t>
      </w:r>
      <w:r w:rsidRPr="000D756E">
        <w:rPr>
          <w:rFonts w:cs="Arial"/>
          <w:b w:val="0"/>
        </w:rPr>
        <w:t xml:space="preserve"> pension schemes:</w:t>
      </w:r>
    </w:p>
    <w:p w14:paraId="07B9C429" w14:textId="77777777" w:rsidR="004D4099" w:rsidRPr="000D756E" w:rsidRDefault="004D4099" w:rsidP="002A7C01">
      <w:pPr>
        <w:ind w:left="360"/>
      </w:pPr>
    </w:p>
    <w:p w14:paraId="7CA6FD02" w14:textId="77777777" w:rsidR="004D4099" w:rsidRPr="000D756E" w:rsidRDefault="004D4099" w:rsidP="002A7C01">
      <w:pPr>
        <w:pStyle w:val="Heading7"/>
        <w:rPr>
          <w:rFonts w:cs="Arial"/>
          <w:b w:val="0"/>
        </w:rPr>
      </w:pPr>
      <w:r w:rsidRPr="000D756E">
        <w:rPr>
          <w:rFonts w:cs="Arial"/>
        </w:rPr>
        <w:t xml:space="preserve">Local Government Pension Scheme: </w:t>
      </w:r>
      <w:r w:rsidRPr="000D756E">
        <w:rPr>
          <w:rFonts w:cs="Arial"/>
          <w:b w:val="0"/>
        </w:rPr>
        <w:t>non operational staff are eligible for membership of the Shropshire County Pension Fund administered by Shropshire Counc</w:t>
      </w:r>
      <w:r w:rsidR="359EA472" w:rsidRPr="000D756E">
        <w:rPr>
          <w:rFonts w:cs="Arial"/>
          <w:b w:val="0"/>
        </w:rPr>
        <w:t>il</w:t>
      </w:r>
      <w:r w:rsidRPr="000D756E">
        <w:rPr>
          <w:rFonts w:cs="Arial"/>
          <w:b w:val="0"/>
        </w:rPr>
        <w:t>. This is a funded define</w:t>
      </w:r>
      <w:r w:rsidR="002C0F56" w:rsidRPr="000D756E">
        <w:rPr>
          <w:rFonts w:cs="Arial"/>
          <w:b w:val="0"/>
        </w:rPr>
        <w:t xml:space="preserve">d benefit average </w:t>
      </w:r>
      <w:r w:rsidRPr="000D756E">
        <w:rPr>
          <w:rFonts w:cs="Arial"/>
          <w:b w:val="0"/>
        </w:rPr>
        <w:t xml:space="preserve">salary scheme, meaning that the Fire Authority and employees pay contributions into a fund, calculated at a level </w:t>
      </w:r>
      <w:r w:rsidR="0013360A" w:rsidRPr="000D756E">
        <w:rPr>
          <w:rFonts w:cs="Arial"/>
          <w:b w:val="0"/>
        </w:rPr>
        <w:t>intended to balance the pension</w:t>
      </w:r>
      <w:r w:rsidRPr="000D756E">
        <w:rPr>
          <w:rFonts w:cs="Arial"/>
          <w:b w:val="0"/>
        </w:rPr>
        <w:t xml:space="preserve"> liabilities with investment assets.</w:t>
      </w:r>
    </w:p>
    <w:p w14:paraId="2D4524B2" w14:textId="77777777" w:rsidR="007138A6" w:rsidRPr="000D756E" w:rsidRDefault="007138A6" w:rsidP="002A7C01"/>
    <w:p w14:paraId="509D9AF4" w14:textId="77777777" w:rsidR="007138A6" w:rsidRPr="000D756E" w:rsidRDefault="007138A6" w:rsidP="002A7C01">
      <w:pPr>
        <w:rPr>
          <w:rFonts w:ascii="Arial" w:hAnsi="Arial" w:cs="Arial"/>
          <w:sz w:val="24"/>
          <w:szCs w:val="24"/>
        </w:rPr>
      </w:pPr>
      <w:r w:rsidRPr="000D756E">
        <w:rPr>
          <w:rFonts w:ascii="Arial" w:hAnsi="Arial" w:cs="Arial"/>
          <w:sz w:val="24"/>
          <w:szCs w:val="24"/>
        </w:rPr>
        <w:t xml:space="preserve">The Shropshire County Pension Fund is operated under the regulatory framework for the Local Government Pension Scheme and the governance of the scheme is the responsibility of the </w:t>
      </w:r>
      <w:r w:rsidR="006F4A6F" w:rsidRPr="000D756E">
        <w:rPr>
          <w:rFonts w:ascii="Arial" w:hAnsi="Arial" w:cs="Arial"/>
          <w:sz w:val="24"/>
          <w:szCs w:val="24"/>
        </w:rPr>
        <w:t>P</w:t>
      </w:r>
      <w:r w:rsidRPr="000D756E">
        <w:rPr>
          <w:rFonts w:ascii="Arial" w:hAnsi="Arial" w:cs="Arial"/>
          <w:sz w:val="24"/>
          <w:szCs w:val="24"/>
        </w:rPr>
        <w:t>ensions</w:t>
      </w:r>
      <w:r w:rsidR="006F4A6F" w:rsidRPr="000D756E">
        <w:rPr>
          <w:rFonts w:ascii="Arial" w:hAnsi="Arial" w:cs="Arial"/>
          <w:sz w:val="24"/>
          <w:szCs w:val="24"/>
        </w:rPr>
        <w:t xml:space="preserve"> C</w:t>
      </w:r>
      <w:r w:rsidRPr="000D756E">
        <w:rPr>
          <w:rFonts w:ascii="Arial" w:hAnsi="Arial" w:cs="Arial"/>
          <w:sz w:val="24"/>
          <w:szCs w:val="24"/>
        </w:rPr>
        <w:t>ommittee of Shropshire Council.</w:t>
      </w:r>
      <w:r w:rsidR="006F4A6F" w:rsidRPr="000D756E">
        <w:rPr>
          <w:rFonts w:ascii="Arial" w:hAnsi="Arial" w:cs="Arial"/>
          <w:sz w:val="24"/>
          <w:szCs w:val="24"/>
        </w:rPr>
        <w:t xml:space="preserve"> Policy is determined in accordance with the Pensions Fund Regulations. The investment managers of the fund are appointed by the Committee</w:t>
      </w:r>
      <w:r w:rsidR="00C81004" w:rsidRPr="000D756E">
        <w:rPr>
          <w:rFonts w:ascii="Arial" w:hAnsi="Arial" w:cs="Arial"/>
          <w:sz w:val="24"/>
          <w:szCs w:val="24"/>
        </w:rPr>
        <w:t>.</w:t>
      </w:r>
    </w:p>
    <w:p w14:paraId="494E57C2" w14:textId="77777777" w:rsidR="00C81004" w:rsidRPr="000D756E" w:rsidRDefault="00C81004" w:rsidP="002A7C01">
      <w:pPr>
        <w:rPr>
          <w:rFonts w:ascii="Arial" w:hAnsi="Arial" w:cs="Arial"/>
          <w:vanish/>
          <w:sz w:val="24"/>
          <w:szCs w:val="24"/>
          <w:specVanish/>
        </w:rPr>
      </w:pPr>
    </w:p>
    <w:p w14:paraId="5D899480" w14:textId="77777777" w:rsidR="004D4099" w:rsidRPr="000D756E" w:rsidRDefault="007138A6" w:rsidP="002A7C01">
      <w:pPr>
        <w:rPr>
          <w:i/>
        </w:rPr>
      </w:pPr>
      <w:r w:rsidRPr="000D756E">
        <w:rPr>
          <w:i/>
        </w:rPr>
        <w:t xml:space="preserve"> </w:t>
      </w:r>
    </w:p>
    <w:p w14:paraId="0212E957" w14:textId="77777777" w:rsidR="004D4099" w:rsidRPr="000D756E" w:rsidRDefault="004D4099" w:rsidP="002A7C01">
      <w:pPr>
        <w:rPr>
          <w:rFonts w:ascii="Arial" w:hAnsi="Arial" w:cs="Arial"/>
          <w:sz w:val="24"/>
          <w:szCs w:val="24"/>
        </w:rPr>
      </w:pPr>
      <w:r w:rsidRPr="000D756E">
        <w:rPr>
          <w:rFonts w:ascii="Arial" w:hAnsi="Arial" w:cs="Arial"/>
          <w:b/>
          <w:sz w:val="24"/>
          <w:szCs w:val="24"/>
        </w:rPr>
        <w:t>Firefighters Pension Schemes</w:t>
      </w:r>
      <w:r w:rsidR="006215A3" w:rsidRPr="000D756E">
        <w:rPr>
          <w:rFonts w:ascii="Arial" w:hAnsi="Arial" w:cs="Arial"/>
          <w:b/>
          <w:sz w:val="24"/>
          <w:szCs w:val="24"/>
        </w:rPr>
        <w:t xml:space="preserve"> (three of the four schemes)</w:t>
      </w:r>
      <w:r w:rsidRPr="000D756E">
        <w:rPr>
          <w:rFonts w:ascii="Arial" w:hAnsi="Arial" w:cs="Arial"/>
          <w:sz w:val="24"/>
          <w:szCs w:val="24"/>
        </w:rPr>
        <w:t>: on 1 April 2006 new financial arrangements were introduced for both the 1992 and the newly established 2006 Firefighter Pension Schemes.</w:t>
      </w:r>
    </w:p>
    <w:p w14:paraId="2A8E653B" w14:textId="77777777" w:rsidR="00777B44" w:rsidRPr="000D756E" w:rsidRDefault="00777B44" w:rsidP="002A7C01">
      <w:pPr>
        <w:rPr>
          <w:rFonts w:ascii="Arial" w:hAnsi="Arial" w:cs="Arial"/>
          <w:sz w:val="24"/>
          <w:szCs w:val="24"/>
        </w:rPr>
      </w:pPr>
    </w:p>
    <w:p w14:paraId="33CE4BDF" w14:textId="34CE9EA4" w:rsidR="00663AC3" w:rsidRPr="000D756E" w:rsidRDefault="00777B44" w:rsidP="002A7C01">
      <w:pPr>
        <w:rPr>
          <w:rFonts w:ascii="Arial" w:hAnsi="Arial" w:cs="Arial"/>
          <w:sz w:val="24"/>
          <w:szCs w:val="24"/>
        </w:rPr>
      </w:pPr>
      <w:r w:rsidRPr="000D756E">
        <w:rPr>
          <w:rFonts w:ascii="Arial" w:hAnsi="Arial" w:cs="Arial"/>
          <w:sz w:val="24"/>
          <w:szCs w:val="24"/>
        </w:rPr>
        <w:t>The Firefighters’ Pension Scheme 2015 was introduced at the beginning of the financial year</w:t>
      </w:r>
      <w:r w:rsidR="002757D9" w:rsidRPr="000D756E">
        <w:rPr>
          <w:rFonts w:ascii="Arial" w:hAnsi="Arial" w:cs="Arial"/>
          <w:sz w:val="24"/>
          <w:szCs w:val="24"/>
        </w:rPr>
        <w:t xml:space="preserve"> 2015/16</w:t>
      </w:r>
      <w:r w:rsidRPr="000D756E">
        <w:rPr>
          <w:rFonts w:ascii="Arial" w:hAnsi="Arial" w:cs="Arial"/>
          <w:sz w:val="24"/>
          <w:szCs w:val="24"/>
        </w:rPr>
        <w:t xml:space="preserve">. This is a career average scheme and is available to operational firefighters appointed on or after 1 April 2015. </w:t>
      </w:r>
      <w:r w:rsidR="00993C1F" w:rsidRPr="000D756E">
        <w:rPr>
          <w:rFonts w:ascii="Arial" w:hAnsi="Arial" w:cs="Arial"/>
          <w:sz w:val="24"/>
          <w:szCs w:val="24"/>
        </w:rPr>
        <w:t>At that time, s</w:t>
      </w:r>
      <w:r w:rsidRPr="000D756E">
        <w:rPr>
          <w:rFonts w:ascii="Arial" w:hAnsi="Arial" w:cs="Arial"/>
          <w:sz w:val="24"/>
          <w:szCs w:val="24"/>
        </w:rPr>
        <w:t xml:space="preserve">erving firefighters </w:t>
      </w:r>
      <w:r w:rsidR="00993C1F" w:rsidRPr="000D756E">
        <w:rPr>
          <w:rFonts w:ascii="Arial" w:hAnsi="Arial" w:cs="Arial"/>
          <w:sz w:val="24"/>
          <w:szCs w:val="24"/>
        </w:rPr>
        <w:t>were</w:t>
      </w:r>
      <w:r w:rsidRPr="000D756E">
        <w:rPr>
          <w:rFonts w:ascii="Arial" w:hAnsi="Arial" w:cs="Arial"/>
          <w:sz w:val="24"/>
          <w:szCs w:val="24"/>
        </w:rPr>
        <w:t xml:space="preserve"> transferred into the scheme, unless they ha</w:t>
      </w:r>
      <w:r w:rsidR="00993C1F" w:rsidRPr="000D756E">
        <w:rPr>
          <w:rFonts w:ascii="Arial" w:hAnsi="Arial" w:cs="Arial"/>
          <w:sz w:val="24"/>
          <w:szCs w:val="24"/>
        </w:rPr>
        <w:t>d</w:t>
      </w:r>
      <w:r w:rsidRPr="000D756E">
        <w:rPr>
          <w:rFonts w:ascii="Arial" w:hAnsi="Arial" w:cs="Arial"/>
          <w:sz w:val="24"/>
          <w:szCs w:val="24"/>
        </w:rPr>
        <w:t xml:space="preserve"> protected status under one of the existing schemes. The scheme is regulated by the </w:t>
      </w:r>
      <w:r w:rsidR="002E2667" w:rsidRPr="000D756E">
        <w:rPr>
          <w:rFonts w:ascii="Arial" w:hAnsi="Arial" w:cs="Arial"/>
          <w:sz w:val="24"/>
          <w:szCs w:val="24"/>
        </w:rPr>
        <w:t>Home Office</w:t>
      </w:r>
      <w:r w:rsidRPr="000D756E">
        <w:rPr>
          <w:rFonts w:ascii="Arial" w:hAnsi="Arial" w:cs="Arial"/>
          <w:sz w:val="24"/>
          <w:szCs w:val="24"/>
        </w:rPr>
        <w:t>.</w:t>
      </w:r>
    </w:p>
    <w:p w14:paraId="0C4186C7" w14:textId="77777777" w:rsidR="006F4A6F" w:rsidRPr="000D756E" w:rsidRDefault="00777B44" w:rsidP="002A7C01">
      <w:pPr>
        <w:rPr>
          <w:rFonts w:ascii="Arial" w:hAnsi="Arial" w:cs="Arial"/>
          <w:sz w:val="24"/>
          <w:szCs w:val="24"/>
        </w:rPr>
      </w:pPr>
      <w:r w:rsidRPr="000D756E">
        <w:rPr>
          <w:rFonts w:ascii="Arial" w:hAnsi="Arial" w:cs="Arial"/>
          <w:sz w:val="24"/>
          <w:szCs w:val="24"/>
        </w:rPr>
        <w:t>All</w:t>
      </w:r>
      <w:r w:rsidR="004D4099" w:rsidRPr="000D756E">
        <w:rPr>
          <w:rFonts w:ascii="Arial" w:hAnsi="Arial" w:cs="Arial"/>
          <w:sz w:val="24"/>
          <w:szCs w:val="24"/>
        </w:rPr>
        <w:t xml:space="preserve"> schemes are unfunded, defined benefit schemes, and are regulated by the </w:t>
      </w:r>
      <w:r w:rsidR="008D0915" w:rsidRPr="000D756E">
        <w:rPr>
          <w:rFonts w:ascii="Arial" w:hAnsi="Arial" w:cs="Arial"/>
          <w:sz w:val="24"/>
          <w:szCs w:val="24"/>
        </w:rPr>
        <w:t>Home Office</w:t>
      </w:r>
      <w:r w:rsidR="004D4099" w:rsidRPr="000D756E">
        <w:rPr>
          <w:rFonts w:ascii="Arial" w:hAnsi="Arial" w:cs="Arial"/>
          <w:sz w:val="24"/>
          <w:szCs w:val="24"/>
        </w:rPr>
        <w:t xml:space="preserve">. Contributions to the schemes are made by the Fire Authority and employees, and are paid into a separate Pensions Fund Account, from which most commutations and regular payments will be made. Any deficit on this account will be met by </w:t>
      </w:r>
      <w:r w:rsidR="00A22134" w:rsidRPr="000D756E">
        <w:rPr>
          <w:rFonts w:ascii="Arial" w:hAnsi="Arial" w:cs="Arial"/>
          <w:sz w:val="24"/>
          <w:szCs w:val="24"/>
        </w:rPr>
        <w:t>the Home Office,</w:t>
      </w:r>
      <w:r w:rsidR="004D4099" w:rsidRPr="000D756E">
        <w:rPr>
          <w:rFonts w:ascii="Arial" w:hAnsi="Arial" w:cs="Arial"/>
          <w:sz w:val="24"/>
          <w:szCs w:val="24"/>
        </w:rPr>
        <w:t xml:space="preserve"> and any surplus at the end of the year will be paid back to </w:t>
      </w:r>
      <w:r w:rsidR="00A22134" w:rsidRPr="000D756E">
        <w:rPr>
          <w:rFonts w:ascii="Arial" w:hAnsi="Arial" w:cs="Arial"/>
          <w:sz w:val="24"/>
          <w:szCs w:val="24"/>
        </w:rPr>
        <w:t>the Home Office</w:t>
      </w:r>
      <w:r w:rsidR="004D4099" w:rsidRPr="000D756E">
        <w:rPr>
          <w:rFonts w:ascii="Arial" w:hAnsi="Arial" w:cs="Arial"/>
          <w:sz w:val="24"/>
          <w:szCs w:val="24"/>
        </w:rPr>
        <w:t>.</w:t>
      </w:r>
    </w:p>
    <w:p w14:paraId="48DC2ED3" w14:textId="77777777" w:rsidR="00663AC3" w:rsidRPr="000D756E" w:rsidRDefault="00663AC3" w:rsidP="002A7C01">
      <w:pPr>
        <w:rPr>
          <w:rFonts w:ascii="Arial" w:hAnsi="Arial" w:cs="Arial"/>
          <w:sz w:val="24"/>
          <w:szCs w:val="24"/>
        </w:rPr>
      </w:pPr>
    </w:p>
    <w:p w14:paraId="41FD26C6" w14:textId="77777777" w:rsidR="006F4A6F" w:rsidRPr="000D756E" w:rsidRDefault="006F4A6F" w:rsidP="002A7C01">
      <w:pPr>
        <w:rPr>
          <w:rFonts w:ascii="Arial" w:hAnsi="Arial" w:cs="Arial"/>
          <w:sz w:val="24"/>
          <w:szCs w:val="24"/>
        </w:rPr>
      </w:pPr>
      <w:r w:rsidRPr="000D756E">
        <w:rPr>
          <w:rFonts w:ascii="Arial" w:hAnsi="Arial" w:cs="Arial"/>
          <w:sz w:val="24"/>
          <w:szCs w:val="24"/>
        </w:rPr>
        <w:t xml:space="preserve">The </w:t>
      </w:r>
      <w:r w:rsidRPr="000D756E">
        <w:rPr>
          <w:rFonts w:ascii="Arial" w:hAnsi="Arial" w:cs="Arial"/>
          <w:b/>
          <w:sz w:val="24"/>
          <w:szCs w:val="24"/>
        </w:rPr>
        <w:t xml:space="preserve">principal risks </w:t>
      </w:r>
      <w:r w:rsidRPr="000D756E">
        <w:rPr>
          <w:rFonts w:ascii="Arial" w:hAnsi="Arial" w:cs="Arial"/>
          <w:sz w:val="24"/>
          <w:szCs w:val="24"/>
        </w:rPr>
        <w:t>to the Authority of the schemes are the longevity assumptions, statutory changes to the schemes (ie large scale withdrawals from the schemes), changes to inflation, and in the case of the Local Government Pension Scheme, bond yields and the performance of the equity investments held by the scheme. These are mitigated to a certain extent by the statutory requirements to charge the General Fund the amounts required by statute as described in the accounting policies.</w:t>
      </w:r>
    </w:p>
    <w:p w14:paraId="52974F2D" w14:textId="77777777" w:rsidR="004D22D2" w:rsidRPr="000D756E" w:rsidRDefault="004D22D2" w:rsidP="00663AC3">
      <w:pPr>
        <w:rPr>
          <w:rFonts w:ascii="Arial" w:hAnsi="Arial" w:cs="Arial"/>
          <w:bCs/>
          <w:iCs/>
          <w:sz w:val="24"/>
          <w:szCs w:val="24"/>
        </w:rPr>
      </w:pPr>
    </w:p>
    <w:p w14:paraId="11C54E90" w14:textId="543916A5" w:rsidR="00663AC3" w:rsidRPr="000D756E" w:rsidRDefault="00663AC3" w:rsidP="00663AC3">
      <w:pPr>
        <w:rPr>
          <w:rFonts w:ascii="Arial" w:hAnsi="Arial" w:cs="Arial"/>
          <w:b/>
          <w:iCs/>
          <w:sz w:val="24"/>
          <w:szCs w:val="24"/>
        </w:rPr>
      </w:pPr>
      <w:r w:rsidRPr="000D756E">
        <w:rPr>
          <w:rFonts w:ascii="Arial" w:hAnsi="Arial" w:cs="Arial"/>
          <w:b/>
          <w:iCs/>
          <w:sz w:val="24"/>
          <w:szCs w:val="24"/>
        </w:rPr>
        <w:t>Impact of McCloud / Sargeant ruling on pension accounts disclosure</w:t>
      </w:r>
    </w:p>
    <w:p w14:paraId="2D26A410" w14:textId="3E70D7C6" w:rsidR="0044614A" w:rsidRPr="000D756E" w:rsidRDefault="0044614A" w:rsidP="00663AC3">
      <w:pPr>
        <w:rPr>
          <w:rFonts w:ascii="Arial" w:hAnsi="Arial" w:cs="Arial"/>
          <w:b/>
          <w:iCs/>
          <w:sz w:val="24"/>
          <w:szCs w:val="24"/>
        </w:rPr>
      </w:pPr>
    </w:p>
    <w:p w14:paraId="0A12983B" w14:textId="3CC0F721" w:rsidR="0044614A" w:rsidRPr="000D756E" w:rsidRDefault="00BC1EF9" w:rsidP="00663AC3">
      <w:pPr>
        <w:rPr>
          <w:rFonts w:ascii="Arial" w:hAnsi="Arial" w:cs="Arial"/>
          <w:bCs/>
          <w:iCs/>
          <w:sz w:val="24"/>
          <w:szCs w:val="24"/>
        </w:rPr>
      </w:pPr>
      <w:r w:rsidRPr="000D756E">
        <w:rPr>
          <w:rFonts w:ascii="Arial" w:hAnsi="Arial" w:cs="Arial"/>
          <w:bCs/>
          <w:iCs/>
          <w:sz w:val="24"/>
          <w:szCs w:val="24"/>
        </w:rPr>
        <w:t xml:space="preserve">Two employment tribunal cases were brought against the Government in relation to possible discrimination in the implementation of transitional </w:t>
      </w:r>
      <w:r w:rsidR="00313F69" w:rsidRPr="000D756E">
        <w:rPr>
          <w:rFonts w:ascii="Arial" w:hAnsi="Arial" w:cs="Arial"/>
          <w:bCs/>
          <w:iCs/>
          <w:sz w:val="24"/>
          <w:szCs w:val="24"/>
        </w:rPr>
        <w:t xml:space="preserve">protection following the </w:t>
      </w:r>
      <w:r w:rsidR="00313F69" w:rsidRPr="000D756E">
        <w:rPr>
          <w:rFonts w:ascii="Arial" w:hAnsi="Arial" w:cs="Arial"/>
          <w:bCs/>
          <w:iCs/>
          <w:sz w:val="24"/>
          <w:szCs w:val="24"/>
        </w:rPr>
        <w:lastRenderedPageBreak/>
        <w:t xml:space="preserve">introduction of the reformed 2015 public service pension schemes from 1 April 2015. Transitional protection </w:t>
      </w:r>
      <w:r w:rsidR="00AC6A17" w:rsidRPr="000D756E">
        <w:rPr>
          <w:rFonts w:ascii="Arial" w:hAnsi="Arial" w:cs="Arial"/>
          <w:bCs/>
          <w:iCs/>
          <w:sz w:val="24"/>
          <w:szCs w:val="24"/>
        </w:rPr>
        <w:t xml:space="preserve">enabled some members to remain in their pre-2015 schemes after 1 April 2015 until retirement </w:t>
      </w:r>
      <w:r w:rsidR="0022504F" w:rsidRPr="000D756E">
        <w:rPr>
          <w:rFonts w:ascii="Arial" w:hAnsi="Arial" w:cs="Arial"/>
          <w:bCs/>
          <w:iCs/>
          <w:sz w:val="24"/>
          <w:szCs w:val="24"/>
        </w:rPr>
        <w:t xml:space="preserve">or the end of a pre-determined tapered protection period. The claimants challenged the transitional protection </w:t>
      </w:r>
      <w:r w:rsidR="000C1351" w:rsidRPr="000D756E">
        <w:rPr>
          <w:rFonts w:ascii="Arial" w:hAnsi="Arial" w:cs="Arial"/>
          <w:bCs/>
          <w:iCs/>
          <w:sz w:val="24"/>
          <w:szCs w:val="24"/>
        </w:rPr>
        <w:t>arrangements on the grounds of direct age discrimination, equal pay and indirect gender and race discrimination.</w:t>
      </w:r>
    </w:p>
    <w:p w14:paraId="51D588D9" w14:textId="07EFE133" w:rsidR="000C1351" w:rsidRPr="000D756E" w:rsidRDefault="000C1351" w:rsidP="00663AC3">
      <w:pPr>
        <w:rPr>
          <w:rFonts w:ascii="Arial" w:hAnsi="Arial" w:cs="Arial"/>
          <w:bCs/>
          <w:iCs/>
          <w:sz w:val="24"/>
          <w:szCs w:val="24"/>
        </w:rPr>
      </w:pPr>
    </w:p>
    <w:p w14:paraId="189F1861" w14:textId="3DC21A97" w:rsidR="000C1351" w:rsidRPr="000D756E" w:rsidRDefault="000C1351" w:rsidP="00663AC3">
      <w:pPr>
        <w:rPr>
          <w:rFonts w:ascii="Arial" w:hAnsi="Arial" w:cs="Arial"/>
          <w:bCs/>
          <w:iCs/>
          <w:sz w:val="24"/>
          <w:szCs w:val="24"/>
        </w:rPr>
      </w:pPr>
      <w:r w:rsidRPr="000D756E">
        <w:rPr>
          <w:rFonts w:ascii="Arial" w:hAnsi="Arial" w:cs="Arial"/>
          <w:bCs/>
          <w:iCs/>
          <w:sz w:val="24"/>
          <w:szCs w:val="24"/>
        </w:rPr>
        <w:t>The first case (McCloud) relating to the Judicial Pension Scheme was ruled in favour of the claimants</w:t>
      </w:r>
      <w:r w:rsidR="00D55CC1" w:rsidRPr="000D756E">
        <w:rPr>
          <w:rFonts w:ascii="Arial" w:hAnsi="Arial" w:cs="Arial"/>
          <w:bCs/>
          <w:iCs/>
          <w:sz w:val="24"/>
          <w:szCs w:val="24"/>
        </w:rPr>
        <w:t xml:space="preserve">, while the second case (Sargeant) in relation to the Fire scheme was ruled against the claimants. </w:t>
      </w:r>
      <w:r w:rsidR="00E555CD" w:rsidRPr="000D756E">
        <w:rPr>
          <w:rFonts w:ascii="Arial" w:hAnsi="Arial" w:cs="Arial"/>
          <w:bCs/>
          <w:iCs/>
          <w:sz w:val="24"/>
          <w:szCs w:val="24"/>
        </w:rPr>
        <w:t xml:space="preserve">Both rulings were appealed and as the two cases were closely linked, the Court of Appeal ruled that the transitional protection </w:t>
      </w:r>
      <w:r w:rsidR="0087560F" w:rsidRPr="000D756E">
        <w:rPr>
          <w:rFonts w:ascii="Arial" w:hAnsi="Arial" w:cs="Arial"/>
          <w:bCs/>
          <w:iCs/>
          <w:sz w:val="24"/>
          <w:szCs w:val="24"/>
        </w:rPr>
        <w:t>offered to some members as part of the reforms amounted to</w:t>
      </w:r>
      <w:r w:rsidR="001C08DC" w:rsidRPr="000D756E">
        <w:rPr>
          <w:rFonts w:ascii="Arial" w:hAnsi="Arial" w:cs="Arial"/>
          <w:bCs/>
          <w:iCs/>
          <w:sz w:val="24"/>
          <w:szCs w:val="24"/>
        </w:rPr>
        <w:t xml:space="preserve"> unlawful discrimination. On 27 June 2019 the Supreme Court denied the Government’s request for an appeal in the case.</w:t>
      </w:r>
    </w:p>
    <w:p w14:paraId="5A82DAEF" w14:textId="6915F8FC" w:rsidR="001C08DC" w:rsidRPr="000D756E" w:rsidRDefault="001C08DC" w:rsidP="00663AC3">
      <w:pPr>
        <w:rPr>
          <w:rFonts w:ascii="Arial" w:hAnsi="Arial" w:cs="Arial"/>
          <w:bCs/>
          <w:iCs/>
          <w:sz w:val="24"/>
          <w:szCs w:val="24"/>
        </w:rPr>
      </w:pPr>
    </w:p>
    <w:p w14:paraId="0AFDC68C" w14:textId="563D144A" w:rsidR="001C08DC" w:rsidRPr="000D756E" w:rsidRDefault="001C08DC" w:rsidP="00663AC3">
      <w:pPr>
        <w:rPr>
          <w:rFonts w:ascii="Arial" w:hAnsi="Arial" w:cs="Arial"/>
          <w:bCs/>
          <w:iCs/>
          <w:sz w:val="24"/>
          <w:szCs w:val="24"/>
        </w:rPr>
      </w:pPr>
      <w:r w:rsidRPr="000D756E">
        <w:rPr>
          <w:rFonts w:ascii="Arial" w:hAnsi="Arial" w:cs="Arial"/>
          <w:bCs/>
          <w:iCs/>
          <w:sz w:val="24"/>
          <w:szCs w:val="24"/>
        </w:rPr>
        <w:t xml:space="preserve">On 16 July 2020, the Government published a consultation on the proposed remedy </w:t>
      </w:r>
      <w:r w:rsidR="00FA5A1A" w:rsidRPr="000D756E">
        <w:rPr>
          <w:rFonts w:ascii="Arial" w:hAnsi="Arial" w:cs="Arial"/>
          <w:bCs/>
          <w:iCs/>
          <w:sz w:val="24"/>
          <w:szCs w:val="24"/>
        </w:rPr>
        <w:t xml:space="preserve">to be applied to Firefighters’ Pension Schemes and LGPS benefits in response to the McCloud and Sargeant cases. </w:t>
      </w:r>
      <w:r w:rsidR="00337F77" w:rsidRPr="000D756E">
        <w:rPr>
          <w:rFonts w:ascii="Arial" w:hAnsi="Arial" w:cs="Arial"/>
          <w:bCs/>
          <w:iCs/>
          <w:sz w:val="24"/>
          <w:szCs w:val="24"/>
        </w:rPr>
        <w:t>The consultation closed on 8 October 2020 and the Treasury published the response to the</w:t>
      </w:r>
      <w:r w:rsidR="00882E0A" w:rsidRPr="000D756E">
        <w:rPr>
          <w:rFonts w:ascii="Arial" w:hAnsi="Arial" w:cs="Arial"/>
          <w:bCs/>
          <w:iCs/>
          <w:sz w:val="24"/>
          <w:szCs w:val="24"/>
        </w:rPr>
        <w:t xml:space="preserve">ir consultation on 4 February 2021, confirming their approach to </w:t>
      </w:r>
      <w:r w:rsidR="00504BD7" w:rsidRPr="000D756E">
        <w:rPr>
          <w:rFonts w:ascii="Arial" w:hAnsi="Arial" w:cs="Arial"/>
          <w:bCs/>
          <w:iCs/>
          <w:sz w:val="24"/>
          <w:szCs w:val="24"/>
        </w:rPr>
        <w:t>remedying age discrimination, in line with their proposals.</w:t>
      </w:r>
    </w:p>
    <w:p w14:paraId="25570621" w14:textId="1692DE7B" w:rsidR="00504BD7" w:rsidRPr="000D756E" w:rsidRDefault="00504BD7" w:rsidP="00663AC3">
      <w:pPr>
        <w:rPr>
          <w:rFonts w:ascii="Arial" w:hAnsi="Arial" w:cs="Arial"/>
          <w:bCs/>
          <w:iCs/>
          <w:sz w:val="24"/>
          <w:szCs w:val="24"/>
        </w:rPr>
      </w:pPr>
    </w:p>
    <w:p w14:paraId="1B6DDAE5" w14:textId="21C43F3B" w:rsidR="00504BD7" w:rsidRPr="000D756E" w:rsidRDefault="008B25B3" w:rsidP="00663AC3">
      <w:pPr>
        <w:rPr>
          <w:rFonts w:ascii="Arial" w:hAnsi="Arial" w:cs="Arial"/>
          <w:bCs/>
          <w:iCs/>
          <w:sz w:val="24"/>
          <w:szCs w:val="24"/>
        </w:rPr>
      </w:pPr>
      <w:r w:rsidRPr="000D756E">
        <w:rPr>
          <w:rFonts w:ascii="Arial" w:hAnsi="Arial" w:cs="Arial"/>
          <w:bCs/>
          <w:iCs/>
          <w:sz w:val="24"/>
          <w:szCs w:val="24"/>
        </w:rPr>
        <w:t xml:space="preserve">In the case of the Fire Schemes, </w:t>
      </w:r>
      <w:r w:rsidR="00AB4F44" w:rsidRPr="000D756E">
        <w:rPr>
          <w:rFonts w:ascii="Arial" w:hAnsi="Arial" w:cs="Arial"/>
          <w:bCs/>
          <w:iCs/>
          <w:sz w:val="24"/>
          <w:szCs w:val="24"/>
        </w:rPr>
        <w:t xml:space="preserve">the key feature of the proposed remedy was to extend the final salary protection to 31 March 2022 and to give </w:t>
      </w:r>
      <w:r w:rsidR="00551FE4" w:rsidRPr="000D756E">
        <w:rPr>
          <w:rFonts w:ascii="Arial" w:hAnsi="Arial" w:cs="Arial"/>
          <w:bCs/>
          <w:iCs/>
          <w:sz w:val="24"/>
          <w:szCs w:val="24"/>
        </w:rPr>
        <w:t>protected members a one off choice, in relation to the protected period of 1 April 2015 to 31 March 2022</w:t>
      </w:r>
      <w:r w:rsidR="00CE2426" w:rsidRPr="000D756E">
        <w:rPr>
          <w:rFonts w:ascii="Arial" w:hAnsi="Arial" w:cs="Arial"/>
          <w:bCs/>
          <w:iCs/>
          <w:sz w:val="24"/>
          <w:szCs w:val="24"/>
        </w:rPr>
        <w:t xml:space="preserve">, to either retain their legacy final salary benefits or the reformed career average benefits. This applied to members </w:t>
      </w:r>
      <w:r w:rsidR="005D6233" w:rsidRPr="000D756E">
        <w:rPr>
          <w:rFonts w:ascii="Arial" w:hAnsi="Arial" w:cs="Arial"/>
          <w:bCs/>
          <w:iCs/>
          <w:sz w:val="24"/>
          <w:szCs w:val="24"/>
        </w:rPr>
        <w:t xml:space="preserve">who were active on or before 31 March 2012 and either remain in active service or left service </w:t>
      </w:r>
      <w:r w:rsidR="00E624FE" w:rsidRPr="000D756E">
        <w:rPr>
          <w:rFonts w:ascii="Arial" w:hAnsi="Arial" w:cs="Arial"/>
          <w:bCs/>
          <w:iCs/>
          <w:sz w:val="24"/>
          <w:szCs w:val="24"/>
        </w:rPr>
        <w:t xml:space="preserve">before 1 April 2015 (including to those members who no longer have a benefit entitlement </w:t>
      </w:r>
      <w:r w:rsidR="00CD41A2" w:rsidRPr="000D756E">
        <w:rPr>
          <w:rFonts w:ascii="Arial" w:hAnsi="Arial" w:cs="Arial"/>
          <w:bCs/>
          <w:iCs/>
          <w:sz w:val="24"/>
          <w:szCs w:val="24"/>
        </w:rPr>
        <w:t>from the Schemes). It has now been announced that members will make this choice at retirement (‘deferred choice’ approach)</w:t>
      </w:r>
      <w:r w:rsidR="00B35A96" w:rsidRPr="000D756E">
        <w:rPr>
          <w:rFonts w:ascii="Arial" w:hAnsi="Arial" w:cs="Arial"/>
          <w:bCs/>
          <w:iCs/>
          <w:sz w:val="24"/>
          <w:szCs w:val="24"/>
        </w:rPr>
        <w:t xml:space="preserve">. It is assumed that during the protected period members will accrue </w:t>
      </w:r>
      <w:r w:rsidR="00317A3F" w:rsidRPr="000D756E">
        <w:rPr>
          <w:rFonts w:ascii="Arial" w:hAnsi="Arial" w:cs="Arial"/>
          <w:bCs/>
          <w:iCs/>
          <w:sz w:val="24"/>
          <w:szCs w:val="24"/>
        </w:rPr>
        <w:t>service in their legacy scheme. All active members in service as at 31 March 2022 would then accrue benefits in the reformed career average scheme.</w:t>
      </w:r>
    </w:p>
    <w:p w14:paraId="0D7A7F92" w14:textId="2F7CBD83" w:rsidR="00E96986" w:rsidRPr="000D756E" w:rsidRDefault="00E96986" w:rsidP="00663AC3">
      <w:pPr>
        <w:rPr>
          <w:rFonts w:ascii="Arial" w:hAnsi="Arial" w:cs="Arial"/>
          <w:bCs/>
          <w:iCs/>
          <w:sz w:val="24"/>
          <w:szCs w:val="24"/>
        </w:rPr>
      </w:pPr>
    </w:p>
    <w:p w14:paraId="59639C4A" w14:textId="3978E4FA" w:rsidR="00663AC3" w:rsidRPr="000D756E" w:rsidRDefault="00E96986" w:rsidP="00663AC3">
      <w:pPr>
        <w:rPr>
          <w:rFonts w:ascii="Arial" w:hAnsi="Arial" w:cs="Arial"/>
          <w:bCs/>
          <w:iCs/>
          <w:sz w:val="24"/>
          <w:szCs w:val="24"/>
        </w:rPr>
      </w:pPr>
      <w:r w:rsidRPr="000D756E">
        <w:rPr>
          <w:rFonts w:ascii="Arial" w:hAnsi="Arial" w:cs="Arial"/>
          <w:bCs/>
          <w:iCs/>
          <w:sz w:val="24"/>
          <w:szCs w:val="24"/>
        </w:rPr>
        <w:t>The accounting figures prepared in 202</w:t>
      </w:r>
      <w:r w:rsidR="00A70758" w:rsidRPr="000D756E">
        <w:rPr>
          <w:rFonts w:ascii="Arial" w:hAnsi="Arial" w:cs="Arial"/>
          <w:bCs/>
          <w:iCs/>
          <w:sz w:val="24"/>
          <w:szCs w:val="24"/>
        </w:rPr>
        <w:t>1</w:t>
      </w:r>
      <w:r w:rsidRPr="000D756E">
        <w:rPr>
          <w:rFonts w:ascii="Arial" w:hAnsi="Arial" w:cs="Arial"/>
          <w:bCs/>
          <w:iCs/>
          <w:sz w:val="24"/>
          <w:szCs w:val="24"/>
        </w:rPr>
        <w:t xml:space="preserve"> include</w:t>
      </w:r>
      <w:r w:rsidR="00F322A4" w:rsidRPr="000D756E">
        <w:rPr>
          <w:rFonts w:ascii="Arial" w:hAnsi="Arial" w:cs="Arial"/>
          <w:bCs/>
          <w:iCs/>
          <w:sz w:val="24"/>
          <w:szCs w:val="24"/>
        </w:rPr>
        <w:t>d</w:t>
      </w:r>
      <w:r w:rsidRPr="000D756E">
        <w:rPr>
          <w:rFonts w:ascii="Arial" w:hAnsi="Arial" w:cs="Arial"/>
          <w:bCs/>
          <w:iCs/>
          <w:sz w:val="24"/>
          <w:szCs w:val="24"/>
        </w:rPr>
        <w:t xml:space="preserve"> an allowance for McCloud that </w:t>
      </w:r>
      <w:r w:rsidR="00A70758" w:rsidRPr="000D756E">
        <w:rPr>
          <w:rFonts w:ascii="Arial" w:hAnsi="Arial" w:cs="Arial"/>
          <w:bCs/>
          <w:iCs/>
          <w:sz w:val="24"/>
          <w:szCs w:val="24"/>
        </w:rPr>
        <w:t>was</w:t>
      </w:r>
      <w:r w:rsidRPr="000D756E">
        <w:rPr>
          <w:rFonts w:ascii="Arial" w:hAnsi="Arial" w:cs="Arial"/>
          <w:bCs/>
          <w:iCs/>
          <w:sz w:val="24"/>
          <w:szCs w:val="24"/>
        </w:rPr>
        <w:t xml:space="preserve"> substantially in line with </w:t>
      </w:r>
      <w:r w:rsidR="00C61EA9" w:rsidRPr="000D756E">
        <w:rPr>
          <w:rFonts w:ascii="Arial" w:hAnsi="Arial" w:cs="Arial"/>
          <w:bCs/>
          <w:iCs/>
          <w:sz w:val="24"/>
          <w:szCs w:val="24"/>
        </w:rPr>
        <w:t xml:space="preserve">the above eligibility criteria and assumes protected members currently accrue </w:t>
      </w:r>
      <w:r w:rsidR="005345E0" w:rsidRPr="000D756E">
        <w:rPr>
          <w:rFonts w:ascii="Arial" w:hAnsi="Arial" w:cs="Arial"/>
          <w:bCs/>
          <w:iCs/>
          <w:sz w:val="24"/>
          <w:szCs w:val="24"/>
        </w:rPr>
        <w:t xml:space="preserve">benefits in their legacy scheme. </w:t>
      </w:r>
      <w:r w:rsidR="00A70758" w:rsidRPr="000D756E">
        <w:rPr>
          <w:rFonts w:ascii="Arial" w:hAnsi="Arial" w:cs="Arial"/>
          <w:bCs/>
          <w:iCs/>
          <w:sz w:val="24"/>
          <w:szCs w:val="24"/>
        </w:rPr>
        <w:t xml:space="preserve">As the fire schemes have been </w:t>
      </w:r>
      <w:r w:rsidR="00764D46" w:rsidRPr="000D756E">
        <w:rPr>
          <w:rFonts w:ascii="Arial" w:hAnsi="Arial" w:cs="Arial"/>
          <w:bCs/>
          <w:iCs/>
          <w:sz w:val="24"/>
          <w:szCs w:val="24"/>
        </w:rPr>
        <w:t>fully recalculated, this assumption has been included within the figures.</w:t>
      </w:r>
    </w:p>
    <w:p w14:paraId="1CCB7C82" w14:textId="2D2DD87F" w:rsidR="00663AC3" w:rsidRPr="000D756E" w:rsidRDefault="00663AC3" w:rsidP="00663AC3">
      <w:pPr>
        <w:rPr>
          <w:rFonts w:ascii="Arial" w:hAnsi="Arial" w:cs="Arial"/>
          <w:bCs/>
          <w:iCs/>
          <w:sz w:val="24"/>
          <w:szCs w:val="24"/>
        </w:rPr>
      </w:pPr>
    </w:p>
    <w:p w14:paraId="4B73B545" w14:textId="7FDF98B0" w:rsidR="00351971" w:rsidRPr="000D756E" w:rsidRDefault="00010F29" w:rsidP="00663AC3">
      <w:pPr>
        <w:rPr>
          <w:rFonts w:ascii="Arial" w:hAnsi="Arial" w:cs="Arial"/>
          <w:b/>
          <w:iCs/>
          <w:sz w:val="24"/>
          <w:szCs w:val="24"/>
        </w:rPr>
      </w:pPr>
      <w:r w:rsidRPr="000D756E">
        <w:rPr>
          <w:rFonts w:ascii="Arial" w:hAnsi="Arial" w:cs="Arial"/>
          <w:b/>
          <w:iCs/>
          <w:sz w:val="24"/>
          <w:szCs w:val="24"/>
        </w:rPr>
        <w:t xml:space="preserve">Impact of </w:t>
      </w:r>
      <w:r w:rsidR="00351971" w:rsidRPr="000D756E">
        <w:rPr>
          <w:rFonts w:ascii="Arial" w:hAnsi="Arial" w:cs="Arial"/>
          <w:b/>
          <w:iCs/>
          <w:sz w:val="24"/>
          <w:szCs w:val="24"/>
        </w:rPr>
        <w:t>Matthews</w:t>
      </w:r>
      <w:r w:rsidRPr="000D756E">
        <w:rPr>
          <w:rFonts w:ascii="Arial" w:hAnsi="Arial" w:cs="Arial"/>
          <w:b/>
          <w:iCs/>
          <w:sz w:val="24"/>
          <w:szCs w:val="24"/>
        </w:rPr>
        <w:t xml:space="preserve"> ruling on pension accounts dis</w:t>
      </w:r>
      <w:r w:rsidR="00581BA9" w:rsidRPr="000D756E">
        <w:rPr>
          <w:rFonts w:ascii="Arial" w:hAnsi="Arial" w:cs="Arial"/>
          <w:b/>
          <w:iCs/>
          <w:sz w:val="24"/>
          <w:szCs w:val="24"/>
        </w:rPr>
        <w:t>c</w:t>
      </w:r>
      <w:r w:rsidRPr="000D756E">
        <w:rPr>
          <w:rFonts w:ascii="Arial" w:hAnsi="Arial" w:cs="Arial"/>
          <w:b/>
          <w:iCs/>
          <w:sz w:val="24"/>
          <w:szCs w:val="24"/>
        </w:rPr>
        <w:t>losure</w:t>
      </w:r>
    </w:p>
    <w:p w14:paraId="2C7410C6" w14:textId="77777777" w:rsidR="00010F29" w:rsidRPr="000D756E" w:rsidRDefault="00010F29" w:rsidP="00663AC3">
      <w:pPr>
        <w:rPr>
          <w:rFonts w:ascii="Arial" w:hAnsi="Arial" w:cs="Arial"/>
          <w:b/>
          <w:iCs/>
          <w:sz w:val="24"/>
          <w:szCs w:val="24"/>
        </w:rPr>
      </w:pPr>
    </w:p>
    <w:p w14:paraId="4F2045B0" w14:textId="17E444FE" w:rsidR="00010F29" w:rsidRPr="000D756E" w:rsidRDefault="0048639B" w:rsidP="00663AC3">
      <w:pPr>
        <w:rPr>
          <w:rFonts w:ascii="Arial" w:hAnsi="Arial" w:cs="Arial"/>
          <w:bCs/>
          <w:iCs/>
          <w:sz w:val="24"/>
          <w:szCs w:val="24"/>
        </w:rPr>
      </w:pPr>
      <w:r w:rsidRPr="000D756E">
        <w:rPr>
          <w:rFonts w:ascii="Arial" w:hAnsi="Arial" w:cs="Arial"/>
          <w:bCs/>
          <w:iCs/>
          <w:sz w:val="24"/>
          <w:szCs w:val="24"/>
        </w:rPr>
        <w:t xml:space="preserve">Following the Matthews vs Kent and Medway Towns Fire Authority &amp; others court ruling, retained firefighters employed </w:t>
      </w:r>
      <w:r w:rsidR="00E52C87" w:rsidRPr="000D756E">
        <w:rPr>
          <w:rFonts w:ascii="Arial" w:hAnsi="Arial" w:cs="Arial"/>
          <w:bCs/>
          <w:iCs/>
          <w:sz w:val="24"/>
          <w:szCs w:val="24"/>
        </w:rPr>
        <w:t>between 1 July 2000 and 5 April 2006 were allowed to join the Firefighters’ Pension Scheme 2006 (FPS2006)</w:t>
      </w:r>
      <w:r w:rsidR="006068EA" w:rsidRPr="000D756E">
        <w:rPr>
          <w:rFonts w:ascii="Arial" w:hAnsi="Arial" w:cs="Arial"/>
          <w:bCs/>
          <w:iCs/>
          <w:sz w:val="24"/>
          <w:szCs w:val="24"/>
        </w:rPr>
        <w:t xml:space="preserve"> </w:t>
      </w:r>
      <w:r w:rsidR="00F2417E" w:rsidRPr="000D756E">
        <w:rPr>
          <w:rFonts w:ascii="Arial" w:hAnsi="Arial" w:cs="Arial"/>
          <w:bCs/>
          <w:iCs/>
          <w:sz w:val="24"/>
          <w:szCs w:val="24"/>
        </w:rPr>
        <w:t xml:space="preserve">as ‘special’ members. </w:t>
      </w:r>
    </w:p>
    <w:p w14:paraId="2B96058D" w14:textId="77777777" w:rsidR="00F2417E" w:rsidRPr="000D756E" w:rsidRDefault="00F2417E" w:rsidP="00663AC3">
      <w:pPr>
        <w:rPr>
          <w:rFonts w:ascii="Arial" w:hAnsi="Arial" w:cs="Arial"/>
          <w:bCs/>
          <w:iCs/>
          <w:sz w:val="24"/>
          <w:szCs w:val="24"/>
        </w:rPr>
      </w:pPr>
    </w:p>
    <w:p w14:paraId="33F3F837" w14:textId="12FC8C36" w:rsidR="00F2417E" w:rsidRPr="000D756E" w:rsidRDefault="00F2417E" w:rsidP="00663AC3">
      <w:pPr>
        <w:rPr>
          <w:rFonts w:ascii="Arial" w:hAnsi="Arial" w:cs="Arial"/>
          <w:bCs/>
          <w:iCs/>
          <w:sz w:val="24"/>
          <w:szCs w:val="24"/>
        </w:rPr>
      </w:pPr>
      <w:r w:rsidRPr="000D756E">
        <w:rPr>
          <w:rFonts w:ascii="Arial" w:hAnsi="Arial" w:cs="Arial"/>
          <w:bCs/>
          <w:iCs/>
          <w:sz w:val="24"/>
          <w:szCs w:val="24"/>
        </w:rPr>
        <w:t xml:space="preserve">A time limited options exercise took place between 2014 and 2015 </w:t>
      </w:r>
      <w:r w:rsidR="00BA3F12" w:rsidRPr="000D756E">
        <w:rPr>
          <w:rFonts w:ascii="Arial" w:hAnsi="Arial" w:cs="Arial"/>
          <w:bCs/>
          <w:iCs/>
          <w:sz w:val="24"/>
          <w:szCs w:val="24"/>
        </w:rPr>
        <w:t>to allow eligible individuals to join the FPS</w:t>
      </w:r>
      <w:r w:rsidR="00F50DEC" w:rsidRPr="000D756E">
        <w:rPr>
          <w:rFonts w:ascii="Arial" w:hAnsi="Arial" w:cs="Arial"/>
          <w:bCs/>
          <w:iCs/>
          <w:sz w:val="24"/>
          <w:szCs w:val="24"/>
        </w:rPr>
        <w:t>. W</w:t>
      </w:r>
      <w:r w:rsidR="00BA3F12" w:rsidRPr="000D756E">
        <w:rPr>
          <w:rFonts w:ascii="Arial" w:hAnsi="Arial" w:cs="Arial"/>
          <w:bCs/>
          <w:iCs/>
          <w:sz w:val="24"/>
          <w:szCs w:val="24"/>
        </w:rPr>
        <w:t xml:space="preserve">hile the benefits </w:t>
      </w:r>
      <w:r w:rsidR="00F50DEC" w:rsidRPr="000D756E">
        <w:rPr>
          <w:rFonts w:ascii="Arial" w:hAnsi="Arial" w:cs="Arial"/>
          <w:bCs/>
          <w:iCs/>
          <w:sz w:val="24"/>
          <w:szCs w:val="24"/>
        </w:rPr>
        <w:t xml:space="preserve">awarded to special members largely mirrored the FPS1992, </w:t>
      </w:r>
      <w:r w:rsidR="00057B7D" w:rsidRPr="000D756E">
        <w:rPr>
          <w:rFonts w:ascii="Arial" w:hAnsi="Arial" w:cs="Arial"/>
          <w:bCs/>
          <w:iCs/>
          <w:sz w:val="24"/>
          <w:szCs w:val="24"/>
        </w:rPr>
        <w:t>the FPS2006 was amended as the FPS1992 was closed.</w:t>
      </w:r>
    </w:p>
    <w:p w14:paraId="57A8326A" w14:textId="77777777" w:rsidR="00057B7D" w:rsidRPr="000D756E" w:rsidRDefault="00057B7D" w:rsidP="00663AC3">
      <w:pPr>
        <w:rPr>
          <w:rFonts w:ascii="Arial" w:hAnsi="Arial" w:cs="Arial"/>
          <w:bCs/>
          <w:iCs/>
          <w:sz w:val="24"/>
          <w:szCs w:val="24"/>
        </w:rPr>
      </w:pPr>
    </w:p>
    <w:p w14:paraId="0968539B" w14:textId="202DD8D8" w:rsidR="00057B7D" w:rsidRPr="000D756E" w:rsidRDefault="00057B7D" w:rsidP="00663AC3">
      <w:pPr>
        <w:rPr>
          <w:rFonts w:ascii="Arial" w:hAnsi="Arial" w:cs="Arial"/>
          <w:bCs/>
          <w:iCs/>
          <w:sz w:val="24"/>
          <w:szCs w:val="24"/>
        </w:rPr>
      </w:pPr>
      <w:r w:rsidRPr="000D756E">
        <w:rPr>
          <w:rFonts w:ascii="Arial" w:hAnsi="Arial" w:cs="Arial"/>
          <w:bCs/>
          <w:iCs/>
          <w:sz w:val="24"/>
          <w:szCs w:val="24"/>
        </w:rPr>
        <w:lastRenderedPageBreak/>
        <w:t>More work has taken place on the pensions aspect of the case</w:t>
      </w:r>
      <w:r w:rsidR="00F43272" w:rsidRPr="000D756E">
        <w:rPr>
          <w:rFonts w:ascii="Arial" w:hAnsi="Arial" w:cs="Arial"/>
          <w:bCs/>
          <w:iCs/>
          <w:sz w:val="24"/>
          <w:szCs w:val="24"/>
        </w:rPr>
        <w:t>, and the judgment held that remedy could extend back before the Part</w:t>
      </w:r>
      <w:r w:rsidR="002226BD" w:rsidRPr="000D756E">
        <w:rPr>
          <w:rFonts w:ascii="Arial" w:hAnsi="Arial" w:cs="Arial"/>
          <w:bCs/>
          <w:iCs/>
          <w:sz w:val="24"/>
          <w:szCs w:val="24"/>
        </w:rPr>
        <w:t>-time Workers Directive was required to be implemented on 7 April 200</w:t>
      </w:r>
      <w:r w:rsidR="007D1F6D" w:rsidRPr="000D756E">
        <w:rPr>
          <w:rFonts w:ascii="Arial" w:hAnsi="Arial" w:cs="Arial"/>
          <w:bCs/>
          <w:iCs/>
          <w:sz w:val="24"/>
          <w:szCs w:val="24"/>
        </w:rPr>
        <w:t>0.</w:t>
      </w:r>
    </w:p>
    <w:p w14:paraId="713C072F" w14:textId="77777777" w:rsidR="007D1F6D" w:rsidRPr="000D756E" w:rsidRDefault="007D1F6D" w:rsidP="00663AC3">
      <w:pPr>
        <w:rPr>
          <w:rFonts w:ascii="Arial" w:hAnsi="Arial" w:cs="Arial"/>
          <w:bCs/>
          <w:iCs/>
          <w:sz w:val="24"/>
          <w:szCs w:val="24"/>
        </w:rPr>
      </w:pPr>
    </w:p>
    <w:p w14:paraId="5C95FBD1" w14:textId="7A8D9AE7" w:rsidR="007D1F6D" w:rsidRPr="000D756E" w:rsidRDefault="007D1F6D" w:rsidP="00663AC3">
      <w:pPr>
        <w:rPr>
          <w:rFonts w:ascii="Arial" w:hAnsi="Arial" w:cs="Arial"/>
          <w:bCs/>
          <w:iCs/>
          <w:sz w:val="24"/>
          <w:szCs w:val="24"/>
        </w:rPr>
      </w:pPr>
      <w:r w:rsidRPr="000D756E">
        <w:rPr>
          <w:rFonts w:ascii="Arial" w:hAnsi="Arial" w:cs="Arial"/>
          <w:bCs/>
          <w:iCs/>
          <w:sz w:val="24"/>
          <w:szCs w:val="24"/>
        </w:rPr>
        <w:t xml:space="preserve">Retained firefighters in scope will be able to purchase pension entitlement as a special member </w:t>
      </w:r>
      <w:r w:rsidR="00322BB9" w:rsidRPr="000D756E">
        <w:rPr>
          <w:rFonts w:ascii="Arial" w:hAnsi="Arial" w:cs="Arial"/>
          <w:bCs/>
          <w:iCs/>
          <w:sz w:val="24"/>
          <w:szCs w:val="24"/>
        </w:rPr>
        <w:t>for some of all of their service between 7 April 2000 and 5 April 20</w:t>
      </w:r>
      <w:r w:rsidR="00A6462E" w:rsidRPr="000D756E">
        <w:rPr>
          <w:rFonts w:ascii="Arial" w:hAnsi="Arial" w:cs="Arial"/>
          <w:bCs/>
          <w:iCs/>
          <w:sz w:val="24"/>
          <w:szCs w:val="24"/>
        </w:rPr>
        <w:t>06, and /or continuous service from 5 April 2006.</w:t>
      </w:r>
    </w:p>
    <w:p w14:paraId="347E605B" w14:textId="77777777" w:rsidR="00A6462E" w:rsidRPr="000D756E" w:rsidRDefault="00A6462E" w:rsidP="00663AC3">
      <w:pPr>
        <w:rPr>
          <w:rFonts w:ascii="Arial" w:hAnsi="Arial" w:cs="Arial"/>
          <w:bCs/>
          <w:iCs/>
          <w:sz w:val="24"/>
          <w:szCs w:val="24"/>
        </w:rPr>
      </w:pPr>
    </w:p>
    <w:p w14:paraId="079A465C" w14:textId="74527CB5" w:rsidR="00A6462E" w:rsidRPr="000D756E" w:rsidRDefault="00A6462E" w:rsidP="00663AC3">
      <w:pPr>
        <w:rPr>
          <w:rFonts w:ascii="Arial" w:hAnsi="Arial" w:cs="Arial"/>
          <w:bCs/>
          <w:iCs/>
          <w:sz w:val="24"/>
          <w:szCs w:val="24"/>
        </w:rPr>
      </w:pPr>
      <w:r w:rsidRPr="000D756E">
        <w:rPr>
          <w:rFonts w:ascii="Arial" w:hAnsi="Arial" w:cs="Arial"/>
          <w:bCs/>
          <w:iCs/>
          <w:sz w:val="24"/>
          <w:szCs w:val="24"/>
        </w:rPr>
        <w:t xml:space="preserve">A second options exercise is underway </w:t>
      </w:r>
      <w:r w:rsidR="004002CC" w:rsidRPr="000D756E">
        <w:rPr>
          <w:rFonts w:ascii="Arial" w:hAnsi="Arial" w:cs="Arial"/>
          <w:bCs/>
          <w:iCs/>
          <w:sz w:val="24"/>
          <w:szCs w:val="24"/>
        </w:rPr>
        <w:t>but any obligation has not been calculated with certainty.</w:t>
      </w:r>
    </w:p>
    <w:p w14:paraId="1CA3D29C" w14:textId="77777777" w:rsidR="001B75C6" w:rsidRPr="000D756E" w:rsidRDefault="001B75C6" w:rsidP="00663AC3">
      <w:pPr>
        <w:rPr>
          <w:rFonts w:ascii="Arial" w:hAnsi="Arial" w:cs="Arial"/>
          <w:bCs/>
          <w:iCs/>
          <w:sz w:val="24"/>
          <w:szCs w:val="24"/>
        </w:rPr>
      </w:pPr>
    </w:p>
    <w:p w14:paraId="74E41DB3" w14:textId="77777777" w:rsidR="001B75C6" w:rsidRPr="000D756E" w:rsidRDefault="001B75C6" w:rsidP="001B75C6">
      <w:pPr>
        <w:rPr>
          <w:rFonts w:ascii="Arial" w:hAnsi="Arial" w:cs="Arial"/>
          <w:b/>
          <w:iCs/>
          <w:sz w:val="24"/>
          <w:szCs w:val="24"/>
        </w:rPr>
      </w:pPr>
      <w:r w:rsidRPr="000D756E">
        <w:rPr>
          <w:rFonts w:ascii="Arial" w:hAnsi="Arial" w:cs="Arial"/>
          <w:b/>
          <w:iCs/>
          <w:sz w:val="24"/>
          <w:szCs w:val="24"/>
        </w:rPr>
        <w:t>Asset Ceiling</w:t>
      </w:r>
    </w:p>
    <w:p w14:paraId="617E7EF7" w14:textId="4F65BDBB" w:rsidR="001B75C6" w:rsidRPr="000D756E" w:rsidRDefault="001B75C6" w:rsidP="001B75C6">
      <w:pPr>
        <w:rPr>
          <w:rFonts w:ascii="Arial" w:hAnsi="Arial" w:cs="Arial"/>
          <w:bCs/>
          <w:iCs/>
          <w:sz w:val="24"/>
          <w:szCs w:val="24"/>
        </w:rPr>
      </w:pPr>
      <w:r w:rsidRPr="000D756E">
        <w:rPr>
          <w:rFonts w:ascii="Arial" w:hAnsi="Arial" w:cs="Arial"/>
          <w:bCs/>
          <w:iCs/>
          <w:sz w:val="24"/>
          <w:szCs w:val="24"/>
        </w:rPr>
        <w:t xml:space="preserve">Measurement of a net defined benefit asset is limited to the lower of the surplus in the defined benefit plan and the asset ceiling. The asset ceiling is defined as the present value of any economic benefits available in the form of refunds from the plan or reductions in future contributions to the plan. As there is no unconditional right to a </w:t>
      </w:r>
    </w:p>
    <w:p w14:paraId="587E1A81" w14:textId="0BC34131" w:rsidR="001B75C6" w:rsidRPr="000D756E" w:rsidRDefault="001B75C6" w:rsidP="001B75C6">
      <w:pPr>
        <w:rPr>
          <w:rFonts w:ascii="Arial" w:hAnsi="Arial" w:cs="Arial"/>
          <w:bCs/>
          <w:iCs/>
          <w:sz w:val="24"/>
          <w:szCs w:val="24"/>
        </w:rPr>
      </w:pPr>
      <w:r w:rsidRPr="000D756E">
        <w:rPr>
          <w:rFonts w:ascii="Arial" w:hAnsi="Arial" w:cs="Arial"/>
          <w:bCs/>
          <w:iCs/>
          <w:sz w:val="24"/>
          <w:szCs w:val="24"/>
        </w:rPr>
        <w:t>refund, available economic benefits have been assessed with reference to reductions in future contributions and future service costs, in accordance with IFRIC 14.</w:t>
      </w:r>
    </w:p>
    <w:p w14:paraId="4CF93835" w14:textId="77777777" w:rsidR="001B75C6" w:rsidRPr="000D756E" w:rsidRDefault="001B75C6" w:rsidP="001B75C6">
      <w:pPr>
        <w:rPr>
          <w:rFonts w:ascii="Arial" w:hAnsi="Arial" w:cs="Arial"/>
          <w:bCs/>
          <w:iCs/>
          <w:sz w:val="24"/>
          <w:szCs w:val="24"/>
        </w:rPr>
      </w:pPr>
    </w:p>
    <w:p w14:paraId="78CBBE98" w14:textId="4077025A" w:rsidR="001B75C6" w:rsidRPr="000D756E" w:rsidRDefault="001B75C6" w:rsidP="001B75C6">
      <w:pPr>
        <w:rPr>
          <w:rFonts w:ascii="Arial" w:hAnsi="Arial" w:cs="Arial"/>
          <w:bCs/>
          <w:iCs/>
          <w:sz w:val="24"/>
          <w:szCs w:val="24"/>
        </w:rPr>
      </w:pPr>
      <w:r w:rsidRPr="000D756E">
        <w:rPr>
          <w:rFonts w:ascii="Arial" w:hAnsi="Arial" w:cs="Arial"/>
          <w:bCs/>
          <w:iCs/>
          <w:sz w:val="24"/>
          <w:szCs w:val="24"/>
        </w:rPr>
        <w:t xml:space="preserve">At 31st March 2024 the estimated present value of minimum funding contributions </w:t>
      </w:r>
    </w:p>
    <w:p w14:paraId="3B5BD776" w14:textId="77777777" w:rsidR="001B75C6" w:rsidRPr="000D756E" w:rsidRDefault="001B75C6" w:rsidP="001B75C6">
      <w:pPr>
        <w:rPr>
          <w:rFonts w:ascii="Arial" w:hAnsi="Arial" w:cs="Arial"/>
          <w:bCs/>
          <w:iCs/>
          <w:sz w:val="24"/>
          <w:szCs w:val="24"/>
        </w:rPr>
      </w:pPr>
      <w:r w:rsidRPr="000D756E">
        <w:rPr>
          <w:rFonts w:ascii="Arial" w:hAnsi="Arial" w:cs="Arial"/>
          <w:bCs/>
          <w:iCs/>
          <w:sz w:val="24"/>
          <w:szCs w:val="24"/>
        </w:rPr>
        <w:t xml:space="preserve">exceed the estimated present value of future service costs and therefore there is </w:t>
      </w:r>
    </w:p>
    <w:p w14:paraId="4D65A8A7" w14:textId="77777777" w:rsidR="001B75C6" w:rsidRPr="000D756E" w:rsidRDefault="001B75C6" w:rsidP="001B75C6">
      <w:pPr>
        <w:rPr>
          <w:rFonts w:ascii="Arial" w:hAnsi="Arial" w:cs="Arial"/>
          <w:bCs/>
          <w:iCs/>
          <w:sz w:val="24"/>
          <w:szCs w:val="24"/>
        </w:rPr>
      </w:pPr>
      <w:r w:rsidRPr="000D756E">
        <w:rPr>
          <w:rFonts w:ascii="Arial" w:hAnsi="Arial" w:cs="Arial"/>
          <w:bCs/>
          <w:iCs/>
          <w:sz w:val="24"/>
          <w:szCs w:val="24"/>
        </w:rPr>
        <w:t>deemed to be no economic benefit and the asset ceiling is calculated as £nil.</w:t>
      </w:r>
    </w:p>
    <w:p w14:paraId="5003DFE4" w14:textId="77777777" w:rsidR="001B75C6" w:rsidRPr="000D756E" w:rsidRDefault="001B75C6" w:rsidP="001B75C6">
      <w:pPr>
        <w:rPr>
          <w:rFonts w:ascii="Arial" w:hAnsi="Arial" w:cs="Arial"/>
          <w:bCs/>
          <w:iCs/>
          <w:sz w:val="24"/>
          <w:szCs w:val="24"/>
        </w:rPr>
      </w:pPr>
      <w:r w:rsidRPr="000D756E">
        <w:rPr>
          <w:rFonts w:ascii="Arial" w:hAnsi="Arial" w:cs="Arial"/>
          <w:bCs/>
          <w:iCs/>
          <w:sz w:val="24"/>
          <w:szCs w:val="24"/>
        </w:rPr>
        <w:t xml:space="preserve">The adjustment to the defined benefit plan asset as a result of applying the asset </w:t>
      </w:r>
    </w:p>
    <w:p w14:paraId="33C44ED2" w14:textId="57A785D9" w:rsidR="001B75C6" w:rsidRPr="000D756E" w:rsidRDefault="001B75C6" w:rsidP="001B75C6">
      <w:pPr>
        <w:rPr>
          <w:rFonts w:ascii="Arial" w:hAnsi="Arial" w:cs="Arial"/>
          <w:bCs/>
          <w:iCs/>
          <w:sz w:val="24"/>
          <w:szCs w:val="24"/>
        </w:rPr>
      </w:pPr>
      <w:r w:rsidRPr="000D756E">
        <w:rPr>
          <w:rFonts w:ascii="Arial" w:hAnsi="Arial" w:cs="Arial"/>
          <w:bCs/>
          <w:iCs/>
          <w:sz w:val="24"/>
          <w:szCs w:val="24"/>
        </w:rPr>
        <w:t>ceiling test is reported as part of the remeasurement of the net defined benefit pension liability/asset appearing in the Other Comprehensive Income and Expenditure section of the Comprehensive Income and Expenditure Statement.</w:t>
      </w:r>
    </w:p>
    <w:p w14:paraId="178CB619" w14:textId="77777777" w:rsidR="00351971" w:rsidRPr="000D756E" w:rsidRDefault="00351971" w:rsidP="00663AC3">
      <w:pPr>
        <w:rPr>
          <w:rFonts w:ascii="Arial" w:hAnsi="Arial" w:cs="Arial"/>
          <w:bCs/>
          <w:iCs/>
          <w:sz w:val="24"/>
          <w:szCs w:val="24"/>
        </w:rPr>
      </w:pPr>
    </w:p>
    <w:p w14:paraId="457456CD" w14:textId="77777777" w:rsidR="004D4099" w:rsidRPr="000D756E" w:rsidRDefault="004D4099" w:rsidP="002A7C01">
      <w:pPr>
        <w:rPr>
          <w:rFonts w:ascii="Arial" w:hAnsi="Arial" w:cs="Arial"/>
          <w:b/>
          <w:sz w:val="24"/>
          <w:szCs w:val="24"/>
        </w:rPr>
      </w:pPr>
      <w:r w:rsidRPr="000D756E">
        <w:rPr>
          <w:rFonts w:ascii="Arial" w:hAnsi="Arial" w:cs="Arial"/>
          <w:b/>
          <w:sz w:val="24"/>
          <w:szCs w:val="24"/>
        </w:rPr>
        <w:t xml:space="preserve">Transactions </w:t>
      </w:r>
      <w:r w:rsidR="004D53D3" w:rsidRPr="000D756E">
        <w:rPr>
          <w:rFonts w:ascii="Arial" w:hAnsi="Arial" w:cs="Arial"/>
          <w:b/>
          <w:sz w:val="24"/>
          <w:szCs w:val="24"/>
        </w:rPr>
        <w:t>R</w:t>
      </w:r>
      <w:r w:rsidRPr="000D756E">
        <w:rPr>
          <w:rFonts w:ascii="Arial" w:hAnsi="Arial" w:cs="Arial"/>
          <w:b/>
          <w:sz w:val="24"/>
          <w:szCs w:val="24"/>
        </w:rPr>
        <w:t xml:space="preserve">elating to </w:t>
      </w:r>
      <w:r w:rsidR="004D53D3" w:rsidRPr="000D756E">
        <w:rPr>
          <w:rFonts w:ascii="Arial" w:hAnsi="Arial" w:cs="Arial"/>
          <w:b/>
          <w:sz w:val="24"/>
          <w:szCs w:val="24"/>
        </w:rPr>
        <w:t>R</w:t>
      </w:r>
      <w:r w:rsidRPr="000D756E">
        <w:rPr>
          <w:rFonts w:ascii="Arial" w:hAnsi="Arial" w:cs="Arial"/>
          <w:b/>
          <w:sz w:val="24"/>
          <w:szCs w:val="24"/>
        </w:rPr>
        <w:t xml:space="preserve">etirement </w:t>
      </w:r>
      <w:r w:rsidR="004D53D3" w:rsidRPr="000D756E">
        <w:rPr>
          <w:rFonts w:ascii="Arial" w:hAnsi="Arial" w:cs="Arial"/>
          <w:b/>
          <w:sz w:val="24"/>
          <w:szCs w:val="24"/>
        </w:rPr>
        <w:t>B</w:t>
      </w:r>
      <w:r w:rsidRPr="000D756E">
        <w:rPr>
          <w:rFonts w:ascii="Arial" w:hAnsi="Arial" w:cs="Arial"/>
          <w:b/>
          <w:sz w:val="24"/>
          <w:szCs w:val="24"/>
        </w:rPr>
        <w:t>enefits</w:t>
      </w:r>
    </w:p>
    <w:p w14:paraId="5C5349DE" w14:textId="77777777" w:rsidR="00EC4B4F" w:rsidRPr="000D756E" w:rsidRDefault="004D4099" w:rsidP="002A7C01">
      <w:pPr>
        <w:rPr>
          <w:rFonts w:ascii="Arial" w:hAnsi="Arial" w:cs="Arial"/>
          <w:sz w:val="24"/>
          <w:szCs w:val="24"/>
        </w:rPr>
      </w:pPr>
      <w:r w:rsidRPr="000D756E">
        <w:rPr>
          <w:rFonts w:ascii="Arial" w:hAnsi="Arial" w:cs="Arial"/>
          <w:sz w:val="24"/>
          <w:szCs w:val="24"/>
        </w:rPr>
        <w:t>The costs of retirement benefits are recognised in the reported cost of services when they are earned by employees, rather than when the benefits are actually paid as pensions. However the required charge against council tax is based on the cash payable in the year, so the real cost of post employment and retirement benefits is reversed out of the General Fund via the Movement in Reserves Statement. The following transactions have been made in the Comprehensive Income and</w:t>
      </w:r>
    </w:p>
    <w:p w14:paraId="5FC08F87" w14:textId="790C2C1D" w:rsidR="00EC4B4F" w:rsidRPr="000D756E" w:rsidRDefault="004D4099" w:rsidP="00EC4B4F">
      <w:pPr>
        <w:rPr>
          <w:rFonts w:ascii="Arial" w:hAnsi="Arial" w:cs="Arial"/>
          <w:sz w:val="24"/>
          <w:szCs w:val="24"/>
        </w:rPr>
      </w:pPr>
      <w:r w:rsidRPr="000D756E">
        <w:rPr>
          <w:rFonts w:ascii="Arial" w:hAnsi="Arial" w:cs="Arial"/>
          <w:sz w:val="24"/>
          <w:szCs w:val="24"/>
        </w:rPr>
        <w:t>Expenditure Statement and the General Fund Balance via the Movement in Reserves Statement during the year:</w:t>
      </w:r>
    </w:p>
    <w:tbl>
      <w:tblPr>
        <w:tblW w:w="10309" w:type="dxa"/>
        <w:tblLayout w:type="fixed"/>
        <w:tblLook w:val="01E0" w:firstRow="1" w:lastRow="1" w:firstColumn="1" w:lastColumn="1" w:noHBand="0" w:noVBand="0"/>
      </w:tblPr>
      <w:tblGrid>
        <w:gridCol w:w="2405"/>
        <w:gridCol w:w="1134"/>
        <w:gridCol w:w="1134"/>
        <w:gridCol w:w="1134"/>
        <w:gridCol w:w="1134"/>
        <w:gridCol w:w="1134"/>
        <w:gridCol w:w="1134"/>
        <w:gridCol w:w="1100"/>
      </w:tblGrid>
      <w:tr w:rsidR="006329E6" w:rsidRPr="000D756E" w14:paraId="1EC87DBF" w14:textId="77777777" w:rsidTr="0029624E">
        <w:tc>
          <w:tcPr>
            <w:tcW w:w="2405" w:type="dxa"/>
            <w:tcBorders>
              <w:top w:val="single" w:sz="4" w:space="0" w:color="auto"/>
              <w:left w:val="single" w:sz="4" w:space="0" w:color="auto"/>
              <w:right w:val="single" w:sz="4" w:space="0" w:color="auto"/>
            </w:tcBorders>
          </w:tcPr>
          <w:p w14:paraId="06DEA534" w14:textId="77777777" w:rsidR="00341CF0" w:rsidRPr="000D756E" w:rsidRDefault="00341CF0" w:rsidP="00102095">
            <w:pPr>
              <w:pStyle w:val="Heading7"/>
              <w:rPr>
                <w:rFonts w:cs="Arial"/>
                <w:sz w:val="22"/>
                <w:szCs w:val="22"/>
              </w:rPr>
            </w:pPr>
          </w:p>
        </w:tc>
        <w:tc>
          <w:tcPr>
            <w:tcW w:w="2268" w:type="dxa"/>
            <w:gridSpan w:val="2"/>
            <w:tcBorders>
              <w:top w:val="single" w:sz="4" w:space="0" w:color="auto"/>
              <w:left w:val="single" w:sz="4" w:space="0" w:color="auto"/>
              <w:right w:val="single" w:sz="4" w:space="0" w:color="auto"/>
            </w:tcBorders>
          </w:tcPr>
          <w:p w14:paraId="26747D28" w14:textId="77777777" w:rsidR="00341CF0" w:rsidRPr="000D756E" w:rsidRDefault="00341CF0" w:rsidP="00102095">
            <w:pPr>
              <w:jc w:val="center"/>
              <w:rPr>
                <w:rFonts w:ascii="Arial" w:hAnsi="Arial" w:cs="Arial"/>
                <w:b/>
              </w:rPr>
            </w:pPr>
            <w:r w:rsidRPr="000D756E">
              <w:rPr>
                <w:rFonts w:ascii="Arial" w:hAnsi="Arial" w:cs="Arial"/>
                <w:b/>
                <w:sz w:val="22"/>
                <w:szCs w:val="22"/>
              </w:rPr>
              <w:t>Shropshire County Pension Fund</w:t>
            </w:r>
          </w:p>
        </w:tc>
        <w:tc>
          <w:tcPr>
            <w:tcW w:w="5636" w:type="dxa"/>
            <w:gridSpan w:val="5"/>
            <w:tcBorders>
              <w:top w:val="single" w:sz="4" w:space="0" w:color="auto"/>
              <w:left w:val="single" w:sz="4" w:space="0" w:color="auto"/>
              <w:right w:val="single" w:sz="4" w:space="0" w:color="auto"/>
            </w:tcBorders>
          </w:tcPr>
          <w:p w14:paraId="5DF22306" w14:textId="77777777" w:rsidR="00341CF0" w:rsidRPr="000D756E" w:rsidRDefault="00341CF0" w:rsidP="00102095">
            <w:pPr>
              <w:pStyle w:val="Heading7"/>
              <w:jc w:val="center"/>
              <w:rPr>
                <w:rFonts w:cs="Arial"/>
                <w:sz w:val="22"/>
                <w:szCs w:val="22"/>
              </w:rPr>
            </w:pPr>
            <w:r w:rsidRPr="000D756E">
              <w:rPr>
                <w:rFonts w:cs="Arial"/>
                <w:sz w:val="22"/>
                <w:szCs w:val="22"/>
              </w:rPr>
              <w:t>Fire Pension</w:t>
            </w:r>
          </w:p>
          <w:p w14:paraId="2D367F90" w14:textId="77777777" w:rsidR="00341CF0" w:rsidRPr="000D756E" w:rsidRDefault="00341CF0" w:rsidP="00102095">
            <w:pPr>
              <w:pStyle w:val="Heading7"/>
              <w:jc w:val="center"/>
              <w:rPr>
                <w:rFonts w:cs="Arial"/>
                <w:sz w:val="22"/>
                <w:szCs w:val="22"/>
              </w:rPr>
            </w:pPr>
            <w:r w:rsidRPr="000D756E">
              <w:rPr>
                <w:rFonts w:cs="Arial"/>
                <w:sz w:val="22"/>
                <w:szCs w:val="22"/>
              </w:rPr>
              <w:t>Schemes</w:t>
            </w:r>
          </w:p>
        </w:tc>
      </w:tr>
      <w:tr w:rsidR="006329E6" w:rsidRPr="000D756E" w14:paraId="789892E9" w14:textId="77777777" w:rsidTr="0029624E">
        <w:tc>
          <w:tcPr>
            <w:tcW w:w="2405" w:type="dxa"/>
            <w:tcBorders>
              <w:top w:val="single" w:sz="4" w:space="0" w:color="auto"/>
              <w:left w:val="single" w:sz="4" w:space="0" w:color="auto"/>
              <w:right w:val="single" w:sz="4" w:space="0" w:color="auto"/>
            </w:tcBorders>
          </w:tcPr>
          <w:p w14:paraId="0C8CD857" w14:textId="77777777" w:rsidR="00077EFA" w:rsidRPr="000D756E" w:rsidRDefault="00077EFA" w:rsidP="00077EFA">
            <w:pPr>
              <w:pStyle w:val="Heading7"/>
              <w:rPr>
                <w:rFonts w:cs="Arial"/>
                <w:sz w:val="22"/>
                <w:szCs w:val="22"/>
              </w:rPr>
            </w:pPr>
          </w:p>
        </w:tc>
        <w:tc>
          <w:tcPr>
            <w:tcW w:w="1134" w:type="dxa"/>
            <w:tcBorders>
              <w:top w:val="single" w:sz="4" w:space="0" w:color="auto"/>
              <w:left w:val="single" w:sz="4" w:space="0" w:color="auto"/>
              <w:right w:val="single" w:sz="4" w:space="0" w:color="auto"/>
            </w:tcBorders>
          </w:tcPr>
          <w:p w14:paraId="12542DD1" w14:textId="77777777" w:rsidR="00077EFA" w:rsidRPr="000D756E" w:rsidRDefault="00077EFA" w:rsidP="00077EFA">
            <w:pPr>
              <w:pStyle w:val="Heading7"/>
              <w:jc w:val="center"/>
              <w:rPr>
                <w:rFonts w:cs="Arial"/>
                <w:sz w:val="22"/>
                <w:szCs w:val="22"/>
              </w:rPr>
            </w:pPr>
          </w:p>
          <w:p w14:paraId="426E64D8" w14:textId="1142703F" w:rsidR="00077EFA" w:rsidRPr="000D756E" w:rsidRDefault="00077EFA" w:rsidP="00077EFA">
            <w:pPr>
              <w:pStyle w:val="Heading7"/>
              <w:jc w:val="center"/>
              <w:rPr>
                <w:rFonts w:cs="Arial"/>
                <w:sz w:val="22"/>
                <w:szCs w:val="22"/>
              </w:rPr>
            </w:pPr>
            <w:r w:rsidRPr="000D756E">
              <w:rPr>
                <w:rFonts w:cs="Arial"/>
                <w:sz w:val="22"/>
                <w:szCs w:val="22"/>
              </w:rPr>
              <w:t>20</w:t>
            </w:r>
            <w:r w:rsidR="00882ADE" w:rsidRPr="000D756E">
              <w:rPr>
                <w:rFonts w:cs="Arial"/>
                <w:sz w:val="22"/>
                <w:szCs w:val="22"/>
              </w:rPr>
              <w:t>2</w:t>
            </w:r>
            <w:r w:rsidR="00487BC6">
              <w:rPr>
                <w:rFonts w:cs="Arial"/>
                <w:sz w:val="22"/>
                <w:szCs w:val="22"/>
              </w:rPr>
              <w:t>4/25</w:t>
            </w:r>
          </w:p>
          <w:p w14:paraId="201F9BF8" w14:textId="77777777" w:rsidR="00077EFA" w:rsidRPr="000D756E" w:rsidRDefault="00077EFA" w:rsidP="00077EFA">
            <w:pPr>
              <w:jc w:val="center"/>
              <w:rPr>
                <w:rFonts w:ascii="Arial" w:hAnsi="Arial" w:cs="Arial"/>
                <w:b/>
                <w:sz w:val="22"/>
                <w:szCs w:val="22"/>
              </w:rPr>
            </w:pPr>
            <w:r w:rsidRPr="000D756E">
              <w:rPr>
                <w:rFonts w:ascii="Arial" w:hAnsi="Arial" w:cs="Arial"/>
                <w:b/>
                <w:sz w:val="22"/>
                <w:szCs w:val="22"/>
              </w:rPr>
              <w:t>£’000</w:t>
            </w:r>
          </w:p>
        </w:tc>
        <w:tc>
          <w:tcPr>
            <w:tcW w:w="1134" w:type="dxa"/>
            <w:tcBorders>
              <w:top w:val="single" w:sz="4" w:space="0" w:color="auto"/>
              <w:left w:val="single" w:sz="4" w:space="0" w:color="auto"/>
              <w:right w:val="single" w:sz="4" w:space="0" w:color="auto"/>
            </w:tcBorders>
          </w:tcPr>
          <w:p w14:paraId="6028DEF0" w14:textId="77777777" w:rsidR="00077EFA" w:rsidRPr="000D756E" w:rsidRDefault="00077EFA" w:rsidP="00077EFA">
            <w:pPr>
              <w:pStyle w:val="Heading7"/>
              <w:jc w:val="center"/>
              <w:rPr>
                <w:rFonts w:cs="Arial"/>
                <w:sz w:val="22"/>
                <w:szCs w:val="22"/>
              </w:rPr>
            </w:pPr>
          </w:p>
          <w:p w14:paraId="1AFD9932" w14:textId="18D3B9FD" w:rsidR="00077EFA" w:rsidRPr="000D756E" w:rsidRDefault="00077EFA" w:rsidP="00077EFA">
            <w:pPr>
              <w:pStyle w:val="Heading7"/>
              <w:jc w:val="center"/>
              <w:rPr>
                <w:rFonts w:cs="Arial"/>
                <w:sz w:val="22"/>
                <w:szCs w:val="22"/>
              </w:rPr>
            </w:pPr>
            <w:r w:rsidRPr="000D756E">
              <w:rPr>
                <w:rFonts w:cs="Arial"/>
                <w:sz w:val="22"/>
                <w:szCs w:val="22"/>
              </w:rPr>
              <w:t>20</w:t>
            </w:r>
            <w:r w:rsidR="00882ADE" w:rsidRPr="000D756E">
              <w:rPr>
                <w:rFonts w:cs="Arial"/>
                <w:sz w:val="22"/>
                <w:szCs w:val="22"/>
              </w:rPr>
              <w:t>2</w:t>
            </w:r>
            <w:r w:rsidR="00487BC6">
              <w:rPr>
                <w:rFonts w:cs="Arial"/>
                <w:sz w:val="22"/>
                <w:szCs w:val="22"/>
              </w:rPr>
              <w:t>3/24</w:t>
            </w:r>
          </w:p>
          <w:p w14:paraId="26D32BAC" w14:textId="0DEADE3F" w:rsidR="00077EFA" w:rsidRPr="000D756E" w:rsidRDefault="00077EFA" w:rsidP="00077EFA">
            <w:pPr>
              <w:jc w:val="center"/>
              <w:rPr>
                <w:rFonts w:ascii="Arial" w:hAnsi="Arial" w:cs="Arial"/>
                <w:b/>
                <w:sz w:val="22"/>
                <w:szCs w:val="22"/>
              </w:rPr>
            </w:pPr>
            <w:r w:rsidRPr="000D756E">
              <w:rPr>
                <w:rFonts w:ascii="Arial" w:hAnsi="Arial" w:cs="Arial"/>
                <w:b/>
                <w:sz w:val="22"/>
                <w:szCs w:val="22"/>
              </w:rPr>
              <w:t>£’000</w:t>
            </w:r>
          </w:p>
        </w:tc>
        <w:tc>
          <w:tcPr>
            <w:tcW w:w="1134" w:type="dxa"/>
            <w:tcBorders>
              <w:top w:val="single" w:sz="4" w:space="0" w:color="auto"/>
              <w:left w:val="single" w:sz="4" w:space="0" w:color="auto"/>
              <w:right w:val="single" w:sz="4" w:space="0" w:color="auto"/>
            </w:tcBorders>
          </w:tcPr>
          <w:p w14:paraId="0E3F380F" w14:textId="77777777" w:rsidR="00077EFA" w:rsidRPr="000D756E" w:rsidRDefault="00077EFA" w:rsidP="00077EFA">
            <w:pPr>
              <w:pStyle w:val="Heading7"/>
              <w:jc w:val="center"/>
              <w:rPr>
                <w:rFonts w:cs="Arial"/>
                <w:sz w:val="22"/>
                <w:szCs w:val="22"/>
              </w:rPr>
            </w:pPr>
            <w:r w:rsidRPr="000D756E">
              <w:rPr>
                <w:rFonts w:cs="Arial"/>
                <w:sz w:val="22"/>
                <w:szCs w:val="22"/>
              </w:rPr>
              <w:t>‘1992’</w:t>
            </w:r>
          </w:p>
          <w:p w14:paraId="2A56515F" w14:textId="4EB992BC" w:rsidR="00077EFA" w:rsidRPr="000D756E" w:rsidRDefault="00077EFA" w:rsidP="00077EFA">
            <w:pPr>
              <w:jc w:val="center"/>
              <w:rPr>
                <w:rFonts w:ascii="Arial" w:hAnsi="Arial" w:cs="Arial"/>
                <w:b/>
                <w:sz w:val="22"/>
                <w:szCs w:val="22"/>
              </w:rPr>
            </w:pPr>
            <w:r w:rsidRPr="000D756E">
              <w:rPr>
                <w:rFonts w:ascii="Arial" w:hAnsi="Arial" w:cs="Arial"/>
                <w:b/>
                <w:sz w:val="22"/>
                <w:szCs w:val="22"/>
              </w:rPr>
              <w:t>202</w:t>
            </w:r>
            <w:r w:rsidR="00487BC6">
              <w:rPr>
                <w:rFonts w:ascii="Arial" w:hAnsi="Arial" w:cs="Arial"/>
                <w:b/>
                <w:sz w:val="22"/>
                <w:szCs w:val="22"/>
              </w:rPr>
              <w:t>4/25</w:t>
            </w:r>
          </w:p>
          <w:p w14:paraId="4C7C6CA6" w14:textId="77777777" w:rsidR="00077EFA" w:rsidRPr="000D756E" w:rsidRDefault="00077EFA" w:rsidP="00077EFA">
            <w:pPr>
              <w:jc w:val="center"/>
              <w:rPr>
                <w:rFonts w:ascii="Arial" w:hAnsi="Arial" w:cs="Arial"/>
                <w:b/>
                <w:sz w:val="22"/>
                <w:szCs w:val="22"/>
              </w:rPr>
            </w:pPr>
            <w:r w:rsidRPr="000D756E">
              <w:rPr>
                <w:rFonts w:ascii="Arial" w:hAnsi="Arial" w:cs="Arial"/>
                <w:b/>
                <w:sz w:val="22"/>
                <w:szCs w:val="22"/>
              </w:rPr>
              <w:t>£’000</w:t>
            </w:r>
          </w:p>
        </w:tc>
        <w:tc>
          <w:tcPr>
            <w:tcW w:w="1134" w:type="dxa"/>
            <w:tcBorders>
              <w:top w:val="single" w:sz="4" w:space="0" w:color="auto"/>
              <w:left w:val="single" w:sz="4" w:space="0" w:color="auto"/>
              <w:right w:val="single" w:sz="4" w:space="0" w:color="auto"/>
            </w:tcBorders>
          </w:tcPr>
          <w:p w14:paraId="5C60EC8D" w14:textId="77777777" w:rsidR="00077EFA" w:rsidRPr="000D756E" w:rsidRDefault="00077EFA" w:rsidP="00077EFA">
            <w:pPr>
              <w:pStyle w:val="Heading7"/>
              <w:jc w:val="center"/>
              <w:rPr>
                <w:rFonts w:cs="Arial"/>
                <w:sz w:val="22"/>
                <w:szCs w:val="22"/>
              </w:rPr>
            </w:pPr>
            <w:r w:rsidRPr="000D756E">
              <w:rPr>
                <w:rFonts w:cs="Arial"/>
                <w:sz w:val="22"/>
                <w:szCs w:val="22"/>
              </w:rPr>
              <w:t>‘2006’</w:t>
            </w:r>
          </w:p>
          <w:p w14:paraId="0D5FCBAC" w14:textId="4BD61A5A" w:rsidR="00077EFA" w:rsidRPr="000D756E" w:rsidRDefault="00077EFA" w:rsidP="00077EFA">
            <w:pPr>
              <w:jc w:val="center"/>
              <w:rPr>
                <w:rFonts w:ascii="Arial" w:hAnsi="Arial" w:cs="Arial"/>
                <w:b/>
                <w:sz w:val="22"/>
                <w:szCs w:val="22"/>
              </w:rPr>
            </w:pPr>
            <w:r w:rsidRPr="000D756E">
              <w:rPr>
                <w:rFonts w:ascii="Arial" w:hAnsi="Arial" w:cs="Arial"/>
                <w:b/>
                <w:sz w:val="22"/>
                <w:szCs w:val="22"/>
              </w:rPr>
              <w:t>202</w:t>
            </w:r>
            <w:r w:rsidR="00487BC6">
              <w:rPr>
                <w:rFonts w:ascii="Arial" w:hAnsi="Arial" w:cs="Arial"/>
                <w:b/>
                <w:sz w:val="22"/>
                <w:szCs w:val="22"/>
              </w:rPr>
              <w:t>4/25</w:t>
            </w:r>
          </w:p>
          <w:p w14:paraId="2F152EEC" w14:textId="77777777" w:rsidR="00077EFA" w:rsidRPr="000D756E" w:rsidRDefault="00077EFA" w:rsidP="00077EFA">
            <w:pPr>
              <w:jc w:val="center"/>
              <w:rPr>
                <w:rFonts w:ascii="Arial" w:hAnsi="Arial" w:cs="Arial"/>
                <w:b/>
                <w:sz w:val="22"/>
                <w:szCs w:val="22"/>
              </w:rPr>
            </w:pPr>
            <w:r w:rsidRPr="000D756E">
              <w:rPr>
                <w:rFonts w:ascii="Arial" w:hAnsi="Arial" w:cs="Arial"/>
                <w:b/>
                <w:sz w:val="22"/>
                <w:szCs w:val="22"/>
              </w:rPr>
              <w:t>£’000</w:t>
            </w:r>
          </w:p>
        </w:tc>
        <w:tc>
          <w:tcPr>
            <w:tcW w:w="1134" w:type="dxa"/>
            <w:tcBorders>
              <w:top w:val="single" w:sz="4" w:space="0" w:color="auto"/>
              <w:left w:val="single" w:sz="4" w:space="0" w:color="auto"/>
              <w:right w:val="single" w:sz="4" w:space="0" w:color="auto"/>
            </w:tcBorders>
          </w:tcPr>
          <w:p w14:paraId="5AB5D85E" w14:textId="77777777" w:rsidR="00077EFA" w:rsidRPr="000D756E" w:rsidRDefault="00077EFA" w:rsidP="00077EFA">
            <w:pPr>
              <w:pStyle w:val="Heading7"/>
              <w:jc w:val="center"/>
              <w:rPr>
                <w:rFonts w:cs="Arial"/>
                <w:sz w:val="22"/>
                <w:szCs w:val="22"/>
              </w:rPr>
            </w:pPr>
            <w:r w:rsidRPr="000D756E">
              <w:rPr>
                <w:rFonts w:cs="Arial"/>
                <w:sz w:val="22"/>
                <w:szCs w:val="22"/>
              </w:rPr>
              <w:t>‘2015’</w:t>
            </w:r>
          </w:p>
          <w:p w14:paraId="0D3A76AD" w14:textId="0F83D26D" w:rsidR="00077EFA" w:rsidRPr="000D756E" w:rsidRDefault="00077EFA" w:rsidP="00077EFA">
            <w:pPr>
              <w:jc w:val="center"/>
              <w:rPr>
                <w:rFonts w:ascii="Arial" w:hAnsi="Arial" w:cs="Arial"/>
                <w:b/>
                <w:sz w:val="22"/>
                <w:szCs w:val="22"/>
              </w:rPr>
            </w:pPr>
            <w:r w:rsidRPr="000D756E">
              <w:rPr>
                <w:rFonts w:ascii="Arial" w:hAnsi="Arial" w:cs="Arial"/>
                <w:b/>
                <w:sz w:val="22"/>
                <w:szCs w:val="22"/>
              </w:rPr>
              <w:t>202</w:t>
            </w:r>
            <w:r w:rsidR="00487BC6">
              <w:rPr>
                <w:rFonts w:ascii="Arial" w:hAnsi="Arial" w:cs="Arial"/>
                <w:b/>
                <w:sz w:val="22"/>
                <w:szCs w:val="22"/>
              </w:rPr>
              <w:t>4/25</w:t>
            </w:r>
          </w:p>
          <w:p w14:paraId="16E78D3D" w14:textId="77777777" w:rsidR="00077EFA" w:rsidRPr="000D756E" w:rsidRDefault="00077EFA" w:rsidP="00077EFA">
            <w:pPr>
              <w:jc w:val="center"/>
              <w:rPr>
                <w:rFonts w:ascii="Arial" w:hAnsi="Arial" w:cs="Arial"/>
                <w:b/>
                <w:sz w:val="22"/>
                <w:szCs w:val="22"/>
              </w:rPr>
            </w:pPr>
            <w:r w:rsidRPr="000D756E">
              <w:rPr>
                <w:rFonts w:ascii="Arial" w:hAnsi="Arial" w:cs="Arial"/>
                <w:b/>
                <w:sz w:val="22"/>
                <w:szCs w:val="22"/>
              </w:rPr>
              <w:t>£’000</w:t>
            </w:r>
          </w:p>
        </w:tc>
        <w:tc>
          <w:tcPr>
            <w:tcW w:w="1134" w:type="dxa"/>
            <w:tcBorders>
              <w:top w:val="single" w:sz="4" w:space="0" w:color="auto"/>
              <w:left w:val="single" w:sz="4" w:space="0" w:color="auto"/>
              <w:right w:val="single" w:sz="4" w:space="0" w:color="auto"/>
            </w:tcBorders>
          </w:tcPr>
          <w:p w14:paraId="4C220E17" w14:textId="77777777" w:rsidR="00077EFA" w:rsidRPr="000D756E" w:rsidRDefault="00077EFA" w:rsidP="00077EFA">
            <w:pPr>
              <w:pStyle w:val="Heading7"/>
              <w:jc w:val="center"/>
              <w:rPr>
                <w:rFonts w:cs="Arial"/>
                <w:sz w:val="22"/>
                <w:szCs w:val="22"/>
              </w:rPr>
            </w:pPr>
            <w:r w:rsidRPr="000D756E">
              <w:rPr>
                <w:rFonts w:cs="Arial"/>
                <w:sz w:val="22"/>
                <w:szCs w:val="22"/>
              </w:rPr>
              <w:t>Total</w:t>
            </w:r>
          </w:p>
          <w:p w14:paraId="51835348" w14:textId="769099B9" w:rsidR="00077EFA" w:rsidRPr="000D756E" w:rsidRDefault="00077EFA" w:rsidP="00077EFA">
            <w:pPr>
              <w:jc w:val="center"/>
              <w:rPr>
                <w:rFonts w:ascii="Arial" w:hAnsi="Arial" w:cs="Arial"/>
                <w:b/>
                <w:sz w:val="22"/>
                <w:szCs w:val="22"/>
              </w:rPr>
            </w:pPr>
            <w:r w:rsidRPr="000D756E">
              <w:rPr>
                <w:rFonts w:ascii="Arial" w:hAnsi="Arial" w:cs="Arial"/>
                <w:b/>
                <w:sz w:val="22"/>
                <w:szCs w:val="22"/>
              </w:rPr>
              <w:t>20</w:t>
            </w:r>
            <w:r w:rsidR="00882ADE" w:rsidRPr="000D756E">
              <w:rPr>
                <w:rFonts w:ascii="Arial" w:hAnsi="Arial" w:cs="Arial"/>
                <w:b/>
                <w:sz w:val="22"/>
                <w:szCs w:val="22"/>
              </w:rPr>
              <w:t>2</w:t>
            </w:r>
            <w:r w:rsidR="00487BC6">
              <w:rPr>
                <w:rFonts w:ascii="Arial" w:hAnsi="Arial" w:cs="Arial"/>
                <w:b/>
                <w:sz w:val="22"/>
                <w:szCs w:val="22"/>
              </w:rPr>
              <w:t>4/25</w:t>
            </w:r>
          </w:p>
          <w:p w14:paraId="361EE393" w14:textId="77777777" w:rsidR="00077EFA" w:rsidRPr="000D756E" w:rsidRDefault="00077EFA" w:rsidP="00077EFA">
            <w:pPr>
              <w:jc w:val="center"/>
              <w:rPr>
                <w:rFonts w:ascii="Arial" w:hAnsi="Arial" w:cs="Arial"/>
                <w:b/>
                <w:sz w:val="22"/>
                <w:szCs w:val="22"/>
              </w:rPr>
            </w:pPr>
            <w:r w:rsidRPr="000D756E">
              <w:rPr>
                <w:rFonts w:ascii="Arial" w:hAnsi="Arial" w:cs="Arial"/>
                <w:b/>
                <w:sz w:val="22"/>
                <w:szCs w:val="22"/>
              </w:rPr>
              <w:t>£’000</w:t>
            </w:r>
          </w:p>
        </w:tc>
        <w:tc>
          <w:tcPr>
            <w:tcW w:w="1100" w:type="dxa"/>
            <w:tcBorders>
              <w:top w:val="single" w:sz="4" w:space="0" w:color="auto"/>
              <w:left w:val="single" w:sz="4" w:space="0" w:color="auto"/>
              <w:right w:val="single" w:sz="4" w:space="0" w:color="auto"/>
            </w:tcBorders>
          </w:tcPr>
          <w:p w14:paraId="466D0987" w14:textId="77777777" w:rsidR="00077EFA" w:rsidRPr="000D756E" w:rsidRDefault="00077EFA" w:rsidP="00077EFA">
            <w:pPr>
              <w:pStyle w:val="Heading7"/>
              <w:jc w:val="center"/>
              <w:rPr>
                <w:rFonts w:cs="Arial"/>
                <w:sz w:val="22"/>
                <w:szCs w:val="22"/>
              </w:rPr>
            </w:pPr>
            <w:r w:rsidRPr="000D756E">
              <w:rPr>
                <w:rFonts w:cs="Arial"/>
                <w:sz w:val="22"/>
                <w:szCs w:val="22"/>
              </w:rPr>
              <w:t>Total</w:t>
            </w:r>
          </w:p>
          <w:p w14:paraId="60135888" w14:textId="33911749" w:rsidR="00077EFA" w:rsidRPr="000D756E" w:rsidRDefault="00077EFA" w:rsidP="00077EFA">
            <w:pPr>
              <w:jc w:val="center"/>
              <w:rPr>
                <w:rFonts w:ascii="Arial" w:hAnsi="Arial" w:cs="Arial"/>
                <w:b/>
                <w:sz w:val="22"/>
                <w:szCs w:val="22"/>
              </w:rPr>
            </w:pPr>
            <w:r w:rsidRPr="000D756E">
              <w:rPr>
                <w:rFonts w:ascii="Arial" w:hAnsi="Arial" w:cs="Arial"/>
                <w:b/>
                <w:sz w:val="22"/>
                <w:szCs w:val="22"/>
              </w:rPr>
              <w:t>20</w:t>
            </w:r>
            <w:r w:rsidR="00882ADE" w:rsidRPr="000D756E">
              <w:rPr>
                <w:rFonts w:ascii="Arial" w:hAnsi="Arial" w:cs="Arial"/>
                <w:b/>
                <w:sz w:val="22"/>
                <w:szCs w:val="22"/>
              </w:rPr>
              <w:t>2</w:t>
            </w:r>
            <w:r w:rsidR="00487BC6">
              <w:rPr>
                <w:rFonts w:ascii="Arial" w:hAnsi="Arial" w:cs="Arial"/>
                <w:b/>
                <w:sz w:val="22"/>
                <w:szCs w:val="22"/>
              </w:rPr>
              <w:t>3/24</w:t>
            </w:r>
          </w:p>
          <w:p w14:paraId="71522D16" w14:textId="61384719" w:rsidR="00077EFA" w:rsidRPr="000D756E" w:rsidRDefault="00077EFA" w:rsidP="00077EFA">
            <w:pPr>
              <w:jc w:val="center"/>
              <w:rPr>
                <w:rFonts w:ascii="Arial" w:hAnsi="Arial" w:cs="Arial"/>
                <w:b/>
                <w:sz w:val="22"/>
                <w:szCs w:val="22"/>
              </w:rPr>
            </w:pPr>
            <w:r w:rsidRPr="000D756E">
              <w:rPr>
                <w:rFonts w:ascii="Arial" w:hAnsi="Arial" w:cs="Arial"/>
                <w:b/>
                <w:sz w:val="22"/>
                <w:szCs w:val="22"/>
              </w:rPr>
              <w:t>£’000</w:t>
            </w:r>
          </w:p>
        </w:tc>
      </w:tr>
      <w:tr w:rsidR="006329E6" w:rsidRPr="000D756E" w14:paraId="09505CD0" w14:textId="77777777" w:rsidTr="0029624E">
        <w:tc>
          <w:tcPr>
            <w:tcW w:w="2405" w:type="dxa"/>
            <w:tcBorders>
              <w:top w:val="single" w:sz="4" w:space="0" w:color="auto"/>
              <w:left w:val="single" w:sz="4" w:space="0" w:color="auto"/>
              <w:right w:val="single" w:sz="4" w:space="0" w:color="auto"/>
            </w:tcBorders>
          </w:tcPr>
          <w:p w14:paraId="1048E078" w14:textId="77777777" w:rsidR="00077EFA" w:rsidRPr="000D756E" w:rsidRDefault="00077EFA" w:rsidP="00077EFA">
            <w:pPr>
              <w:pStyle w:val="Heading7"/>
              <w:rPr>
                <w:rFonts w:cs="Arial"/>
                <w:sz w:val="22"/>
                <w:szCs w:val="22"/>
              </w:rPr>
            </w:pPr>
            <w:r w:rsidRPr="000D756E">
              <w:rPr>
                <w:rFonts w:cs="Arial"/>
                <w:sz w:val="22"/>
                <w:szCs w:val="22"/>
              </w:rPr>
              <w:t>Comprehensive I&amp;E Statement</w:t>
            </w:r>
          </w:p>
        </w:tc>
        <w:tc>
          <w:tcPr>
            <w:tcW w:w="1134" w:type="dxa"/>
            <w:tcBorders>
              <w:top w:val="single" w:sz="4" w:space="0" w:color="auto"/>
              <w:left w:val="single" w:sz="4" w:space="0" w:color="auto"/>
              <w:right w:val="single" w:sz="4" w:space="0" w:color="auto"/>
            </w:tcBorders>
          </w:tcPr>
          <w:p w14:paraId="56D81DC1" w14:textId="77777777" w:rsidR="00077EFA" w:rsidRPr="000D756E" w:rsidRDefault="00077EFA" w:rsidP="00077EFA">
            <w:pPr>
              <w:pStyle w:val="Heading7"/>
              <w:jc w:val="right"/>
              <w:rPr>
                <w:rFonts w:cs="Arial"/>
                <w:sz w:val="22"/>
                <w:szCs w:val="22"/>
              </w:rPr>
            </w:pPr>
          </w:p>
        </w:tc>
        <w:tc>
          <w:tcPr>
            <w:tcW w:w="1134" w:type="dxa"/>
            <w:tcBorders>
              <w:top w:val="single" w:sz="4" w:space="0" w:color="auto"/>
              <w:left w:val="single" w:sz="4" w:space="0" w:color="auto"/>
              <w:right w:val="single" w:sz="4" w:space="0" w:color="auto"/>
            </w:tcBorders>
          </w:tcPr>
          <w:p w14:paraId="3BFA5DDD" w14:textId="77777777" w:rsidR="00077EFA" w:rsidRPr="000D756E" w:rsidRDefault="00077EFA" w:rsidP="00077EFA">
            <w:pPr>
              <w:pStyle w:val="Heading7"/>
              <w:jc w:val="right"/>
              <w:rPr>
                <w:rFonts w:cs="Arial"/>
                <w:sz w:val="22"/>
                <w:szCs w:val="22"/>
              </w:rPr>
            </w:pPr>
          </w:p>
        </w:tc>
        <w:tc>
          <w:tcPr>
            <w:tcW w:w="1134" w:type="dxa"/>
            <w:tcBorders>
              <w:top w:val="single" w:sz="4" w:space="0" w:color="auto"/>
              <w:left w:val="single" w:sz="4" w:space="0" w:color="auto"/>
              <w:right w:val="single" w:sz="4" w:space="0" w:color="auto"/>
            </w:tcBorders>
          </w:tcPr>
          <w:p w14:paraId="0EEFBE94" w14:textId="77777777" w:rsidR="00077EFA" w:rsidRPr="000D756E" w:rsidRDefault="00077EFA" w:rsidP="00077EFA">
            <w:pPr>
              <w:pStyle w:val="Heading7"/>
              <w:jc w:val="right"/>
              <w:rPr>
                <w:rFonts w:cs="Arial"/>
                <w:sz w:val="22"/>
                <w:szCs w:val="22"/>
              </w:rPr>
            </w:pPr>
          </w:p>
        </w:tc>
        <w:tc>
          <w:tcPr>
            <w:tcW w:w="1134" w:type="dxa"/>
            <w:tcBorders>
              <w:top w:val="single" w:sz="4" w:space="0" w:color="auto"/>
              <w:left w:val="single" w:sz="4" w:space="0" w:color="auto"/>
              <w:right w:val="single" w:sz="4" w:space="0" w:color="auto"/>
            </w:tcBorders>
          </w:tcPr>
          <w:p w14:paraId="1E6EFEB2" w14:textId="77777777" w:rsidR="00077EFA" w:rsidRPr="000D756E" w:rsidRDefault="00077EFA" w:rsidP="00077EFA">
            <w:pPr>
              <w:pStyle w:val="Heading7"/>
              <w:jc w:val="right"/>
              <w:rPr>
                <w:rFonts w:cs="Arial"/>
                <w:sz w:val="22"/>
                <w:szCs w:val="22"/>
              </w:rPr>
            </w:pPr>
          </w:p>
        </w:tc>
        <w:tc>
          <w:tcPr>
            <w:tcW w:w="1134" w:type="dxa"/>
            <w:tcBorders>
              <w:top w:val="single" w:sz="4" w:space="0" w:color="auto"/>
              <w:left w:val="single" w:sz="4" w:space="0" w:color="auto"/>
              <w:right w:val="single" w:sz="4" w:space="0" w:color="auto"/>
            </w:tcBorders>
          </w:tcPr>
          <w:p w14:paraId="232DBEB8" w14:textId="77777777" w:rsidR="00077EFA" w:rsidRPr="000D756E" w:rsidRDefault="00077EFA" w:rsidP="00077EFA">
            <w:pPr>
              <w:pStyle w:val="Heading7"/>
              <w:jc w:val="right"/>
              <w:rPr>
                <w:rFonts w:cs="Arial"/>
                <w:sz w:val="22"/>
                <w:szCs w:val="22"/>
              </w:rPr>
            </w:pPr>
          </w:p>
        </w:tc>
        <w:tc>
          <w:tcPr>
            <w:tcW w:w="1134" w:type="dxa"/>
            <w:tcBorders>
              <w:top w:val="single" w:sz="4" w:space="0" w:color="auto"/>
              <w:left w:val="single" w:sz="4" w:space="0" w:color="auto"/>
              <w:right w:val="single" w:sz="4" w:space="0" w:color="auto"/>
            </w:tcBorders>
          </w:tcPr>
          <w:p w14:paraId="2CFA5A55" w14:textId="77777777" w:rsidR="00077EFA" w:rsidRPr="000D756E" w:rsidRDefault="00077EFA" w:rsidP="00077EFA">
            <w:pPr>
              <w:pStyle w:val="Heading7"/>
              <w:jc w:val="right"/>
              <w:rPr>
                <w:rFonts w:cs="Arial"/>
                <w:sz w:val="22"/>
                <w:szCs w:val="22"/>
              </w:rPr>
            </w:pPr>
          </w:p>
        </w:tc>
        <w:tc>
          <w:tcPr>
            <w:tcW w:w="1100" w:type="dxa"/>
            <w:tcBorders>
              <w:top w:val="single" w:sz="4" w:space="0" w:color="auto"/>
              <w:left w:val="single" w:sz="4" w:space="0" w:color="auto"/>
              <w:right w:val="single" w:sz="4" w:space="0" w:color="auto"/>
            </w:tcBorders>
          </w:tcPr>
          <w:p w14:paraId="1B683F48" w14:textId="77777777" w:rsidR="00077EFA" w:rsidRPr="000D756E" w:rsidRDefault="00077EFA" w:rsidP="00077EFA">
            <w:pPr>
              <w:pStyle w:val="Heading7"/>
              <w:jc w:val="right"/>
              <w:rPr>
                <w:rFonts w:cs="Arial"/>
                <w:sz w:val="22"/>
                <w:szCs w:val="22"/>
              </w:rPr>
            </w:pPr>
          </w:p>
        </w:tc>
      </w:tr>
      <w:tr w:rsidR="006329E6" w:rsidRPr="000D756E" w14:paraId="579E9724" w14:textId="77777777" w:rsidTr="0029624E">
        <w:tc>
          <w:tcPr>
            <w:tcW w:w="2405" w:type="dxa"/>
            <w:tcBorders>
              <w:left w:val="single" w:sz="4" w:space="0" w:color="auto"/>
              <w:right w:val="single" w:sz="4" w:space="0" w:color="auto"/>
            </w:tcBorders>
          </w:tcPr>
          <w:p w14:paraId="6B055F1E" w14:textId="77777777" w:rsidR="00077EFA" w:rsidRPr="000D756E" w:rsidRDefault="00077EFA" w:rsidP="00077EFA">
            <w:pPr>
              <w:pStyle w:val="Heading7"/>
              <w:rPr>
                <w:rFonts w:cs="Arial"/>
                <w:sz w:val="22"/>
                <w:szCs w:val="22"/>
              </w:rPr>
            </w:pPr>
            <w:r w:rsidRPr="000D756E">
              <w:rPr>
                <w:rFonts w:cs="Arial"/>
                <w:sz w:val="22"/>
                <w:szCs w:val="22"/>
              </w:rPr>
              <w:t>Cost of Services:</w:t>
            </w:r>
          </w:p>
          <w:p w14:paraId="481EEDA5" w14:textId="77777777" w:rsidR="00077EFA" w:rsidRPr="000D756E" w:rsidRDefault="00077EFA" w:rsidP="00077EFA">
            <w:pPr>
              <w:rPr>
                <w:rFonts w:ascii="Arial" w:hAnsi="Arial" w:cs="Arial"/>
                <w:sz w:val="22"/>
                <w:szCs w:val="22"/>
              </w:rPr>
            </w:pPr>
            <w:r w:rsidRPr="000D756E">
              <w:rPr>
                <w:rFonts w:ascii="Arial" w:hAnsi="Arial" w:cs="Arial"/>
                <w:sz w:val="22"/>
                <w:szCs w:val="22"/>
              </w:rPr>
              <w:t>Service cost comprising:</w:t>
            </w:r>
          </w:p>
        </w:tc>
        <w:tc>
          <w:tcPr>
            <w:tcW w:w="1134" w:type="dxa"/>
            <w:tcBorders>
              <w:left w:val="single" w:sz="4" w:space="0" w:color="auto"/>
              <w:right w:val="single" w:sz="4" w:space="0" w:color="auto"/>
            </w:tcBorders>
          </w:tcPr>
          <w:p w14:paraId="658FB492" w14:textId="77777777" w:rsidR="00077EFA" w:rsidRPr="000D756E" w:rsidRDefault="00077EFA" w:rsidP="00077EFA"/>
        </w:tc>
        <w:tc>
          <w:tcPr>
            <w:tcW w:w="1134" w:type="dxa"/>
            <w:tcBorders>
              <w:left w:val="single" w:sz="4" w:space="0" w:color="auto"/>
              <w:right w:val="single" w:sz="4" w:space="0" w:color="auto"/>
            </w:tcBorders>
          </w:tcPr>
          <w:p w14:paraId="30D07098" w14:textId="77777777" w:rsidR="00077EFA" w:rsidRPr="000D756E" w:rsidRDefault="00077EFA" w:rsidP="00077EFA"/>
        </w:tc>
        <w:tc>
          <w:tcPr>
            <w:tcW w:w="1134" w:type="dxa"/>
            <w:tcBorders>
              <w:left w:val="single" w:sz="4" w:space="0" w:color="auto"/>
              <w:right w:val="single" w:sz="4" w:space="0" w:color="auto"/>
            </w:tcBorders>
          </w:tcPr>
          <w:p w14:paraId="07BCF86F" w14:textId="64681519" w:rsidR="00413046" w:rsidRPr="000D756E" w:rsidRDefault="00413046" w:rsidP="00077EFA"/>
        </w:tc>
        <w:tc>
          <w:tcPr>
            <w:tcW w:w="1134" w:type="dxa"/>
            <w:tcBorders>
              <w:left w:val="single" w:sz="4" w:space="0" w:color="auto"/>
              <w:right w:val="single" w:sz="4" w:space="0" w:color="auto"/>
            </w:tcBorders>
          </w:tcPr>
          <w:p w14:paraId="779377D6" w14:textId="6EDB86C0" w:rsidR="007C195C" w:rsidRPr="000D756E" w:rsidRDefault="007C195C" w:rsidP="007C195C"/>
        </w:tc>
        <w:tc>
          <w:tcPr>
            <w:tcW w:w="1134" w:type="dxa"/>
            <w:tcBorders>
              <w:left w:val="single" w:sz="4" w:space="0" w:color="auto"/>
              <w:right w:val="single" w:sz="4" w:space="0" w:color="auto"/>
            </w:tcBorders>
          </w:tcPr>
          <w:p w14:paraId="3674892E" w14:textId="77777777" w:rsidR="00077EFA" w:rsidRPr="000D756E" w:rsidRDefault="00077EFA" w:rsidP="00077EFA"/>
        </w:tc>
        <w:tc>
          <w:tcPr>
            <w:tcW w:w="1134" w:type="dxa"/>
            <w:tcBorders>
              <w:left w:val="single" w:sz="4" w:space="0" w:color="auto"/>
              <w:right w:val="single" w:sz="4" w:space="0" w:color="auto"/>
            </w:tcBorders>
          </w:tcPr>
          <w:p w14:paraId="6B2D7411" w14:textId="77777777" w:rsidR="00077EFA" w:rsidRPr="000D756E" w:rsidRDefault="00077EFA" w:rsidP="00077EFA">
            <w:pPr>
              <w:pStyle w:val="Heading7"/>
              <w:jc w:val="right"/>
              <w:rPr>
                <w:rFonts w:cs="Arial"/>
                <w:sz w:val="22"/>
                <w:szCs w:val="22"/>
              </w:rPr>
            </w:pPr>
          </w:p>
          <w:p w14:paraId="7D568828" w14:textId="77777777" w:rsidR="00250EAF" w:rsidRPr="000D756E" w:rsidRDefault="00250EAF" w:rsidP="00250EAF"/>
          <w:p w14:paraId="2FBF83DA" w14:textId="7BB2545F" w:rsidR="00250EAF" w:rsidRPr="000D756E" w:rsidRDefault="00250EAF" w:rsidP="00250EAF"/>
        </w:tc>
        <w:tc>
          <w:tcPr>
            <w:tcW w:w="1100" w:type="dxa"/>
            <w:tcBorders>
              <w:left w:val="single" w:sz="4" w:space="0" w:color="auto"/>
              <w:right w:val="single" w:sz="4" w:space="0" w:color="auto"/>
            </w:tcBorders>
          </w:tcPr>
          <w:p w14:paraId="61320960" w14:textId="77777777" w:rsidR="00077EFA" w:rsidRPr="000D756E" w:rsidRDefault="00077EFA" w:rsidP="00077EFA">
            <w:pPr>
              <w:pStyle w:val="Heading7"/>
              <w:jc w:val="right"/>
              <w:rPr>
                <w:rFonts w:cs="Arial"/>
                <w:sz w:val="22"/>
                <w:szCs w:val="22"/>
              </w:rPr>
            </w:pPr>
          </w:p>
        </w:tc>
      </w:tr>
      <w:tr w:rsidR="00487BC6" w:rsidRPr="000D756E" w14:paraId="39488328" w14:textId="77777777" w:rsidTr="0029624E">
        <w:trPr>
          <w:trHeight w:val="418"/>
        </w:trPr>
        <w:tc>
          <w:tcPr>
            <w:tcW w:w="2405" w:type="dxa"/>
            <w:tcBorders>
              <w:left w:val="single" w:sz="4" w:space="0" w:color="auto"/>
              <w:right w:val="single" w:sz="4" w:space="0" w:color="auto"/>
            </w:tcBorders>
          </w:tcPr>
          <w:p w14:paraId="7A193629" w14:textId="77777777" w:rsidR="00487BC6" w:rsidRPr="000D756E" w:rsidRDefault="00487BC6" w:rsidP="00487BC6">
            <w:pPr>
              <w:pStyle w:val="Heading7"/>
              <w:rPr>
                <w:rFonts w:cs="Arial"/>
                <w:b w:val="0"/>
                <w:sz w:val="22"/>
                <w:szCs w:val="22"/>
              </w:rPr>
            </w:pPr>
            <w:r w:rsidRPr="000D756E">
              <w:rPr>
                <w:rFonts w:cs="Arial"/>
                <w:b w:val="0"/>
                <w:sz w:val="22"/>
                <w:szCs w:val="22"/>
              </w:rPr>
              <w:t>Current service cost</w:t>
            </w:r>
          </w:p>
        </w:tc>
        <w:tc>
          <w:tcPr>
            <w:tcW w:w="1134" w:type="dxa"/>
            <w:tcBorders>
              <w:left w:val="single" w:sz="4" w:space="0" w:color="auto"/>
              <w:right w:val="single" w:sz="4" w:space="0" w:color="auto"/>
            </w:tcBorders>
          </w:tcPr>
          <w:p w14:paraId="343FCD4A" w14:textId="2FA3A46A" w:rsidR="00487BC6" w:rsidRPr="000D756E" w:rsidRDefault="00DB2A4D" w:rsidP="00487BC6">
            <w:pPr>
              <w:pStyle w:val="Heading7"/>
              <w:jc w:val="right"/>
              <w:rPr>
                <w:rFonts w:cs="Arial"/>
                <w:b w:val="0"/>
                <w:sz w:val="22"/>
                <w:szCs w:val="22"/>
              </w:rPr>
            </w:pPr>
            <w:r>
              <w:rPr>
                <w:rFonts w:cs="Arial"/>
                <w:b w:val="0"/>
                <w:sz w:val="22"/>
                <w:szCs w:val="22"/>
              </w:rPr>
              <w:t>592</w:t>
            </w:r>
          </w:p>
        </w:tc>
        <w:tc>
          <w:tcPr>
            <w:tcW w:w="1134" w:type="dxa"/>
            <w:tcBorders>
              <w:left w:val="single" w:sz="4" w:space="0" w:color="auto"/>
              <w:right w:val="single" w:sz="4" w:space="0" w:color="auto"/>
            </w:tcBorders>
          </w:tcPr>
          <w:p w14:paraId="0EB3563E" w14:textId="49EEFBDB" w:rsidR="00487BC6" w:rsidRPr="000D756E" w:rsidRDefault="00487BC6" w:rsidP="00487BC6">
            <w:pPr>
              <w:pStyle w:val="Heading7"/>
              <w:jc w:val="right"/>
              <w:rPr>
                <w:rFonts w:cs="Arial"/>
                <w:b w:val="0"/>
                <w:sz w:val="22"/>
                <w:szCs w:val="22"/>
              </w:rPr>
            </w:pPr>
            <w:r w:rsidRPr="000D756E">
              <w:rPr>
                <w:rFonts w:cs="Arial"/>
                <w:b w:val="0"/>
                <w:sz w:val="22"/>
                <w:szCs w:val="22"/>
              </w:rPr>
              <w:t>585</w:t>
            </w:r>
          </w:p>
        </w:tc>
        <w:tc>
          <w:tcPr>
            <w:tcW w:w="1134" w:type="dxa"/>
            <w:tcBorders>
              <w:left w:val="single" w:sz="4" w:space="0" w:color="auto"/>
              <w:right w:val="single" w:sz="4" w:space="0" w:color="auto"/>
            </w:tcBorders>
          </w:tcPr>
          <w:p w14:paraId="11005182" w14:textId="041A0D17" w:rsidR="00487BC6" w:rsidRPr="000D756E" w:rsidRDefault="00DD69DC" w:rsidP="00487BC6">
            <w:pPr>
              <w:jc w:val="right"/>
              <w:rPr>
                <w:rFonts w:ascii="Arial" w:hAnsi="Arial" w:cs="Arial"/>
                <w:sz w:val="22"/>
                <w:szCs w:val="22"/>
              </w:rPr>
            </w:pPr>
            <w:r>
              <w:rPr>
                <w:rFonts w:ascii="Arial" w:hAnsi="Arial" w:cs="Arial"/>
                <w:sz w:val="22"/>
                <w:szCs w:val="22"/>
              </w:rPr>
              <w:t>348</w:t>
            </w:r>
          </w:p>
        </w:tc>
        <w:tc>
          <w:tcPr>
            <w:tcW w:w="1134" w:type="dxa"/>
            <w:tcBorders>
              <w:left w:val="single" w:sz="4" w:space="0" w:color="auto"/>
              <w:right w:val="single" w:sz="4" w:space="0" w:color="auto"/>
            </w:tcBorders>
          </w:tcPr>
          <w:p w14:paraId="5443988E" w14:textId="516946DE" w:rsidR="00487BC6" w:rsidRPr="000D756E" w:rsidRDefault="00285FF4" w:rsidP="00487BC6">
            <w:pPr>
              <w:pStyle w:val="Heading7"/>
              <w:jc w:val="right"/>
              <w:rPr>
                <w:rFonts w:cs="Arial"/>
                <w:b w:val="0"/>
                <w:sz w:val="22"/>
                <w:szCs w:val="22"/>
              </w:rPr>
            </w:pPr>
            <w:r>
              <w:rPr>
                <w:rFonts w:cs="Arial"/>
                <w:b w:val="0"/>
                <w:sz w:val="22"/>
                <w:szCs w:val="22"/>
              </w:rPr>
              <w:t>0</w:t>
            </w:r>
          </w:p>
        </w:tc>
        <w:tc>
          <w:tcPr>
            <w:tcW w:w="1134" w:type="dxa"/>
            <w:tcBorders>
              <w:left w:val="single" w:sz="4" w:space="0" w:color="auto"/>
              <w:right w:val="single" w:sz="4" w:space="0" w:color="auto"/>
            </w:tcBorders>
          </w:tcPr>
          <w:p w14:paraId="40405F7F" w14:textId="3D40EBF2" w:rsidR="00487BC6" w:rsidRPr="000D756E" w:rsidRDefault="00487BC6" w:rsidP="00487BC6">
            <w:pPr>
              <w:pStyle w:val="Heading7"/>
              <w:jc w:val="right"/>
              <w:rPr>
                <w:rFonts w:cs="Arial"/>
                <w:b w:val="0"/>
                <w:sz w:val="22"/>
                <w:szCs w:val="22"/>
              </w:rPr>
            </w:pPr>
          </w:p>
        </w:tc>
        <w:tc>
          <w:tcPr>
            <w:tcW w:w="1134" w:type="dxa"/>
            <w:tcBorders>
              <w:left w:val="single" w:sz="4" w:space="0" w:color="auto"/>
              <w:right w:val="single" w:sz="4" w:space="0" w:color="auto"/>
            </w:tcBorders>
          </w:tcPr>
          <w:p w14:paraId="009C51CC" w14:textId="40CAC052" w:rsidR="00487BC6" w:rsidRPr="000D756E" w:rsidRDefault="00487BC6" w:rsidP="00487BC6">
            <w:pPr>
              <w:pStyle w:val="Heading7"/>
              <w:jc w:val="right"/>
              <w:rPr>
                <w:rFonts w:cs="Arial"/>
                <w:b w:val="0"/>
                <w:sz w:val="22"/>
                <w:szCs w:val="22"/>
              </w:rPr>
            </w:pPr>
          </w:p>
        </w:tc>
        <w:tc>
          <w:tcPr>
            <w:tcW w:w="1100" w:type="dxa"/>
            <w:tcBorders>
              <w:left w:val="single" w:sz="4" w:space="0" w:color="auto"/>
              <w:right w:val="single" w:sz="4" w:space="0" w:color="auto"/>
            </w:tcBorders>
          </w:tcPr>
          <w:p w14:paraId="07FABD9A" w14:textId="50541049" w:rsidR="00487BC6" w:rsidRPr="000D756E" w:rsidRDefault="00487BC6" w:rsidP="00487BC6">
            <w:pPr>
              <w:pStyle w:val="Heading7"/>
              <w:jc w:val="right"/>
              <w:rPr>
                <w:rFonts w:cs="Arial"/>
                <w:b w:val="0"/>
                <w:sz w:val="22"/>
                <w:szCs w:val="22"/>
              </w:rPr>
            </w:pPr>
            <w:r w:rsidRPr="000D756E">
              <w:rPr>
                <w:rFonts w:cs="Arial"/>
                <w:b w:val="0"/>
                <w:sz w:val="22"/>
                <w:szCs w:val="22"/>
              </w:rPr>
              <w:t>2,422</w:t>
            </w:r>
          </w:p>
        </w:tc>
      </w:tr>
      <w:tr w:rsidR="00487BC6" w:rsidRPr="000D756E" w14:paraId="5E193EAC" w14:textId="77777777" w:rsidTr="0029624E">
        <w:tc>
          <w:tcPr>
            <w:tcW w:w="2405" w:type="dxa"/>
            <w:tcBorders>
              <w:left w:val="single" w:sz="4" w:space="0" w:color="auto"/>
              <w:right w:val="single" w:sz="4" w:space="0" w:color="auto"/>
            </w:tcBorders>
          </w:tcPr>
          <w:p w14:paraId="2DDC5C14" w14:textId="77777777" w:rsidR="00487BC6" w:rsidRPr="000D756E" w:rsidRDefault="00487BC6" w:rsidP="00487BC6">
            <w:pPr>
              <w:pStyle w:val="Heading7"/>
              <w:rPr>
                <w:rFonts w:cs="Arial"/>
                <w:b w:val="0"/>
                <w:sz w:val="22"/>
                <w:szCs w:val="22"/>
              </w:rPr>
            </w:pPr>
            <w:r w:rsidRPr="000D756E">
              <w:rPr>
                <w:rFonts w:cs="Arial"/>
                <w:b w:val="0"/>
                <w:sz w:val="22"/>
                <w:szCs w:val="22"/>
              </w:rPr>
              <w:t>Past service cost</w:t>
            </w:r>
          </w:p>
        </w:tc>
        <w:tc>
          <w:tcPr>
            <w:tcW w:w="1134" w:type="dxa"/>
            <w:tcBorders>
              <w:left w:val="single" w:sz="4" w:space="0" w:color="auto"/>
              <w:right w:val="single" w:sz="4" w:space="0" w:color="auto"/>
            </w:tcBorders>
          </w:tcPr>
          <w:p w14:paraId="79C53272" w14:textId="33E7499B" w:rsidR="00487BC6" w:rsidRPr="000D756E" w:rsidRDefault="00DB2A4D" w:rsidP="00487BC6">
            <w:pPr>
              <w:pStyle w:val="Heading7"/>
              <w:jc w:val="right"/>
              <w:rPr>
                <w:rFonts w:cs="Arial"/>
                <w:b w:val="0"/>
                <w:sz w:val="22"/>
                <w:szCs w:val="22"/>
              </w:rPr>
            </w:pPr>
            <w:r>
              <w:rPr>
                <w:rFonts w:cs="Arial"/>
                <w:b w:val="0"/>
                <w:sz w:val="22"/>
                <w:szCs w:val="22"/>
              </w:rPr>
              <w:t>0</w:t>
            </w:r>
          </w:p>
        </w:tc>
        <w:tc>
          <w:tcPr>
            <w:tcW w:w="1134" w:type="dxa"/>
            <w:tcBorders>
              <w:left w:val="single" w:sz="4" w:space="0" w:color="auto"/>
              <w:right w:val="single" w:sz="4" w:space="0" w:color="auto"/>
            </w:tcBorders>
          </w:tcPr>
          <w:p w14:paraId="1D2D2EAF" w14:textId="00C2B252" w:rsidR="00487BC6" w:rsidRPr="000D756E" w:rsidRDefault="00487BC6" w:rsidP="00487BC6">
            <w:pPr>
              <w:pStyle w:val="Heading7"/>
              <w:jc w:val="right"/>
              <w:rPr>
                <w:rFonts w:cs="Arial"/>
                <w:b w:val="0"/>
                <w:sz w:val="22"/>
                <w:szCs w:val="22"/>
              </w:rPr>
            </w:pPr>
            <w:r w:rsidRPr="000D756E">
              <w:rPr>
                <w:rFonts w:cs="Arial"/>
                <w:b w:val="0"/>
                <w:sz w:val="22"/>
                <w:szCs w:val="22"/>
              </w:rPr>
              <w:t>0</w:t>
            </w:r>
          </w:p>
        </w:tc>
        <w:tc>
          <w:tcPr>
            <w:tcW w:w="1134" w:type="dxa"/>
            <w:tcBorders>
              <w:left w:val="single" w:sz="4" w:space="0" w:color="auto"/>
              <w:right w:val="single" w:sz="4" w:space="0" w:color="auto"/>
            </w:tcBorders>
          </w:tcPr>
          <w:p w14:paraId="6964BF5F" w14:textId="7674DF6D" w:rsidR="00487BC6" w:rsidRPr="000D756E" w:rsidRDefault="00DD69DC" w:rsidP="00487BC6">
            <w:pPr>
              <w:pStyle w:val="Heading7"/>
              <w:jc w:val="right"/>
              <w:rPr>
                <w:rFonts w:cs="Arial"/>
                <w:b w:val="0"/>
                <w:sz w:val="22"/>
                <w:szCs w:val="22"/>
              </w:rPr>
            </w:pPr>
            <w:r>
              <w:rPr>
                <w:rFonts w:cs="Arial"/>
                <w:b w:val="0"/>
                <w:sz w:val="22"/>
                <w:szCs w:val="22"/>
              </w:rPr>
              <w:t>0</w:t>
            </w:r>
          </w:p>
        </w:tc>
        <w:tc>
          <w:tcPr>
            <w:tcW w:w="1134" w:type="dxa"/>
            <w:tcBorders>
              <w:left w:val="single" w:sz="4" w:space="0" w:color="auto"/>
              <w:right w:val="single" w:sz="4" w:space="0" w:color="auto"/>
            </w:tcBorders>
          </w:tcPr>
          <w:p w14:paraId="590E8A82" w14:textId="7FAAF68A" w:rsidR="00487BC6" w:rsidRPr="000D756E" w:rsidRDefault="00D442AC" w:rsidP="00487BC6">
            <w:pPr>
              <w:pStyle w:val="Heading7"/>
              <w:jc w:val="right"/>
              <w:rPr>
                <w:rFonts w:cs="Arial"/>
                <w:b w:val="0"/>
                <w:sz w:val="22"/>
                <w:szCs w:val="22"/>
              </w:rPr>
            </w:pPr>
            <w:r>
              <w:rPr>
                <w:rFonts w:cs="Arial"/>
                <w:b w:val="0"/>
                <w:sz w:val="22"/>
                <w:szCs w:val="22"/>
              </w:rPr>
              <w:t>713</w:t>
            </w:r>
          </w:p>
        </w:tc>
        <w:tc>
          <w:tcPr>
            <w:tcW w:w="1134" w:type="dxa"/>
            <w:tcBorders>
              <w:left w:val="single" w:sz="4" w:space="0" w:color="auto"/>
              <w:right w:val="single" w:sz="4" w:space="0" w:color="auto"/>
            </w:tcBorders>
          </w:tcPr>
          <w:p w14:paraId="1DE485C1" w14:textId="52113C40" w:rsidR="00487BC6" w:rsidRPr="000D756E" w:rsidRDefault="00487BC6" w:rsidP="00487BC6">
            <w:pPr>
              <w:pStyle w:val="Heading7"/>
              <w:jc w:val="right"/>
              <w:rPr>
                <w:rFonts w:cs="Arial"/>
                <w:b w:val="0"/>
                <w:sz w:val="22"/>
                <w:szCs w:val="22"/>
              </w:rPr>
            </w:pPr>
          </w:p>
        </w:tc>
        <w:tc>
          <w:tcPr>
            <w:tcW w:w="1134" w:type="dxa"/>
            <w:tcBorders>
              <w:left w:val="single" w:sz="4" w:space="0" w:color="auto"/>
              <w:right w:val="single" w:sz="4" w:space="0" w:color="auto"/>
            </w:tcBorders>
          </w:tcPr>
          <w:p w14:paraId="62EBFF7F" w14:textId="207C0D26" w:rsidR="00487BC6" w:rsidRPr="000D756E" w:rsidRDefault="00487BC6" w:rsidP="00487BC6">
            <w:pPr>
              <w:pStyle w:val="Heading7"/>
              <w:jc w:val="right"/>
              <w:rPr>
                <w:rFonts w:cs="Arial"/>
                <w:b w:val="0"/>
                <w:sz w:val="22"/>
                <w:szCs w:val="22"/>
              </w:rPr>
            </w:pPr>
          </w:p>
        </w:tc>
        <w:tc>
          <w:tcPr>
            <w:tcW w:w="1100" w:type="dxa"/>
            <w:tcBorders>
              <w:left w:val="single" w:sz="4" w:space="0" w:color="auto"/>
              <w:right w:val="single" w:sz="4" w:space="0" w:color="auto"/>
            </w:tcBorders>
          </w:tcPr>
          <w:p w14:paraId="12B5A8CB" w14:textId="0B2FBCBF" w:rsidR="00487BC6" w:rsidRPr="000D756E" w:rsidRDefault="00487BC6" w:rsidP="00487BC6">
            <w:pPr>
              <w:pStyle w:val="Heading7"/>
              <w:jc w:val="right"/>
              <w:rPr>
                <w:rFonts w:cs="Arial"/>
                <w:b w:val="0"/>
                <w:sz w:val="22"/>
                <w:szCs w:val="22"/>
              </w:rPr>
            </w:pPr>
            <w:r w:rsidRPr="000D756E">
              <w:rPr>
                <w:rFonts w:cs="Arial"/>
                <w:b w:val="0"/>
                <w:sz w:val="22"/>
                <w:szCs w:val="22"/>
              </w:rPr>
              <w:t>65</w:t>
            </w:r>
          </w:p>
        </w:tc>
      </w:tr>
      <w:tr w:rsidR="00487BC6" w:rsidRPr="000D756E" w14:paraId="7B069737" w14:textId="77777777" w:rsidTr="0029624E">
        <w:tc>
          <w:tcPr>
            <w:tcW w:w="2405" w:type="dxa"/>
            <w:tcBorders>
              <w:left w:val="single" w:sz="4" w:space="0" w:color="auto"/>
              <w:right w:val="single" w:sz="4" w:space="0" w:color="auto"/>
            </w:tcBorders>
          </w:tcPr>
          <w:p w14:paraId="09863EE7" w14:textId="77777777" w:rsidR="00487BC6" w:rsidRPr="000D756E" w:rsidRDefault="00487BC6" w:rsidP="00487BC6">
            <w:pPr>
              <w:pStyle w:val="Heading7"/>
              <w:rPr>
                <w:rFonts w:cs="Arial"/>
                <w:sz w:val="22"/>
                <w:szCs w:val="22"/>
              </w:rPr>
            </w:pPr>
            <w:r w:rsidRPr="000D756E">
              <w:rPr>
                <w:rFonts w:cs="Arial"/>
                <w:sz w:val="22"/>
                <w:szCs w:val="22"/>
              </w:rPr>
              <w:t>Financing and Investment Income and Expenditure:</w:t>
            </w:r>
          </w:p>
        </w:tc>
        <w:tc>
          <w:tcPr>
            <w:tcW w:w="1134" w:type="dxa"/>
            <w:tcBorders>
              <w:left w:val="single" w:sz="4" w:space="0" w:color="auto"/>
              <w:right w:val="single" w:sz="4" w:space="0" w:color="auto"/>
            </w:tcBorders>
          </w:tcPr>
          <w:p w14:paraId="7E27E567" w14:textId="77777777" w:rsidR="00487BC6" w:rsidRPr="000D756E" w:rsidRDefault="00487BC6" w:rsidP="00487BC6">
            <w:pPr>
              <w:pStyle w:val="Heading7"/>
              <w:jc w:val="right"/>
              <w:rPr>
                <w:rFonts w:cs="Arial"/>
                <w:b w:val="0"/>
                <w:sz w:val="22"/>
                <w:szCs w:val="22"/>
              </w:rPr>
            </w:pPr>
          </w:p>
        </w:tc>
        <w:tc>
          <w:tcPr>
            <w:tcW w:w="1134" w:type="dxa"/>
            <w:tcBorders>
              <w:left w:val="single" w:sz="4" w:space="0" w:color="auto"/>
              <w:right w:val="single" w:sz="4" w:space="0" w:color="auto"/>
            </w:tcBorders>
          </w:tcPr>
          <w:p w14:paraId="5B98972E" w14:textId="77777777" w:rsidR="00487BC6" w:rsidRPr="000D756E" w:rsidRDefault="00487BC6" w:rsidP="00487BC6">
            <w:pPr>
              <w:pStyle w:val="Heading7"/>
              <w:jc w:val="right"/>
              <w:rPr>
                <w:rFonts w:cs="Arial"/>
                <w:b w:val="0"/>
                <w:sz w:val="22"/>
                <w:szCs w:val="22"/>
              </w:rPr>
            </w:pPr>
          </w:p>
        </w:tc>
        <w:tc>
          <w:tcPr>
            <w:tcW w:w="1134" w:type="dxa"/>
            <w:tcBorders>
              <w:left w:val="single" w:sz="4" w:space="0" w:color="auto"/>
              <w:right w:val="single" w:sz="4" w:space="0" w:color="auto"/>
            </w:tcBorders>
          </w:tcPr>
          <w:p w14:paraId="07EC95CF" w14:textId="77777777" w:rsidR="00487BC6" w:rsidRPr="000D756E" w:rsidRDefault="00487BC6" w:rsidP="00487BC6">
            <w:pPr>
              <w:pStyle w:val="Heading7"/>
              <w:jc w:val="right"/>
              <w:rPr>
                <w:rFonts w:cs="Arial"/>
                <w:b w:val="0"/>
                <w:sz w:val="22"/>
                <w:szCs w:val="22"/>
              </w:rPr>
            </w:pPr>
          </w:p>
        </w:tc>
        <w:tc>
          <w:tcPr>
            <w:tcW w:w="1134" w:type="dxa"/>
            <w:tcBorders>
              <w:left w:val="single" w:sz="4" w:space="0" w:color="auto"/>
              <w:right w:val="single" w:sz="4" w:space="0" w:color="auto"/>
            </w:tcBorders>
          </w:tcPr>
          <w:p w14:paraId="1A3BCE5D" w14:textId="45560FA2" w:rsidR="00487BC6" w:rsidRPr="000D756E" w:rsidRDefault="00487BC6" w:rsidP="00487BC6">
            <w:pPr>
              <w:jc w:val="right"/>
              <w:rPr>
                <w:rFonts w:ascii="Arial" w:hAnsi="Arial" w:cs="Arial"/>
                <w:sz w:val="22"/>
                <w:szCs w:val="22"/>
              </w:rPr>
            </w:pPr>
          </w:p>
        </w:tc>
        <w:tc>
          <w:tcPr>
            <w:tcW w:w="1134" w:type="dxa"/>
            <w:tcBorders>
              <w:left w:val="single" w:sz="4" w:space="0" w:color="auto"/>
              <w:right w:val="single" w:sz="4" w:space="0" w:color="auto"/>
            </w:tcBorders>
          </w:tcPr>
          <w:p w14:paraId="0368870D" w14:textId="2B980A86" w:rsidR="00487BC6" w:rsidRPr="000D756E" w:rsidRDefault="00487BC6" w:rsidP="00487BC6">
            <w:pPr>
              <w:jc w:val="right"/>
              <w:rPr>
                <w:rFonts w:ascii="Arial" w:hAnsi="Arial" w:cs="Arial"/>
                <w:sz w:val="22"/>
                <w:szCs w:val="22"/>
              </w:rPr>
            </w:pPr>
          </w:p>
        </w:tc>
        <w:tc>
          <w:tcPr>
            <w:tcW w:w="1134" w:type="dxa"/>
            <w:tcBorders>
              <w:left w:val="single" w:sz="4" w:space="0" w:color="auto"/>
              <w:right w:val="single" w:sz="4" w:space="0" w:color="auto"/>
            </w:tcBorders>
          </w:tcPr>
          <w:p w14:paraId="5C11B937" w14:textId="77777777" w:rsidR="00487BC6" w:rsidRPr="000D756E" w:rsidRDefault="00487BC6" w:rsidP="00487BC6">
            <w:pPr>
              <w:pStyle w:val="Heading7"/>
              <w:jc w:val="right"/>
              <w:rPr>
                <w:rFonts w:cs="Arial"/>
                <w:b w:val="0"/>
                <w:sz w:val="22"/>
                <w:szCs w:val="22"/>
              </w:rPr>
            </w:pPr>
          </w:p>
        </w:tc>
        <w:tc>
          <w:tcPr>
            <w:tcW w:w="1100" w:type="dxa"/>
            <w:tcBorders>
              <w:left w:val="single" w:sz="4" w:space="0" w:color="auto"/>
              <w:right w:val="single" w:sz="4" w:space="0" w:color="auto"/>
            </w:tcBorders>
          </w:tcPr>
          <w:p w14:paraId="2EFB555D" w14:textId="77777777" w:rsidR="00487BC6" w:rsidRPr="000D756E" w:rsidRDefault="00487BC6" w:rsidP="00487BC6">
            <w:pPr>
              <w:pStyle w:val="Heading7"/>
              <w:jc w:val="right"/>
              <w:rPr>
                <w:rFonts w:cs="Arial"/>
                <w:b w:val="0"/>
                <w:sz w:val="22"/>
                <w:szCs w:val="22"/>
              </w:rPr>
            </w:pPr>
          </w:p>
        </w:tc>
      </w:tr>
      <w:tr w:rsidR="00487BC6" w:rsidRPr="000D756E" w14:paraId="7FA25ECC" w14:textId="77777777" w:rsidTr="0029624E">
        <w:tc>
          <w:tcPr>
            <w:tcW w:w="2405" w:type="dxa"/>
            <w:tcBorders>
              <w:left w:val="single" w:sz="4" w:space="0" w:color="auto"/>
              <w:bottom w:val="single" w:sz="4" w:space="0" w:color="auto"/>
              <w:right w:val="single" w:sz="4" w:space="0" w:color="auto"/>
            </w:tcBorders>
          </w:tcPr>
          <w:p w14:paraId="46E40F4B" w14:textId="77777777" w:rsidR="00487BC6" w:rsidRPr="000D756E" w:rsidRDefault="00487BC6" w:rsidP="00487BC6">
            <w:pPr>
              <w:pStyle w:val="Heading7"/>
              <w:rPr>
                <w:rFonts w:cs="Arial"/>
                <w:b w:val="0"/>
                <w:sz w:val="22"/>
                <w:szCs w:val="22"/>
              </w:rPr>
            </w:pPr>
            <w:r w:rsidRPr="000D756E">
              <w:rPr>
                <w:rFonts w:cs="Arial"/>
                <w:b w:val="0"/>
                <w:sz w:val="22"/>
                <w:szCs w:val="22"/>
              </w:rPr>
              <w:t>Net Interest Expense</w:t>
            </w:r>
          </w:p>
          <w:p w14:paraId="362B82E5" w14:textId="77777777" w:rsidR="00487BC6" w:rsidRPr="000D756E" w:rsidRDefault="00487BC6" w:rsidP="00487BC6">
            <w:pPr>
              <w:rPr>
                <w:rFonts w:ascii="Arial" w:hAnsi="Arial" w:cs="Arial"/>
                <w:sz w:val="22"/>
                <w:szCs w:val="22"/>
              </w:rPr>
            </w:pPr>
            <w:r w:rsidRPr="000D756E">
              <w:rPr>
                <w:rFonts w:ascii="Arial" w:hAnsi="Arial" w:cs="Arial"/>
                <w:sz w:val="22"/>
                <w:szCs w:val="22"/>
              </w:rPr>
              <w:t>Administration Cost</w:t>
            </w:r>
          </w:p>
        </w:tc>
        <w:tc>
          <w:tcPr>
            <w:tcW w:w="1134" w:type="dxa"/>
            <w:tcBorders>
              <w:left w:val="single" w:sz="4" w:space="0" w:color="auto"/>
              <w:bottom w:val="single" w:sz="4" w:space="0" w:color="auto"/>
              <w:right w:val="single" w:sz="4" w:space="0" w:color="auto"/>
            </w:tcBorders>
          </w:tcPr>
          <w:p w14:paraId="60948BCF" w14:textId="77777777" w:rsidR="00487BC6" w:rsidRDefault="001A7211" w:rsidP="00487BC6">
            <w:pPr>
              <w:jc w:val="right"/>
              <w:rPr>
                <w:rFonts w:ascii="Arial" w:hAnsi="Arial" w:cs="Arial"/>
                <w:sz w:val="22"/>
                <w:szCs w:val="22"/>
              </w:rPr>
            </w:pPr>
            <w:r>
              <w:rPr>
                <w:rFonts w:ascii="Arial" w:hAnsi="Arial" w:cs="Arial"/>
                <w:sz w:val="22"/>
                <w:szCs w:val="22"/>
              </w:rPr>
              <w:t>-32</w:t>
            </w:r>
          </w:p>
          <w:p w14:paraId="1CF880A5" w14:textId="31A8F3AF" w:rsidR="001A7211" w:rsidRPr="000D756E" w:rsidRDefault="001A7211" w:rsidP="00487BC6">
            <w:pPr>
              <w:jc w:val="right"/>
              <w:rPr>
                <w:rFonts w:ascii="Arial" w:hAnsi="Arial" w:cs="Arial"/>
                <w:sz w:val="22"/>
                <w:szCs w:val="22"/>
              </w:rPr>
            </w:pPr>
            <w:r>
              <w:rPr>
                <w:rFonts w:ascii="Arial" w:hAnsi="Arial" w:cs="Arial"/>
                <w:sz w:val="22"/>
                <w:szCs w:val="22"/>
              </w:rPr>
              <w:t>29</w:t>
            </w:r>
          </w:p>
        </w:tc>
        <w:tc>
          <w:tcPr>
            <w:tcW w:w="1134" w:type="dxa"/>
            <w:tcBorders>
              <w:left w:val="single" w:sz="4" w:space="0" w:color="auto"/>
              <w:bottom w:val="single" w:sz="4" w:space="0" w:color="auto"/>
              <w:right w:val="single" w:sz="4" w:space="0" w:color="auto"/>
            </w:tcBorders>
          </w:tcPr>
          <w:p w14:paraId="4A040FC7" w14:textId="77777777" w:rsidR="00487BC6" w:rsidRPr="000D756E" w:rsidRDefault="00487BC6" w:rsidP="00487BC6">
            <w:pPr>
              <w:jc w:val="right"/>
              <w:rPr>
                <w:rFonts w:ascii="Arial" w:hAnsi="Arial" w:cs="Arial"/>
                <w:sz w:val="22"/>
                <w:szCs w:val="22"/>
              </w:rPr>
            </w:pPr>
            <w:r w:rsidRPr="000D756E">
              <w:rPr>
                <w:rFonts w:ascii="Arial" w:hAnsi="Arial" w:cs="Arial"/>
                <w:sz w:val="22"/>
                <w:szCs w:val="22"/>
              </w:rPr>
              <w:t>74</w:t>
            </w:r>
          </w:p>
          <w:p w14:paraId="3FDE213C" w14:textId="18DE19D1" w:rsidR="00487BC6" w:rsidRPr="000D756E" w:rsidRDefault="00487BC6" w:rsidP="00487BC6">
            <w:pPr>
              <w:jc w:val="right"/>
              <w:rPr>
                <w:rFonts w:ascii="Arial" w:hAnsi="Arial" w:cs="Arial"/>
                <w:sz w:val="22"/>
                <w:szCs w:val="22"/>
              </w:rPr>
            </w:pPr>
            <w:r w:rsidRPr="000D756E">
              <w:rPr>
                <w:rFonts w:ascii="Arial" w:hAnsi="Arial" w:cs="Arial"/>
                <w:sz w:val="22"/>
                <w:szCs w:val="22"/>
              </w:rPr>
              <w:t>27</w:t>
            </w:r>
          </w:p>
        </w:tc>
        <w:tc>
          <w:tcPr>
            <w:tcW w:w="1134" w:type="dxa"/>
            <w:tcBorders>
              <w:left w:val="single" w:sz="4" w:space="0" w:color="auto"/>
              <w:bottom w:val="single" w:sz="4" w:space="0" w:color="auto"/>
              <w:right w:val="single" w:sz="4" w:space="0" w:color="auto"/>
            </w:tcBorders>
          </w:tcPr>
          <w:p w14:paraId="5067B53D" w14:textId="77777777" w:rsidR="00487BC6" w:rsidRDefault="00452F74" w:rsidP="00487BC6">
            <w:pPr>
              <w:jc w:val="right"/>
              <w:rPr>
                <w:rFonts w:ascii="Arial" w:hAnsi="Arial" w:cs="Arial"/>
                <w:sz w:val="22"/>
                <w:szCs w:val="22"/>
              </w:rPr>
            </w:pPr>
            <w:r>
              <w:rPr>
                <w:rFonts w:ascii="Arial" w:hAnsi="Arial" w:cs="Arial"/>
                <w:sz w:val="22"/>
                <w:szCs w:val="22"/>
              </w:rPr>
              <w:t>7,250</w:t>
            </w:r>
          </w:p>
          <w:p w14:paraId="73EB5590" w14:textId="35A0C392" w:rsidR="00452F74" w:rsidRPr="000D756E" w:rsidRDefault="00452F74" w:rsidP="00487BC6">
            <w:pPr>
              <w:jc w:val="right"/>
              <w:rPr>
                <w:rFonts w:ascii="Arial" w:hAnsi="Arial" w:cs="Arial"/>
                <w:sz w:val="22"/>
                <w:szCs w:val="22"/>
              </w:rPr>
            </w:pPr>
            <w:r>
              <w:rPr>
                <w:rFonts w:ascii="Arial" w:hAnsi="Arial" w:cs="Arial"/>
                <w:sz w:val="22"/>
                <w:szCs w:val="22"/>
              </w:rPr>
              <w:t>0</w:t>
            </w:r>
          </w:p>
        </w:tc>
        <w:tc>
          <w:tcPr>
            <w:tcW w:w="1134" w:type="dxa"/>
            <w:tcBorders>
              <w:left w:val="single" w:sz="4" w:space="0" w:color="auto"/>
              <w:bottom w:val="single" w:sz="4" w:space="0" w:color="auto"/>
              <w:right w:val="single" w:sz="4" w:space="0" w:color="auto"/>
            </w:tcBorders>
          </w:tcPr>
          <w:p w14:paraId="263E7298" w14:textId="38D45161" w:rsidR="00487BC6" w:rsidRPr="000D756E" w:rsidRDefault="00D442AC" w:rsidP="00487BC6">
            <w:pPr>
              <w:jc w:val="right"/>
              <w:rPr>
                <w:rFonts w:ascii="Arial" w:hAnsi="Arial" w:cs="Arial"/>
                <w:sz w:val="22"/>
                <w:szCs w:val="22"/>
              </w:rPr>
            </w:pPr>
            <w:r>
              <w:rPr>
                <w:rFonts w:ascii="Arial" w:hAnsi="Arial" w:cs="Arial"/>
                <w:sz w:val="22"/>
                <w:szCs w:val="22"/>
              </w:rPr>
              <w:t>968</w:t>
            </w:r>
          </w:p>
        </w:tc>
        <w:tc>
          <w:tcPr>
            <w:tcW w:w="1134" w:type="dxa"/>
            <w:tcBorders>
              <w:left w:val="single" w:sz="4" w:space="0" w:color="auto"/>
              <w:bottom w:val="single" w:sz="4" w:space="0" w:color="auto"/>
              <w:right w:val="single" w:sz="4" w:space="0" w:color="auto"/>
            </w:tcBorders>
          </w:tcPr>
          <w:p w14:paraId="44BEFFAB" w14:textId="58CEE9EC" w:rsidR="00487BC6" w:rsidRPr="000D756E" w:rsidRDefault="00487BC6" w:rsidP="00487BC6">
            <w:pPr>
              <w:jc w:val="right"/>
              <w:rPr>
                <w:rFonts w:ascii="Arial" w:hAnsi="Arial" w:cs="Arial"/>
                <w:sz w:val="22"/>
                <w:szCs w:val="22"/>
              </w:rPr>
            </w:pPr>
          </w:p>
        </w:tc>
        <w:tc>
          <w:tcPr>
            <w:tcW w:w="1134" w:type="dxa"/>
            <w:tcBorders>
              <w:left w:val="single" w:sz="4" w:space="0" w:color="auto"/>
              <w:bottom w:val="single" w:sz="4" w:space="0" w:color="auto"/>
              <w:right w:val="single" w:sz="4" w:space="0" w:color="auto"/>
            </w:tcBorders>
          </w:tcPr>
          <w:p w14:paraId="6E6323C7" w14:textId="0BD062F4" w:rsidR="00487BC6" w:rsidRPr="000D756E" w:rsidRDefault="00487BC6" w:rsidP="00487BC6">
            <w:pPr>
              <w:jc w:val="right"/>
              <w:rPr>
                <w:rFonts w:ascii="Arial" w:hAnsi="Arial" w:cs="Arial"/>
                <w:sz w:val="22"/>
                <w:szCs w:val="22"/>
              </w:rPr>
            </w:pPr>
          </w:p>
        </w:tc>
        <w:tc>
          <w:tcPr>
            <w:tcW w:w="1100" w:type="dxa"/>
            <w:tcBorders>
              <w:left w:val="single" w:sz="4" w:space="0" w:color="auto"/>
              <w:bottom w:val="single" w:sz="4" w:space="0" w:color="auto"/>
              <w:right w:val="single" w:sz="4" w:space="0" w:color="auto"/>
            </w:tcBorders>
          </w:tcPr>
          <w:p w14:paraId="658F36DC" w14:textId="77777777" w:rsidR="00487BC6" w:rsidRPr="000D756E" w:rsidRDefault="00487BC6" w:rsidP="00487BC6">
            <w:pPr>
              <w:jc w:val="right"/>
              <w:rPr>
                <w:rFonts w:ascii="Arial" w:hAnsi="Arial" w:cs="Arial"/>
                <w:sz w:val="22"/>
                <w:szCs w:val="22"/>
              </w:rPr>
            </w:pPr>
            <w:r w:rsidRPr="000D756E">
              <w:rPr>
                <w:rFonts w:ascii="Arial" w:hAnsi="Arial" w:cs="Arial"/>
                <w:sz w:val="22"/>
                <w:szCs w:val="22"/>
              </w:rPr>
              <w:t>8,648</w:t>
            </w:r>
          </w:p>
          <w:p w14:paraId="4A998C26" w14:textId="42388C29" w:rsidR="00487BC6" w:rsidRPr="000D756E" w:rsidRDefault="00487BC6" w:rsidP="00487BC6">
            <w:pPr>
              <w:jc w:val="right"/>
              <w:rPr>
                <w:rFonts w:ascii="Arial" w:hAnsi="Arial" w:cs="Arial"/>
                <w:sz w:val="22"/>
                <w:szCs w:val="22"/>
              </w:rPr>
            </w:pPr>
            <w:r w:rsidRPr="000D756E">
              <w:rPr>
                <w:rFonts w:ascii="Arial" w:hAnsi="Arial" w:cs="Arial"/>
                <w:sz w:val="22"/>
                <w:szCs w:val="22"/>
              </w:rPr>
              <w:t>0</w:t>
            </w:r>
          </w:p>
        </w:tc>
      </w:tr>
      <w:tr w:rsidR="00487BC6" w:rsidRPr="000D756E" w14:paraId="01DB20DB" w14:textId="77777777" w:rsidTr="0029624E">
        <w:tc>
          <w:tcPr>
            <w:tcW w:w="2405" w:type="dxa"/>
            <w:tcBorders>
              <w:top w:val="single" w:sz="4" w:space="0" w:color="auto"/>
              <w:left w:val="single" w:sz="4" w:space="0" w:color="auto"/>
              <w:bottom w:val="single" w:sz="4" w:space="0" w:color="auto"/>
              <w:right w:val="single" w:sz="4" w:space="0" w:color="auto"/>
            </w:tcBorders>
          </w:tcPr>
          <w:p w14:paraId="131BC5E0" w14:textId="77777777" w:rsidR="00487BC6" w:rsidRPr="000D756E" w:rsidRDefault="00487BC6" w:rsidP="00487BC6">
            <w:pPr>
              <w:pStyle w:val="Heading7"/>
              <w:rPr>
                <w:rFonts w:cs="Arial"/>
                <w:sz w:val="22"/>
                <w:szCs w:val="22"/>
              </w:rPr>
            </w:pPr>
            <w:r w:rsidRPr="000D756E">
              <w:rPr>
                <w:rFonts w:cs="Arial"/>
                <w:sz w:val="22"/>
                <w:szCs w:val="22"/>
              </w:rPr>
              <w:t>Total Post Employment Benefit Charged to the Surplus or Deficit on the Provision of Services</w:t>
            </w:r>
          </w:p>
        </w:tc>
        <w:tc>
          <w:tcPr>
            <w:tcW w:w="1134" w:type="dxa"/>
            <w:tcBorders>
              <w:top w:val="single" w:sz="4" w:space="0" w:color="auto"/>
              <w:left w:val="single" w:sz="4" w:space="0" w:color="auto"/>
              <w:bottom w:val="single" w:sz="4" w:space="0" w:color="auto"/>
              <w:right w:val="single" w:sz="4" w:space="0" w:color="auto"/>
            </w:tcBorders>
          </w:tcPr>
          <w:p w14:paraId="4B11A779" w14:textId="77777777" w:rsidR="00487BC6" w:rsidRDefault="00487BC6" w:rsidP="00487BC6">
            <w:pPr>
              <w:jc w:val="right"/>
              <w:rPr>
                <w:rFonts w:ascii="Arial" w:hAnsi="Arial" w:cs="Arial"/>
                <w:sz w:val="22"/>
                <w:szCs w:val="22"/>
              </w:rPr>
            </w:pPr>
          </w:p>
          <w:p w14:paraId="592431E5" w14:textId="09DF5BB3" w:rsidR="001A7211" w:rsidRPr="000D756E" w:rsidRDefault="001A7211" w:rsidP="00487BC6">
            <w:pPr>
              <w:jc w:val="right"/>
              <w:rPr>
                <w:rFonts w:ascii="Arial" w:hAnsi="Arial" w:cs="Arial"/>
                <w:sz w:val="22"/>
                <w:szCs w:val="22"/>
              </w:rPr>
            </w:pPr>
            <w:r>
              <w:rPr>
                <w:rFonts w:ascii="Arial" w:hAnsi="Arial" w:cs="Arial"/>
                <w:sz w:val="22"/>
                <w:szCs w:val="22"/>
              </w:rPr>
              <w:t>589</w:t>
            </w:r>
          </w:p>
        </w:tc>
        <w:tc>
          <w:tcPr>
            <w:tcW w:w="1134" w:type="dxa"/>
            <w:tcBorders>
              <w:top w:val="single" w:sz="4" w:space="0" w:color="auto"/>
              <w:left w:val="single" w:sz="4" w:space="0" w:color="auto"/>
              <w:bottom w:val="single" w:sz="4" w:space="0" w:color="auto"/>
              <w:right w:val="single" w:sz="4" w:space="0" w:color="auto"/>
            </w:tcBorders>
          </w:tcPr>
          <w:p w14:paraId="280DBA55" w14:textId="77777777" w:rsidR="00487BC6" w:rsidRPr="000D756E" w:rsidRDefault="00487BC6" w:rsidP="00487BC6">
            <w:pPr>
              <w:jc w:val="right"/>
              <w:rPr>
                <w:rFonts w:ascii="Arial" w:hAnsi="Arial" w:cs="Arial"/>
                <w:sz w:val="22"/>
                <w:szCs w:val="22"/>
              </w:rPr>
            </w:pPr>
          </w:p>
          <w:p w14:paraId="42D63DCC" w14:textId="31B228DE" w:rsidR="00487BC6" w:rsidRPr="000D756E" w:rsidRDefault="00487BC6" w:rsidP="00487BC6">
            <w:pPr>
              <w:jc w:val="right"/>
              <w:rPr>
                <w:rFonts w:ascii="Arial" w:hAnsi="Arial" w:cs="Arial"/>
                <w:sz w:val="22"/>
                <w:szCs w:val="22"/>
              </w:rPr>
            </w:pPr>
            <w:r w:rsidRPr="000D756E">
              <w:rPr>
                <w:rFonts w:ascii="Arial" w:hAnsi="Arial" w:cs="Arial"/>
                <w:sz w:val="22"/>
                <w:szCs w:val="22"/>
              </w:rPr>
              <w:t>686</w:t>
            </w:r>
          </w:p>
        </w:tc>
        <w:tc>
          <w:tcPr>
            <w:tcW w:w="1134" w:type="dxa"/>
            <w:tcBorders>
              <w:top w:val="single" w:sz="4" w:space="0" w:color="auto"/>
              <w:left w:val="single" w:sz="4" w:space="0" w:color="auto"/>
              <w:bottom w:val="single" w:sz="4" w:space="0" w:color="auto"/>
              <w:right w:val="single" w:sz="4" w:space="0" w:color="auto"/>
            </w:tcBorders>
          </w:tcPr>
          <w:p w14:paraId="65D4BF34" w14:textId="77777777" w:rsidR="00487BC6" w:rsidRDefault="00487BC6" w:rsidP="00487BC6">
            <w:pPr>
              <w:jc w:val="right"/>
              <w:rPr>
                <w:rFonts w:ascii="Arial" w:hAnsi="Arial" w:cs="Arial"/>
                <w:sz w:val="22"/>
                <w:szCs w:val="22"/>
              </w:rPr>
            </w:pPr>
          </w:p>
          <w:p w14:paraId="1684E405" w14:textId="4B0EBB74" w:rsidR="00452F74" w:rsidRPr="000D756E" w:rsidRDefault="00452F74" w:rsidP="00487BC6">
            <w:pPr>
              <w:jc w:val="right"/>
              <w:rPr>
                <w:rFonts w:ascii="Arial" w:hAnsi="Arial" w:cs="Arial"/>
                <w:sz w:val="22"/>
                <w:szCs w:val="22"/>
              </w:rPr>
            </w:pPr>
            <w:r>
              <w:rPr>
                <w:rFonts w:ascii="Arial" w:hAnsi="Arial" w:cs="Arial"/>
                <w:sz w:val="22"/>
                <w:szCs w:val="22"/>
              </w:rPr>
              <w:t>7,598</w:t>
            </w:r>
          </w:p>
        </w:tc>
        <w:tc>
          <w:tcPr>
            <w:tcW w:w="1134" w:type="dxa"/>
            <w:tcBorders>
              <w:top w:val="single" w:sz="4" w:space="0" w:color="auto"/>
              <w:left w:val="single" w:sz="4" w:space="0" w:color="auto"/>
              <w:bottom w:val="single" w:sz="4" w:space="0" w:color="auto"/>
              <w:right w:val="single" w:sz="4" w:space="0" w:color="auto"/>
            </w:tcBorders>
          </w:tcPr>
          <w:p w14:paraId="5115EDDF" w14:textId="77777777" w:rsidR="00487BC6" w:rsidRDefault="00487BC6" w:rsidP="00487BC6">
            <w:pPr>
              <w:jc w:val="right"/>
              <w:rPr>
                <w:rFonts w:ascii="Arial" w:hAnsi="Arial" w:cs="Arial"/>
                <w:sz w:val="22"/>
                <w:szCs w:val="22"/>
              </w:rPr>
            </w:pPr>
          </w:p>
          <w:p w14:paraId="537BA825" w14:textId="15B28AC2" w:rsidR="00D442AC" w:rsidRPr="000D756E" w:rsidRDefault="00D442AC" w:rsidP="00487BC6">
            <w:pPr>
              <w:jc w:val="right"/>
              <w:rPr>
                <w:rFonts w:ascii="Arial" w:hAnsi="Arial" w:cs="Arial"/>
                <w:sz w:val="22"/>
                <w:szCs w:val="22"/>
              </w:rPr>
            </w:pPr>
            <w:r>
              <w:rPr>
                <w:rFonts w:ascii="Arial" w:hAnsi="Arial" w:cs="Arial"/>
                <w:sz w:val="22"/>
                <w:szCs w:val="22"/>
              </w:rPr>
              <w:t>1,681</w:t>
            </w:r>
          </w:p>
        </w:tc>
        <w:tc>
          <w:tcPr>
            <w:tcW w:w="1134" w:type="dxa"/>
            <w:tcBorders>
              <w:top w:val="single" w:sz="4" w:space="0" w:color="auto"/>
              <w:left w:val="single" w:sz="4" w:space="0" w:color="auto"/>
              <w:bottom w:val="single" w:sz="4" w:space="0" w:color="auto"/>
              <w:right w:val="single" w:sz="4" w:space="0" w:color="auto"/>
            </w:tcBorders>
          </w:tcPr>
          <w:p w14:paraId="59C3D8C3" w14:textId="782B9B24" w:rsidR="00487BC6" w:rsidRPr="000D756E" w:rsidRDefault="00487BC6" w:rsidP="00487BC6">
            <w:pPr>
              <w:jc w:val="right"/>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42F4629" w14:textId="415AF992" w:rsidR="00487BC6" w:rsidRPr="000D756E" w:rsidRDefault="00487BC6" w:rsidP="00487BC6">
            <w:pPr>
              <w:jc w:val="right"/>
              <w:rPr>
                <w:rFonts w:ascii="Arial" w:hAnsi="Arial" w:cs="Arial"/>
                <w:sz w:val="22"/>
                <w:szCs w:val="22"/>
              </w:rPr>
            </w:pPr>
          </w:p>
        </w:tc>
        <w:tc>
          <w:tcPr>
            <w:tcW w:w="1100" w:type="dxa"/>
            <w:tcBorders>
              <w:top w:val="single" w:sz="4" w:space="0" w:color="auto"/>
              <w:left w:val="single" w:sz="4" w:space="0" w:color="auto"/>
              <w:bottom w:val="single" w:sz="4" w:space="0" w:color="auto"/>
              <w:right w:val="single" w:sz="4" w:space="0" w:color="auto"/>
            </w:tcBorders>
          </w:tcPr>
          <w:p w14:paraId="7263088A" w14:textId="77777777" w:rsidR="00487BC6" w:rsidRPr="000D756E" w:rsidRDefault="00487BC6" w:rsidP="00487BC6">
            <w:pPr>
              <w:jc w:val="right"/>
              <w:rPr>
                <w:rFonts w:ascii="Arial" w:hAnsi="Arial" w:cs="Arial"/>
                <w:sz w:val="22"/>
                <w:szCs w:val="22"/>
              </w:rPr>
            </w:pPr>
          </w:p>
          <w:p w14:paraId="21382473" w14:textId="5C4B7F41" w:rsidR="00487BC6" w:rsidRPr="000D756E" w:rsidRDefault="00487BC6" w:rsidP="00487BC6">
            <w:pPr>
              <w:jc w:val="right"/>
              <w:rPr>
                <w:rFonts w:ascii="Arial" w:hAnsi="Arial" w:cs="Arial"/>
                <w:sz w:val="22"/>
                <w:szCs w:val="22"/>
              </w:rPr>
            </w:pPr>
            <w:r w:rsidRPr="000D756E">
              <w:rPr>
                <w:rFonts w:ascii="Arial" w:hAnsi="Arial" w:cs="Arial"/>
                <w:sz w:val="22"/>
                <w:szCs w:val="22"/>
              </w:rPr>
              <w:t>11,135</w:t>
            </w:r>
          </w:p>
        </w:tc>
      </w:tr>
      <w:tr w:rsidR="00487BC6" w:rsidRPr="000D756E" w14:paraId="3035FC88" w14:textId="77777777" w:rsidTr="0029624E">
        <w:tc>
          <w:tcPr>
            <w:tcW w:w="2405" w:type="dxa"/>
            <w:tcBorders>
              <w:left w:val="single" w:sz="4" w:space="0" w:color="auto"/>
              <w:bottom w:val="single" w:sz="4" w:space="0" w:color="auto"/>
              <w:right w:val="single" w:sz="4" w:space="0" w:color="auto"/>
            </w:tcBorders>
          </w:tcPr>
          <w:p w14:paraId="4E881333" w14:textId="77777777" w:rsidR="00487BC6" w:rsidRPr="000D756E" w:rsidRDefault="00487BC6" w:rsidP="00487BC6">
            <w:pPr>
              <w:pStyle w:val="Heading7"/>
              <w:rPr>
                <w:rFonts w:cs="Arial"/>
                <w:b w:val="0"/>
                <w:sz w:val="22"/>
                <w:szCs w:val="22"/>
              </w:rPr>
            </w:pPr>
            <w:r w:rsidRPr="000D756E">
              <w:rPr>
                <w:rFonts w:cs="Arial"/>
                <w:b w:val="0"/>
                <w:sz w:val="22"/>
                <w:szCs w:val="22"/>
              </w:rPr>
              <w:t>Other Post Employment Benefit Charged to the Comprehensive Income and Expenditure Statement:</w:t>
            </w:r>
          </w:p>
          <w:p w14:paraId="55557AB9" w14:textId="77777777" w:rsidR="00487BC6" w:rsidRPr="000D756E" w:rsidRDefault="00487BC6" w:rsidP="00487BC6">
            <w:pPr>
              <w:rPr>
                <w:rFonts w:ascii="Arial" w:hAnsi="Arial" w:cs="Arial"/>
                <w:sz w:val="22"/>
                <w:szCs w:val="22"/>
              </w:rPr>
            </w:pPr>
            <w:r w:rsidRPr="000D756E">
              <w:rPr>
                <w:rFonts w:ascii="Arial" w:hAnsi="Arial" w:cs="Arial"/>
                <w:sz w:val="22"/>
                <w:szCs w:val="22"/>
              </w:rPr>
              <w:t>Remeasurements (assets)</w:t>
            </w:r>
          </w:p>
          <w:p w14:paraId="4B51EAF7" w14:textId="77777777" w:rsidR="00487BC6" w:rsidRPr="000D756E" w:rsidRDefault="00487BC6" w:rsidP="00487BC6">
            <w:pPr>
              <w:rPr>
                <w:rFonts w:ascii="Arial" w:hAnsi="Arial" w:cs="Arial"/>
                <w:sz w:val="22"/>
                <w:szCs w:val="22"/>
              </w:rPr>
            </w:pPr>
            <w:r w:rsidRPr="000D756E">
              <w:rPr>
                <w:rFonts w:ascii="Arial" w:hAnsi="Arial" w:cs="Arial"/>
                <w:sz w:val="22"/>
                <w:szCs w:val="22"/>
              </w:rPr>
              <w:t>Remeasurements (liabilities)</w:t>
            </w:r>
          </w:p>
          <w:p w14:paraId="3CB38782" w14:textId="58BF9B95" w:rsidR="00487BC6" w:rsidRPr="000D756E" w:rsidRDefault="00487BC6" w:rsidP="00487BC6">
            <w:pPr>
              <w:rPr>
                <w:rFonts w:ascii="Arial" w:hAnsi="Arial" w:cs="Arial"/>
                <w:sz w:val="22"/>
                <w:szCs w:val="22"/>
              </w:rPr>
            </w:pPr>
            <w:r w:rsidRPr="000D756E">
              <w:rPr>
                <w:rFonts w:ascii="Arial" w:hAnsi="Arial" w:cs="Arial"/>
                <w:sz w:val="22"/>
                <w:szCs w:val="22"/>
              </w:rPr>
              <w:t>Impact of asset ceiling</w:t>
            </w:r>
          </w:p>
          <w:p w14:paraId="20AFE4D1" w14:textId="77777777" w:rsidR="00487BC6" w:rsidRPr="000D756E" w:rsidRDefault="00487BC6" w:rsidP="00487BC6">
            <w:pPr>
              <w:pStyle w:val="Heading7"/>
              <w:rPr>
                <w:rFonts w:cs="Arial"/>
                <w:b w:val="0"/>
                <w:sz w:val="22"/>
                <w:szCs w:val="22"/>
              </w:rPr>
            </w:pPr>
          </w:p>
        </w:tc>
        <w:tc>
          <w:tcPr>
            <w:tcW w:w="1134" w:type="dxa"/>
            <w:tcBorders>
              <w:left w:val="single" w:sz="4" w:space="0" w:color="auto"/>
              <w:bottom w:val="single" w:sz="4" w:space="0" w:color="auto"/>
              <w:right w:val="single" w:sz="4" w:space="0" w:color="auto"/>
            </w:tcBorders>
          </w:tcPr>
          <w:p w14:paraId="64124ED5" w14:textId="77777777" w:rsidR="00487BC6" w:rsidRDefault="00487BC6" w:rsidP="00487BC6">
            <w:pPr>
              <w:jc w:val="right"/>
              <w:rPr>
                <w:rFonts w:ascii="Arial" w:hAnsi="Arial" w:cs="Arial"/>
                <w:sz w:val="22"/>
                <w:szCs w:val="22"/>
              </w:rPr>
            </w:pPr>
          </w:p>
          <w:p w14:paraId="6A40C5D9" w14:textId="77777777" w:rsidR="001A7211" w:rsidRDefault="001A7211" w:rsidP="00487BC6">
            <w:pPr>
              <w:jc w:val="right"/>
              <w:rPr>
                <w:rFonts w:ascii="Arial" w:hAnsi="Arial" w:cs="Arial"/>
                <w:sz w:val="22"/>
                <w:szCs w:val="22"/>
              </w:rPr>
            </w:pPr>
          </w:p>
          <w:p w14:paraId="7074048F" w14:textId="77777777" w:rsidR="001A7211" w:rsidRDefault="001A7211" w:rsidP="00487BC6">
            <w:pPr>
              <w:jc w:val="right"/>
              <w:rPr>
                <w:rFonts w:ascii="Arial" w:hAnsi="Arial" w:cs="Arial"/>
                <w:sz w:val="22"/>
                <w:szCs w:val="22"/>
              </w:rPr>
            </w:pPr>
          </w:p>
          <w:p w14:paraId="7E22444C" w14:textId="77777777" w:rsidR="001A7211" w:rsidRDefault="001A7211" w:rsidP="00487BC6">
            <w:pPr>
              <w:jc w:val="right"/>
              <w:rPr>
                <w:rFonts w:ascii="Arial" w:hAnsi="Arial" w:cs="Arial"/>
                <w:sz w:val="22"/>
                <w:szCs w:val="22"/>
              </w:rPr>
            </w:pPr>
          </w:p>
          <w:p w14:paraId="228D7B9F" w14:textId="77777777" w:rsidR="001A7211" w:rsidRDefault="001A7211" w:rsidP="00487BC6">
            <w:pPr>
              <w:jc w:val="right"/>
              <w:rPr>
                <w:rFonts w:ascii="Arial" w:hAnsi="Arial" w:cs="Arial"/>
                <w:sz w:val="22"/>
                <w:szCs w:val="22"/>
              </w:rPr>
            </w:pPr>
          </w:p>
          <w:p w14:paraId="3D803160" w14:textId="77777777" w:rsidR="001A7211" w:rsidRDefault="001A7211" w:rsidP="00487BC6">
            <w:pPr>
              <w:jc w:val="right"/>
              <w:rPr>
                <w:rFonts w:ascii="Arial" w:hAnsi="Arial" w:cs="Arial"/>
                <w:sz w:val="22"/>
                <w:szCs w:val="22"/>
              </w:rPr>
            </w:pPr>
          </w:p>
          <w:p w14:paraId="7B7AE6A4" w14:textId="77777777" w:rsidR="001A7211" w:rsidRDefault="001A7211" w:rsidP="00487BC6">
            <w:pPr>
              <w:jc w:val="right"/>
              <w:rPr>
                <w:rFonts w:ascii="Arial" w:hAnsi="Arial" w:cs="Arial"/>
                <w:sz w:val="22"/>
                <w:szCs w:val="22"/>
              </w:rPr>
            </w:pPr>
          </w:p>
          <w:p w14:paraId="7B438E97" w14:textId="77777777" w:rsidR="001A7211" w:rsidRDefault="001A7211" w:rsidP="00487BC6">
            <w:pPr>
              <w:jc w:val="right"/>
              <w:rPr>
                <w:rFonts w:ascii="Arial" w:hAnsi="Arial" w:cs="Arial"/>
                <w:sz w:val="22"/>
                <w:szCs w:val="22"/>
              </w:rPr>
            </w:pPr>
            <w:r>
              <w:rPr>
                <w:rFonts w:ascii="Arial" w:hAnsi="Arial" w:cs="Arial"/>
                <w:sz w:val="22"/>
                <w:szCs w:val="22"/>
              </w:rPr>
              <w:t>-75</w:t>
            </w:r>
          </w:p>
          <w:p w14:paraId="4EDF2D58" w14:textId="77777777" w:rsidR="001A7211" w:rsidRDefault="001A7211" w:rsidP="00487BC6">
            <w:pPr>
              <w:jc w:val="right"/>
              <w:rPr>
                <w:rFonts w:ascii="Arial" w:hAnsi="Arial" w:cs="Arial"/>
                <w:sz w:val="22"/>
                <w:szCs w:val="22"/>
              </w:rPr>
            </w:pPr>
            <w:r>
              <w:rPr>
                <w:rFonts w:ascii="Arial" w:hAnsi="Arial" w:cs="Arial"/>
                <w:sz w:val="22"/>
                <w:szCs w:val="22"/>
              </w:rPr>
              <w:t>-3,392</w:t>
            </w:r>
          </w:p>
          <w:p w14:paraId="13902636" w14:textId="77777777" w:rsidR="001A7211" w:rsidRDefault="001A7211" w:rsidP="00487BC6">
            <w:pPr>
              <w:jc w:val="right"/>
              <w:rPr>
                <w:rFonts w:ascii="Arial" w:hAnsi="Arial" w:cs="Arial"/>
                <w:sz w:val="22"/>
                <w:szCs w:val="22"/>
              </w:rPr>
            </w:pPr>
          </w:p>
          <w:p w14:paraId="2E153030" w14:textId="77777777" w:rsidR="001A7211" w:rsidRDefault="001A7211" w:rsidP="00487BC6">
            <w:pPr>
              <w:jc w:val="right"/>
              <w:rPr>
                <w:rFonts w:ascii="Arial" w:hAnsi="Arial" w:cs="Arial"/>
                <w:sz w:val="22"/>
                <w:szCs w:val="22"/>
              </w:rPr>
            </w:pPr>
          </w:p>
          <w:p w14:paraId="0ABACA19" w14:textId="5ABFDDDB" w:rsidR="001A7211" w:rsidRPr="000D756E" w:rsidRDefault="001A7211" w:rsidP="00487BC6">
            <w:pPr>
              <w:jc w:val="right"/>
              <w:rPr>
                <w:rFonts w:ascii="Arial" w:hAnsi="Arial" w:cs="Arial"/>
                <w:sz w:val="22"/>
                <w:szCs w:val="22"/>
              </w:rPr>
            </w:pPr>
            <w:r>
              <w:rPr>
                <w:rFonts w:ascii="Arial" w:hAnsi="Arial" w:cs="Arial"/>
                <w:sz w:val="22"/>
                <w:szCs w:val="22"/>
              </w:rPr>
              <w:t>3,849</w:t>
            </w:r>
          </w:p>
        </w:tc>
        <w:tc>
          <w:tcPr>
            <w:tcW w:w="1134" w:type="dxa"/>
            <w:tcBorders>
              <w:left w:val="single" w:sz="4" w:space="0" w:color="auto"/>
              <w:bottom w:val="single" w:sz="4" w:space="0" w:color="auto"/>
              <w:right w:val="single" w:sz="4" w:space="0" w:color="auto"/>
            </w:tcBorders>
          </w:tcPr>
          <w:p w14:paraId="389B3120" w14:textId="77777777" w:rsidR="00487BC6" w:rsidRPr="000D756E" w:rsidRDefault="00487BC6" w:rsidP="00487BC6">
            <w:pPr>
              <w:jc w:val="right"/>
              <w:rPr>
                <w:rFonts w:ascii="Arial" w:hAnsi="Arial" w:cs="Arial"/>
                <w:sz w:val="22"/>
                <w:szCs w:val="22"/>
              </w:rPr>
            </w:pPr>
          </w:p>
          <w:p w14:paraId="34B8679A" w14:textId="77777777" w:rsidR="00487BC6" w:rsidRPr="000D756E" w:rsidRDefault="00487BC6" w:rsidP="00487BC6">
            <w:pPr>
              <w:jc w:val="right"/>
              <w:rPr>
                <w:rFonts w:ascii="Arial" w:hAnsi="Arial" w:cs="Arial"/>
                <w:sz w:val="22"/>
                <w:szCs w:val="22"/>
              </w:rPr>
            </w:pPr>
          </w:p>
          <w:p w14:paraId="216B43A8" w14:textId="77777777" w:rsidR="00487BC6" w:rsidRPr="000D756E" w:rsidRDefault="00487BC6" w:rsidP="00487BC6">
            <w:pPr>
              <w:jc w:val="right"/>
              <w:rPr>
                <w:rFonts w:ascii="Arial" w:hAnsi="Arial" w:cs="Arial"/>
                <w:sz w:val="22"/>
                <w:szCs w:val="22"/>
              </w:rPr>
            </w:pPr>
          </w:p>
          <w:p w14:paraId="2B0F4D2A" w14:textId="77777777" w:rsidR="00487BC6" w:rsidRPr="000D756E" w:rsidRDefault="00487BC6" w:rsidP="00487BC6">
            <w:pPr>
              <w:jc w:val="right"/>
              <w:rPr>
                <w:rFonts w:ascii="Arial" w:hAnsi="Arial" w:cs="Arial"/>
                <w:sz w:val="22"/>
                <w:szCs w:val="22"/>
              </w:rPr>
            </w:pPr>
          </w:p>
          <w:p w14:paraId="05100287" w14:textId="77777777" w:rsidR="00487BC6" w:rsidRPr="000D756E" w:rsidRDefault="00487BC6" w:rsidP="00487BC6">
            <w:pPr>
              <w:jc w:val="right"/>
              <w:rPr>
                <w:rFonts w:ascii="Arial" w:hAnsi="Arial" w:cs="Arial"/>
                <w:sz w:val="22"/>
                <w:szCs w:val="22"/>
              </w:rPr>
            </w:pPr>
          </w:p>
          <w:p w14:paraId="523DA658" w14:textId="77777777" w:rsidR="00487BC6" w:rsidRPr="000D756E" w:rsidRDefault="00487BC6" w:rsidP="00487BC6">
            <w:pPr>
              <w:jc w:val="right"/>
              <w:rPr>
                <w:rFonts w:ascii="Arial" w:hAnsi="Arial" w:cs="Arial"/>
                <w:sz w:val="22"/>
                <w:szCs w:val="22"/>
              </w:rPr>
            </w:pPr>
          </w:p>
          <w:p w14:paraId="22236BBE" w14:textId="77777777" w:rsidR="00487BC6" w:rsidRPr="000D756E" w:rsidRDefault="00487BC6" w:rsidP="00487BC6">
            <w:pPr>
              <w:jc w:val="right"/>
              <w:rPr>
                <w:rFonts w:ascii="Arial" w:hAnsi="Arial" w:cs="Arial"/>
                <w:sz w:val="22"/>
                <w:szCs w:val="22"/>
              </w:rPr>
            </w:pPr>
          </w:p>
          <w:p w14:paraId="43E90F78" w14:textId="77777777" w:rsidR="00487BC6" w:rsidRPr="000D756E" w:rsidRDefault="00487BC6" w:rsidP="00487BC6">
            <w:pPr>
              <w:jc w:val="right"/>
              <w:rPr>
                <w:rFonts w:ascii="Arial" w:hAnsi="Arial" w:cs="Arial"/>
                <w:sz w:val="22"/>
                <w:szCs w:val="22"/>
              </w:rPr>
            </w:pPr>
            <w:r w:rsidRPr="000D756E">
              <w:rPr>
                <w:rFonts w:ascii="Arial" w:hAnsi="Arial" w:cs="Arial"/>
                <w:sz w:val="22"/>
                <w:szCs w:val="22"/>
              </w:rPr>
              <w:t>-1,394</w:t>
            </w:r>
          </w:p>
          <w:p w14:paraId="5F035851" w14:textId="77777777" w:rsidR="00487BC6" w:rsidRPr="000D756E" w:rsidRDefault="00487BC6" w:rsidP="00487BC6">
            <w:pPr>
              <w:jc w:val="right"/>
              <w:rPr>
                <w:rFonts w:ascii="Arial" w:hAnsi="Arial" w:cs="Arial"/>
                <w:sz w:val="22"/>
                <w:szCs w:val="22"/>
              </w:rPr>
            </w:pPr>
            <w:r w:rsidRPr="000D756E">
              <w:rPr>
                <w:rFonts w:ascii="Arial" w:hAnsi="Arial" w:cs="Arial"/>
                <w:sz w:val="22"/>
                <w:szCs w:val="22"/>
              </w:rPr>
              <w:t>-847</w:t>
            </w:r>
          </w:p>
          <w:p w14:paraId="1E600095" w14:textId="77777777" w:rsidR="00487BC6" w:rsidRPr="000D756E" w:rsidRDefault="00487BC6" w:rsidP="00487BC6">
            <w:pPr>
              <w:jc w:val="right"/>
              <w:rPr>
                <w:rFonts w:ascii="Arial" w:hAnsi="Arial" w:cs="Arial"/>
                <w:sz w:val="22"/>
                <w:szCs w:val="22"/>
              </w:rPr>
            </w:pPr>
          </w:p>
          <w:p w14:paraId="64030FD8" w14:textId="77777777" w:rsidR="00487BC6" w:rsidRPr="000D756E" w:rsidRDefault="00487BC6" w:rsidP="00487BC6">
            <w:pPr>
              <w:jc w:val="right"/>
              <w:rPr>
                <w:rFonts w:ascii="Arial" w:hAnsi="Arial" w:cs="Arial"/>
                <w:sz w:val="22"/>
                <w:szCs w:val="22"/>
              </w:rPr>
            </w:pPr>
          </w:p>
          <w:p w14:paraId="29A8A117" w14:textId="6483C8C1" w:rsidR="00487BC6" w:rsidRPr="000D756E" w:rsidRDefault="00487BC6" w:rsidP="00487BC6">
            <w:pPr>
              <w:jc w:val="right"/>
              <w:rPr>
                <w:rFonts w:ascii="Arial" w:hAnsi="Arial" w:cs="Arial"/>
                <w:sz w:val="22"/>
                <w:szCs w:val="22"/>
              </w:rPr>
            </w:pPr>
            <w:r w:rsidRPr="000D756E">
              <w:rPr>
                <w:rFonts w:ascii="Arial" w:hAnsi="Arial" w:cs="Arial"/>
                <w:sz w:val="22"/>
                <w:szCs w:val="22"/>
              </w:rPr>
              <w:t>330</w:t>
            </w:r>
          </w:p>
        </w:tc>
        <w:tc>
          <w:tcPr>
            <w:tcW w:w="1134" w:type="dxa"/>
            <w:tcBorders>
              <w:left w:val="single" w:sz="4" w:space="0" w:color="auto"/>
              <w:bottom w:val="single" w:sz="4" w:space="0" w:color="auto"/>
              <w:right w:val="single" w:sz="4" w:space="0" w:color="auto"/>
            </w:tcBorders>
          </w:tcPr>
          <w:p w14:paraId="458CD0FC" w14:textId="77777777" w:rsidR="00487BC6" w:rsidRDefault="00487BC6" w:rsidP="00487BC6">
            <w:pPr>
              <w:jc w:val="right"/>
              <w:rPr>
                <w:rFonts w:ascii="Arial" w:hAnsi="Arial" w:cs="Arial"/>
                <w:sz w:val="22"/>
                <w:szCs w:val="22"/>
              </w:rPr>
            </w:pPr>
          </w:p>
          <w:p w14:paraId="4178DA4D" w14:textId="77777777" w:rsidR="00452F74" w:rsidRDefault="00452F74" w:rsidP="00487BC6">
            <w:pPr>
              <w:jc w:val="right"/>
              <w:rPr>
                <w:rFonts w:ascii="Arial" w:hAnsi="Arial" w:cs="Arial"/>
                <w:sz w:val="22"/>
                <w:szCs w:val="22"/>
              </w:rPr>
            </w:pPr>
          </w:p>
          <w:p w14:paraId="56F9D078" w14:textId="77777777" w:rsidR="00452F74" w:rsidRDefault="00452F74" w:rsidP="00487BC6">
            <w:pPr>
              <w:jc w:val="right"/>
              <w:rPr>
                <w:rFonts w:ascii="Arial" w:hAnsi="Arial" w:cs="Arial"/>
                <w:sz w:val="22"/>
                <w:szCs w:val="22"/>
              </w:rPr>
            </w:pPr>
          </w:p>
          <w:p w14:paraId="72697C12" w14:textId="77777777" w:rsidR="00452F74" w:rsidRDefault="00452F74" w:rsidP="00487BC6">
            <w:pPr>
              <w:jc w:val="right"/>
              <w:rPr>
                <w:rFonts w:ascii="Arial" w:hAnsi="Arial" w:cs="Arial"/>
                <w:sz w:val="22"/>
                <w:szCs w:val="22"/>
              </w:rPr>
            </w:pPr>
          </w:p>
          <w:p w14:paraId="7B378CE8" w14:textId="77777777" w:rsidR="00452F74" w:rsidRDefault="00452F74" w:rsidP="00487BC6">
            <w:pPr>
              <w:jc w:val="right"/>
              <w:rPr>
                <w:rFonts w:ascii="Arial" w:hAnsi="Arial" w:cs="Arial"/>
                <w:sz w:val="22"/>
                <w:szCs w:val="22"/>
              </w:rPr>
            </w:pPr>
          </w:p>
          <w:p w14:paraId="45993D3E" w14:textId="77777777" w:rsidR="00452F74" w:rsidRDefault="00452F74" w:rsidP="00487BC6">
            <w:pPr>
              <w:jc w:val="right"/>
              <w:rPr>
                <w:rFonts w:ascii="Arial" w:hAnsi="Arial" w:cs="Arial"/>
                <w:sz w:val="22"/>
                <w:szCs w:val="22"/>
              </w:rPr>
            </w:pPr>
          </w:p>
          <w:p w14:paraId="0578DEBB" w14:textId="77777777" w:rsidR="00452F74" w:rsidRDefault="00452F74" w:rsidP="00487BC6">
            <w:pPr>
              <w:jc w:val="right"/>
              <w:rPr>
                <w:rFonts w:ascii="Arial" w:hAnsi="Arial" w:cs="Arial"/>
                <w:sz w:val="22"/>
                <w:szCs w:val="22"/>
              </w:rPr>
            </w:pPr>
          </w:p>
          <w:p w14:paraId="2B171F73" w14:textId="77777777" w:rsidR="00452F74" w:rsidRDefault="00452F74" w:rsidP="00487BC6">
            <w:pPr>
              <w:jc w:val="right"/>
              <w:rPr>
                <w:rFonts w:ascii="Arial" w:hAnsi="Arial" w:cs="Arial"/>
                <w:sz w:val="22"/>
                <w:szCs w:val="22"/>
              </w:rPr>
            </w:pPr>
            <w:r>
              <w:rPr>
                <w:rFonts w:ascii="Arial" w:hAnsi="Arial" w:cs="Arial"/>
                <w:sz w:val="22"/>
                <w:szCs w:val="22"/>
              </w:rPr>
              <w:t>0</w:t>
            </w:r>
          </w:p>
          <w:p w14:paraId="1FB60E80" w14:textId="77777777" w:rsidR="00452F74" w:rsidRDefault="00452F74" w:rsidP="00487BC6">
            <w:pPr>
              <w:jc w:val="right"/>
              <w:rPr>
                <w:rFonts w:ascii="Arial" w:hAnsi="Arial" w:cs="Arial"/>
                <w:sz w:val="22"/>
                <w:szCs w:val="22"/>
              </w:rPr>
            </w:pPr>
            <w:r>
              <w:rPr>
                <w:rFonts w:ascii="Arial" w:hAnsi="Arial" w:cs="Arial"/>
                <w:sz w:val="22"/>
                <w:szCs w:val="22"/>
              </w:rPr>
              <w:t>18,763</w:t>
            </w:r>
          </w:p>
          <w:p w14:paraId="76A127DF" w14:textId="77777777" w:rsidR="004C0264" w:rsidRDefault="004C0264" w:rsidP="00487BC6">
            <w:pPr>
              <w:jc w:val="right"/>
              <w:rPr>
                <w:rFonts w:ascii="Arial" w:hAnsi="Arial" w:cs="Arial"/>
                <w:sz w:val="22"/>
                <w:szCs w:val="22"/>
              </w:rPr>
            </w:pPr>
          </w:p>
          <w:p w14:paraId="1315D11C" w14:textId="77777777" w:rsidR="004C0264" w:rsidRDefault="004C0264" w:rsidP="00487BC6">
            <w:pPr>
              <w:jc w:val="right"/>
              <w:rPr>
                <w:rFonts w:ascii="Arial" w:hAnsi="Arial" w:cs="Arial"/>
                <w:sz w:val="22"/>
                <w:szCs w:val="22"/>
              </w:rPr>
            </w:pPr>
          </w:p>
          <w:p w14:paraId="4BA50745" w14:textId="77777777" w:rsidR="004C0264" w:rsidRDefault="004C0264" w:rsidP="00487BC6">
            <w:pPr>
              <w:jc w:val="right"/>
              <w:rPr>
                <w:rFonts w:ascii="Arial" w:hAnsi="Arial" w:cs="Arial"/>
                <w:sz w:val="22"/>
                <w:szCs w:val="22"/>
              </w:rPr>
            </w:pPr>
            <w:r>
              <w:rPr>
                <w:rFonts w:ascii="Arial" w:hAnsi="Arial" w:cs="Arial"/>
                <w:sz w:val="22"/>
                <w:szCs w:val="22"/>
              </w:rPr>
              <w:t>0</w:t>
            </w:r>
          </w:p>
          <w:p w14:paraId="3B1B557C" w14:textId="4703ECA6" w:rsidR="004C0264" w:rsidRPr="000D756E" w:rsidRDefault="004C0264" w:rsidP="00487BC6">
            <w:pPr>
              <w:jc w:val="right"/>
              <w:rPr>
                <w:rFonts w:ascii="Arial" w:hAnsi="Arial" w:cs="Arial"/>
                <w:sz w:val="22"/>
                <w:szCs w:val="22"/>
              </w:rPr>
            </w:pPr>
          </w:p>
        </w:tc>
        <w:tc>
          <w:tcPr>
            <w:tcW w:w="1134" w:type="dxa"/>
            <w:tcBorders>
              <w:left w:val="single" w:sz="4" w:space="0" w:color="auto"/>
              <w:bottom w:val="single" w:sz="4" w:space="0" w:color="auto"/>
              <w:right w:val="single" w:sz="4" w:space="0" w:color="auto"/>
            </w:tcBorders>
          </w:tcPr>
          <w:p w14:paraId="7A4ABD37" w14:textId="77777777" w:rsidR="00487BC6" w:rsidRDefault="00487BC6" w:rsidP="00487BC6">
            <w:pPr>
              <w:jc w:val="right"/>
              <w:rPr>
                <w:rFonts w:ascii="Arial" w:hAnsi="Arial" w:cs="Arial"/>
                <w:sz w:val="22"/>
                <w:szCs w:val="22"/>
              </w:rPr>
            </w:pPr>
          </w:p>
          <w:p w14:paraId="4F61BA5F" w14:textId="77777777" w:rsidR="00D442AC" w:rsidRDefault="00D442AC" w:rsidP="00487BC6">
            <w:pPr>
              <w:jc w:val="right"/>
              <w:rPr>
                <w:rFonts w:ascii="Arial" w:hAnsi="Arial" w:cs="Arial"/>
                <w:sz w:val="22"/>
                <w:szCs w:val="22"/>
              </w:rPr>
            </w:pPr>
          </w:p>
          <w:p w14:paraId="393F767F" w14:textId="77777777" w:rsidR="00D442AC" w:rsidRDefault="00D442AC" w:rsidP="00487BC6">
            <w:pPr>
              <w:jc w:val="right"/>
              <w:rPr>
                <w:rFonts w:ascii="Arial" w:hAnsi="Arial" w:cs="Arial"/>
                <w:sz w:val="22"/>
                <w:szCs w:val="22"/>
              </w:rPr>
            </w:pPr>
          </w:p>
          <w:p w14:paraId="08AE6508" w14:textId="77777777" w:rsidR="00D442AC" w:rsidRDefault="00D442AC" w:rsidP="00487BC6">
            <w:pPr>
              <w:jc w:val="right"/>
              <w:rPr>
                <w:rFonts w:ascii="Arial" w:hAnsi="Arial" w:cs="Arial"/>
                <w:sz w:val="22"/>
                <w:szCs w:val="22"/>
              </w:rPr>
            </w:pPr>
          </w:p>
          <w:p w14:paraId="6996F59E" w14:textId="77777777" w:rsidR="00D442AC" w:rsidRDefault="00D442AC" w:rsidP="00487BC6">
            <w:pPr>
              <w:jc w:val="right"/>
              <w:rPr>
                <w:rFonts w:ascii="Arial" w:hAnsi="Arial" w:cs="Arial"/>
                <w:sz w:val="22"/>
                <w:szCs w:val="22"/>
              </w:rPr>
            </w:pPr>
          </w:p>
          <w:p w14:paraId="0ECB58C6" w14:textId="77777777" w:rsidR="00D442AC" w:rsidRDefault="00D442AC" w:rsidP="00487BC6">
            <w:pPr>
              <w:jc w:val="right"/>
              <w:rPr>
                <w:rFonts w:ascii="Arial" w:hAnsi="Arial" w:cs="Arial"/>
                <w:sz w:val="22"/>
                <w:szCs w:val="22"/>
              </w:rPr>
            </w:pPr>
          </w:p>
          <w:p w14:paraId="2CD2D912" w14:textId="77777777" w:rsidR="00D442AC" w:rsidRDefault="00D442AC" w:rsidP="00487BC6">
            <w:pPr>
              <w:jc w:val="right"/>
              <w:rPr>
                <w:rFonts w:ascii="Arial" w:hAnsi="Arial" w:cs="Arial"/>
                <w:sz w:val="22"/>
                <w:szCs w:val="22"/>
              </w:rPr>
            </w:pPr>
          </w:p>
          <w:p w14:paraId="5B3CB8AE" w14:textId="77777777" w:rsidR="00D442AC" w:rsidRDefault="00D442AC" w:rsidP="00487BC6">
            <w:pPr>
              <w:jc w:val="right"/>
              <w:rPr>
                <w:rFonts w:ascii="Arial" w:hAnsi="Arial" w:cs="Arial"/>
                <w:sz w:val="22"/>
                <w:szCs w:val="22"/>
              </w:rPr>
            </w:pPr>
            <w:r>
              <w:rPr>
                <w:rFonts w:ascii="Arial" w:hAnsi="Arial" w:cs="Arial"/>
                <w:sz w:val="22"/>
                <w:szCs w:val="22"/>
              </w:rPr>
              <w:t>0</w:t>
            </w:r>
          </w:p>
          <w:p w14:paraId="65F60F7E" w14:textId="77777777" w:rsidR="00D442AC" w:rsidRDefault="00D442AC" w:rsidP="00487BC6">
            <w:pPr>
              <w:jc w:val="right"/>
              <w:rPr>
                <w:rFonts w:ascii="Arial" w:hAnsi="Arial" w:cs="Arial"/>
                <w:sz w:val="22"/>
                <w:szCs w:val="22"/>
              </w:rPr>
            </w:pPr>
            <w:r>
              <w:rPr>
                <w:rFonts w:ascii="Arial" w:hAnsi="Arial" w:cs="Arial"/>
                <w:sz w:val="22"/>
                <w:szCs w:val="22"/>
              </w:rPr>
              <w:t>4,283</w:t>
            </w:r>
          </w:p>
          <w:p w14:paraId="1915D0A2" w14:textId="77777777" w:rsidR="00D442AC" w:rsidRDefault="00D442AC" w:rsidP="00487BC6">
            <w:pPr>
              <w:jc w:val="right"/>
              <w:rPr>
                <w:rFonts w:ascii="Arial" w:hAnsi="Arial" w:cs="Arial"/>
                <w:sz w:val="22"/>
                <w:szCs w:val="22"/>
              </w:rPr>
            </w:pPr>
          </w:p>
          <w:p w14:paraId="73C72DFE" w14:textId="77777777" w:rsidR="00D442AC" w:rsidRDefault="00D442AC" w:rsidP="00487BC6">
            <w:pPr>
              <w:jc w:val="right"/>
              <w:rPr>
                <w:rFonts w:ascii="Arial" w:hAnsi="Arial" w:cs="Arial"/>
                <w:sz w:val="22"/>
                <w:szCs w:val="22"/>
              </w:rPr>
            </w:pPr>
          </w:p>
          <w:p w14:paraId="5F9ECEFF" w14:textId="3B3C58FE" w:rsidR="00D442AC" w:rsidRPr="000D756E" w:rsidRDefault="00D442AC" w:rsidP="00487BC6">
            <w:pPr>
              <w:jc w:val="right"/>
              <w:rPr>
                <w:rFonts w:ascii="Arial" w:hAnsi="Arial" w:cs="Arial"/>
                <w:sz w:val="22"/>
                <w:szCs w:val="22"/>
              </w:rPr>
            </w:pPr>
            <w:r>
              <w:rPr>
                <w:rFonts w:ascii="Arial" w:hAnsi="Arial" w:cs="Arial"/>
                <w:sz w:val="22"/>
                <w:szCs w:val="22"/>
              </w:rPr>
              <w:t>0</w:t>
            </w:r>
          </w:p>
        </w:tc>
        <w:tc>
          <w:tcPr>
            <w:tcW w:w="1134" w:type="dxa"/>
            <w:tcBorders>
              <w:left w:val="single" w:sz="4" w:space="0" w:color="auto"/>
              <w:bottom w:val="single" w:sz="4" w:space="0" w:color="auto"/>
              <w:right w:val="single" w:sz="4" w:space="0" w:color="auto"/>
            </w:tcBorders>
          </w:tcPr>
          <w:p w14:paraId="3CCCC45E" w14:textId="07DB4F91" w:rsidR="00487BC6" w:rsidRPr="000D756E" w:rsidRDefault="00487BC6" w:rsidP="00487BC6">
            <w:pPr>
              <w:jc w:val="right"/>
              <w:rPr>
                <w:rFonts w:ascii="Arial" w:hAnsi="Arial" w:cs="Arial"/>
                <w:sz w:val="22"/>
                <w:szCs w:val="22"/>
              </w:rPr>
            </w:pPr>
          </w:p>
        </w:tc>
        <w:tc>
          <w:tcPr>
            <w:tcW w:w="1134" w:type="dxa"/>
            <w:tcBorders>
              <w:left w:val="single" w:sz="4" w:space="0" w:color="auto"/>
              <w:bottom w:val="single" w:sz="4" w:space="0" w:color="auto"/>
              <w:right w:val="single" w:sz="4" w:space="0" w:color="auto"/>
            </w:tcBorders>
          </w:tcPr>
          <w:p w14:paraId="5EABD357" w14:textId="3EC94EA8" w:rsidR="00487BC6" w:rsidRPr="000D756E" w:rsidRDefault="00487BC6" w:rsidP="00487BC6">
            <w:pPr>
              <w:jc w:val="right"/>
              <w:rPr>
                <w:rFonts w:ascii="Arial" w:hAnsi="Arial" w:cs="Arial"/>
                <w:sz w:val="22"/>
                <w:szCs w:val="22"/>
              </w:rPr>
            </w:pPr>
          </w:p>
        </w:tc>
        <w:tc>
          <w:tcPr>
            <w:tcW w:w="1100" w:type="dxa"/>
            <w:tcBorders>
              <w:left w:val="single" w:sz="4" w:space="0" w:color="auto"/>
              <w:bottom w:val="single" w:sz="4" w:space="0" w:color="auto"/>
              <w:right w:val="single" w:sz="4" w:space="0" w:color="auto"/>
            </w:tcBorders>
          </w:tcPr>
          <w:p w14:paraId="46A08DF2" w14:textId="77777777" w:rsidR="00487BC6" w:rsidRPr="000D756E" w:rsidRDefault="00487BC6" w:rsidP="00487BC6">
            <w:pPr>
              <w:jc w:val="right"/>
              <w:rPr>
                <w:rFonts w:ascii="Arial" w:hAnsi="Arial" w:cs="Arial"/>
                <w:sz w:val="22"/>
                <w:szCs w:val="22"/>
              </w:rPr>
            </w:pPr>
          </w:p>
          <w:p w14:paraId="187246B9" w14:textId="77777777" w:rsidR="00487BC6" w:rsidRPr="000D756E" w:rsidRDefault="00487BC6" w:rsidP="00487BC6">
            <w:pPr>
              <w:jc w:val="right"/>
              <w:rPr>
                <w:rFonts w:ascii="Arial" w:hAnsi="Arial" w:cs="Arial"/>
                <w:sz w:val="22"/>
                <w:szCs w:val="22"/>
              </w:rPr>
            </w:pPr>
          </w:p>
          <w:p w14:paraId="730FD775" w14:textId="77777777" w:rsidR="00487BC6" w:rsidRPr="000D756E" w:rsidRDefault="00487BC6" w:rsidP="00487BC6">
            <w:pPr>
              <w:jc w:val="right"/>
              <w:rPr>
                <w:rFonts w:ascii="Arial" w:hAnsi="Arial" w:cs="Arial"/>
                <w:sz w:val="22"/>
                <w:szCs w:val="22"/>
              </w:rPr>
            </w:pPr>
          </w:p>
          <w:p w14:paraId="41C9A2CF" w14:textId="77777777" w:rsidR="00487BC6" w:rsidRPr="000D756E" w:rsidRDefault="00487BC6" w:rsidP="00487BC6">
            <w:pPr>
              <w:jc w:val="right"/>
              <w:rPr>
                <w:rFonts w:ascii="Arial" w:hAnsi="Arial" w:cs="Arial"/>
                <w:sz w:val="22"/>
                <w:szCs w:val="22"/>
              </w:rPr>
            </w:pPr>
          </w:p>
          <w:p w14:paraId="6F77AA0D" w14:textId="77777777" w:rsidR="00487BC6" w:rsidRPr="000D756E" w:rsidRDefault="00487BC6" w:rsidP="00487BC6">
            <w:pPr>
              <w:jc w:val="right"/>
              <w:rPr>
                <w:rFonts w:ascii="Arial" w:hAnsi="Arial" w:cs="Arial"/>
                <w:sz w:val="22"/>
                <w:szCs w:val="22"/>
              </w:rPr>
            </w:pPr>
          </w:p>
          <w:p w14:paraId="5CC3A02B" w14:textId="77777777" w:rsidR="00487BC6" w:rsidRPr="000D756E" w:rsidRDefault="00487BC6" w:rsidP="00487BC6">
            <w:pPr>
              <w:jc w:val="right"/>
              <w:rPr>
                <w:rFonts w:ascii="Arial" w:hAnsi="Arial" w:cs="Arial"/>
                <w:sz w:val="22"/>
                <w:szCs w:val="22"/>
              </w:rPr>
            </w:pPr>
          </w:p>
          <w:p w14:paraId="57E47DBE" w14:textId="77777777" w:rsidR="00487BC6" w:rsidRPr="000D756E" w:rsidRDefault="00487BC6" w:rsidP="00487BC6">
            <w:pPr>
              <w:jc w:val="right"/>
              <w:rPr>
                <w:rFonts w:ascii="Arial" w:hAnsi="Arial" w:cs="Arial"/>
                <w:sz w:val="22"/>
                <w:szCs w:val="22"/>
              </w:rPr>
            </w:pPr>
          </w:p>
          <w:p w14:paraId="73B8BFFB" w14:textId="77777777" w:rsidR="00487BC6" w:rsidRPr="000D756E" w:rsidRDefault="00487BC6" w:rsidP="00487BC6">
            <w:pPr>
              <w:jc w:val="right"/>
              <w:rPr>
                <w:rFonts w:ascii="Arial" w:hAnsi="Arial" w:cs="Arial"/>
                <w:sz w:val="22"/>
                <w:szCs w:val="22"/>
              </w:rPr>
            </w:pPr>
          </w:p>
          <w:p w14:paraId="11A9F7D9" w14:textId="77777777" w:rsidR="00487BC6" w:rsidRPr="000D756E" w:rsidRDefault="00487BC6" w:rsidP="00487BC6">
            <w:pPr>
              <w:jc w:val="right"/>
              <w:rPr>
                <w:rFonts w:ascii="Arial" w:hAnsi="Arial" w:cs="Arial"/>
                <w:sz w:val="22"/>
                <w:szCs w:val="22"/>
              </w:rPr>
            </w:pPr>
            <w:r w:rsidRPr="000D756E">
              <w:rPr>
                <w:rFonts w:ascii="Arial" w:hAnsi="Arial" w:cs="Arial"/>
                <w:sz w:val="22"/>
                <w:szCs w:val="22"/>
              </w:rPr>
              <w:t>-5,494</w:t>
            </w:r>
          </w:p>
          <w:p w14:paraId="4095F674" w14:textId="77777777" w:rsidR="00487BC6" w:rsidRPr="000D756E" w:rsidRDefault="00487BC6" w:rsidP="00487BC6">
            <w:pPr>
              <w:jc w:val="right"/>
              <w:rPr>
                <w:rFonts w:ascii="Arial" w:hAnsi="Arial" w:cs="Arial"/>
                <w:sz w:val="22"/>
                <w:szCs w:val="22"/>
              </w:rPr>
            </w:pPr>
          </w:p>
          <w:p w14:paraId="541CA9F0" w14:textId="77777777" w:rsidR="00487BC6" w:rsidRPr="000D756E" w:rsidRDefault="00487BC6" w:rsidP="00487BC6">
            <w:pPr>
              <w:jc w:val="right"/>
              <w:rPr>
                <w:rFonts w:ascii="Arial" w:hAnsi="Arial" w:cs="Arial"/>
                <w:sz w:val="22"/>
                <w:szCs w:val="22"/>
              </w:rPr>
            </w:pPr>
          </w:p>
          <w:p w14:paraId="0ED22DDC" w14:textId="6AB0484F" w:rsidR="00487BC6" w:rsidRPr="000D756E" w:rsidRDefault="00487BC6" w:rsidP="00487BC6">
            <w:pPr>
              <w:jc w:val="right"/>
              <w:rPr>
                <w:rFonts w:ascii="Arial" w:hAnsi="Arial" w:cs="Arial"/>
                <w:sz w:val="22"/>
                <w:szCs w:val="22"/>
              </w:rPr>
            </w:pPr>
            <w:r w:rsidRPr="000D756E">
              <w:rPr>
                <w:rFonts w:ascii="Arial" w:hAnsi="Arial" w:cs="Arial"/>
                <w:sz w:val="22"/>
                <w:szCs w:val="22"/>
              </w:rPr>
              <w:t>0</w:t>
            </w:r>
          </w:p>
        </w:tc>
      </w:tr>
      <w:tr w:rsidR="00487BC6" w:rsidRPr="000D756E" w14:paraId="74E0D3BC" w14:textId="77777777" w:rsidTr="0029624E">
        <w:tc>
          <w:tcPr>
            <w:tcW w:w="2405" w:type="dxa"/>
            <w:tcBorders>
              <w:top w:val="single" w:sz="4" w:space="0" w:color="auto"/>
              <w:left w:val="single" w:sz="4" w:space="0" w:color="auto"/>
              <w:bottom w:val="single" w:sz="4" w:space="0" w:color="auto"/>
              <w:right w:val="single" w:sz="4" w:space="0" w:color="auto"/>
            </w:tcBorders>
          </w:tcPr>
          <w:p w14:paraId="2225BC4F" w14:textId="77777777" w:rsidR="00487BC6" w:rsidRPr="000D756E" w:rsidRDefault="00487BC6" w:rsidP="00487BC6">
            <w:pPr>
              <w:pStyle w:val="Heading7"/>
              <w:rPr>
                <w:rFonts w:cs="Arial"/>
                <w:sz w:val="22"/>
                <w:szCs w:val="22"/>
              </w:rPr>
            </w:pPr>
            <w:r w:rsidRPr="000D756E">
              <w:rPr>
                <w:rFonts w:cs="Arial"/>
                <w:sz w:val="22"/>
                <w:szCs w:val="22"/>
              </w:rPr>
              <w:t>Total Post Employment Benefit Charged to the Comprehensive Income and Expenditure Statement</w:t>
            </w:r>
          </w:p>
        </w:tc>
        <w:tc>
          <w:tcPr>
            <w:tcW w:w="1134" w:type="dxa"/>
            <w:tcBorders>
              <w:top w:val="single" w:sz="4" w:space="0" w:color="auto"/>
              <w:left w:val="single" w:sz="4" w:space="0" w:color="auto"/>
              <w:bottom w:val="single" w:sz="4" w:space="0" w:color="auto"/>
              <w:right w:val="single" w:sz="4" w:space="0" w:color="auto"/>
            </w:tcBorders>
          </w:tcPr>
          <w:p w14:paraId="0DD9C819" w14:textId="77777777" w:rsidR="00487BC6" w:rsidRDefault="00487BC6" w:rsidP="00487BC6">
            <w:pPr>
              <w:jc w:val="right"/>
              <w:rPr>
                <w:rFonts w:ascii="Arial" w:hAnsi="Arial" w:cs="Arial"/>
                <w:sz w:val="22"/>
                <w:szCs w:val="22"/>
              </w:rPr>
            </w:pPr>
          </w:p>
          <w:p w14:paraId="08701C4E" w14:textId="1023A2BD" w:rsidR="001A7211" w:rsidRPr="000D756E" w:rsidRDefault="00DD69DC" w:rsidP="00487BC6">
            <w:pPr>
              <w:jc w:val="right"/>
              <w:rPr>
                <w:rFonts w:ascii="Arial" w:hAnsi="Arial" w:cs="Arial"/>
                <w:sz w:val="22"/>
                <w:szCs w:val="22"/>
              </w:rPr>
            </w:pPr>
            <w:r>
              <w:rPr>
                <w:rFonts w:ascii="Arial" w:hAnsi="Arial" w:cs="Arial"/>
                <w:sz w:val="22"/>
                <w:szCs w:val="22"/>
              </w:rPr>
              <w:t>382</w:t>
            </w:r>
          </w:p>
        </w:tc>
        <w:tc>
          <w:tcPr>
            <w:tcW w:w="1134" w:type="dxa"/>
            <w:tcBorders>
              <w:top w:val="single" w:sz="4" w:space="0" w:color="auto"/>
              <w:left w:val="single" w:sz="4" w:space="0" w:color="auto"/>
              <w:bottom w:val="single" w:sz="4" w:space="0" w:color="auto"/>
              <w:right w:val="single" w:sz="4" w:space="0" w:color="auto"/>
            </w:tcBorders>
          </w:tcPr>
          <w:p w14:paraId="1BB8EFEF" w14:textId="77777777" w:rsidR="00487BC6" w:rsidRPr="000D756E" w:rsidRDefault="00487BC6" w:rsidP="00487BC6">
            <w:pPr>
              <w:jc w:val="right"/>
              <w:rPr>
                <w:rFonts w:ascii="Arial" w:hAnsi="Arial" w:cs="Arial"/>
                <w:sz w:val="22"/>
                <w:szCs w:val="22"/>
              </w:rPr>
            </w:pPr>
          </w:p>
          <w:p w14:paraId="20D96BD5" w14:textId="77777777" w:rsidR="00487BC6" w:rsidRPr="000D756E" w:rsidRDefault="00487BC6" w:rsidP="00487BC6">
            <w:pPr>
              <w:jc w:val="right"/>
              <w:rPr>
                <w:rFonts w:ascii="Arial" w:hAnsi="Arial" w:cs="Arial"/>
                <w:sz w:val="22"/>
                <w:szCs w:val="22"/>
              </w:rPr>
            </w:pPr>
            <w:r w:rsidRPr="000D756E">
              <w:rPr>
                <w:rFonts w:ascii="Arial" w:hAnsi="Arial" w:cs="Arial"/>
                <w:sz w:val="22"/>
                <w:szCs w:val="22"/>
              </w:rPr>
              <w:t>-1,911</w:t>
            </w:r>
          </w:p>
          <w:p w14:paraId="5BFB7E42" w14:textId="2EB9748C" w:rsidR="00487BC6" w:rsidRPr="000D756E" w:rsidRDefault="00487BC6" w:rsidP="00487BC6">
            <w:pPr>
              <w:jc w:val="right"/>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F7FF43" w14:textId="77777777" w:rsidR="00487BC6" w:rsidRDefault="00487BC6" w:rsidP="00487BC6">
            <w:pPr>
              <w:jc w:val="right"/>
              <w:rPr>
                <w:rFonts w:ascii="Arial" w:hAnsi="Arial" w:cs="Arial"/>
                <w:sz w:val="22"/>
                <w:szCs w:val="22"/>
              </w:rPr>
            </w:pPr>
          </w:p>
          <w:p w14:paraId="394C16D9" w14:textId="483DDFC8" w:rsidR="004C0264" w:rsidRPr="000D756E" w:rsidRDefault="004C0264" w:rsidP="00487BC6">
            <w:pPr>
              <w:jc w:val="right"/>
              <w:rPr>
                <w:rFonts w:ascii="Arial" w:hAnsi="Arial" w:cs="Arial"/>
                <w:sz w:val="22"/>
                <w:szCs w:val="22"/>
              </w:rPr>
            </w:pPr>
            <w:r>
              <w:rPr>
                <w:rFonts w:ascii="Arial" w:hAnsi="Arial" w:cs="Arial"/>
                <w:sz w:val="22"/>
                <w:szCs w:val="22"/>
              </w:rPr>
              <w:t>18,763</w:t>
            </w:r>
          </w:p>
        </w:tc>
        <w:tc>
          <w:tcPr>
            <w:tcW w:w="1134" w:type="dxa"/>
            <w:tcBorders>
              <w:top w:val="single" w:sz="4" w:space="0" w:color="auto"/>
              <w:left w:val="single" w:sz="4" w:space="0" w:color="auto"/>
              <w:bottom w:val="single" w:sz="4" w:space="0" w:color="auto"/>
              <w:right w:val="single" w:sz="4" w:space="0" w:color="auto"/>
            </w:tcBorders>
          </w:tcPr>
          <w:p w14:paraId="41A84F97" w14:textId="77777777" w:rsidR="00487BC6" w:rsidRDefault="00487BC6" w:rsidP="00487BC6">
            <w:pPr>
              <w:jc w:val="right"/>
              <w:rPr>
                <w:rFonts w:ascii="Arial" w:hAnsi="Arial" w:cs="Arial"/>
                <w:sz w:val="22"/>
                <w:szCs w:val="22"/>
              </w:rPr>
            </w:pPr>
          </w:p>
          <w:p w14:paraId="48D62C90" w14:textId="1B107F5C" w:rsidR="00D442AC" w:rsidRPr="000D756E" w:rsidRDefault="00D442AC" w:rsidP="00487BC6">
            <w:pPr>
              <w:jc w:val="right"/>
              <w:rPr>
                <w:rFonts w:ascii="Arial" w:hAnsi="Arial" w:cs="Arial"/>
                <w:sz w:val="22"/>
                <w:szCs w:val="22"/>
              </w:rPr>
            </w:pPr>
            <w:r>
              <w:rPr>
                <w:rFonts w:ascii="Arial" w:hAnsi="Arial" w:cs="Arial"/>
                <w:sz w:val="22"/>
                <w:szCs w:val="22"/>
              </w:rPr>
              <w:t>4,283</w:t>
            </w:r>
          </w:p>
        </w:tc>
        <w:tc>
          <w:tcPr>
            <w:tcW w:w="1134" w:type="dxa"/>
            <w:tcBorders>
              <w:top w:val="single" w:sz="4" w:space="0" w:color="auto"/>
              <w:left w:val="single" w:sz="4" w:space="0" w:color="auto"/>
              <w:bottom w:val="single" w:sz="4" w:space="0" w:color="auto"/>
              <w:right w:val="single" w:sz="4" w:space="0" w:color="auto"/>
            </w:tcBorders>
          </w:tcPr>
          <w:p w14:paraId="35620DC8" w14:textId="43E02653" w:rsidR="00487BC6" w:rsidRPr="000D756E" w:rsidRDefault="00487BC6" w:rsidP="00487BC6">
            <w:pPr>
              <w:jc w:val="right"/>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3221352" w14:textId="516B1AD5" w:rsidR="00487BC6" w:rsidRPr="000D756E" w:rsidRDefault="00487BC6" w:rsidP="00487BC6">
            <w:pPr>
              <w:jc w:val="right"/>
              <w:rPr>
                <w:rFonts w:ascii="Arial" w:hAnsi="Arial" w:cs="Arial"/>
                <w:sz w:val="22"/>
                <w:szCs w:val="22"/>
              </w:rPr>
            </w:pPr>
          </w:p>
        </w:tc>
        <w:tc>
          <w:tcPr>
            <w:tcW w:w="1100" w:type="dxa"/>
            <w:tcBorders>
              <w:top w:val="single" w:sz="4" w:space="0" w:color="auto"/>
              <w:left w:val="single" w:sz="4" w:space="0" w:color="auto"/>
              <w:bottom w:val="single" w:sz="4" w:space="0" w:color="auto"/>
              <w:right w:val="single" w:sz="4" w:space="0" w:color="auto"/>
            </w:tcBorders>
          </w:tcPr>
          <w:p w14:paraId="3F6810B1" w14:textId="77777777" w:rsidR="00487BC6" w:rsidRPr="000D756E" w:rsidRDefault="00487BC6" w:rsidP="00487BC6">
            <w:pPr>
              <w:jc w:val="right"/>
              <w:rPr>
                <w:rFonts w:ascii="Arial" w:hAnsi="Arial" w:cs="Arial"/>
                <w:sz w:val="22"/>
                <w:szCs w:val="22"/>
              </w:rPr>
            </w:pPr>
          </w:p>
          <w:p w14:paraId="494EF383" w14:textId="16553337" w:rsidR="00487BC6" w:rsidRPr="000D756E" w:rsidRDefault="00487BC6" w:rsidP="00487BC6">
            <w:pPr>
              <w:jc w:val="right"/>
              <w:rPr>
                <w:rFonts w:ascii="Arial" w:hAnsi="Arial" w:cs="Arial"/>
                <w:sz w:val="22"/>
                <w:szCs w:val="22"/>
              </w:rPr>
            </w:pPr>
            <w:r w:rsidRPr="000D756E">
              <w:rPr>
                <w:rFonts w:ascii="Arial" w:hAnsi="Arial" w:cs="Arial"/>
                <w:sz w:val="22"/>
                <w:szCs w:val="22"/>
              </w:rPr>
              <w:t>-5,494</w:t>
            </w:r>
          </w:p>
        </w:tc>
      </w:tr>
      <w:tr w:rsidR="00487BC6" w:rsidRPr="000D756E" w14:paraId="20E0F0A8" w14:textId="77777777" w:rsidTr="0029624E">
        <w:tc>
          <w:tcPr>
            <w:tcW w:w="2405" w:type="dxa"/>
            <w:tcBorders>
              <w:top w:val="single" w:sz="4" w:space="0" w:color="auto"/>
              <w:left w:val="single" w:sz="4" w:space="0" w:color="auto"/>
              <w:bottom w:val="single" w:sz="4" w:space="0" w:color="auto"/>
              <w:right w:val="single" w:sz="4" w:space="0" w:color="auto"/>
            </w:tcBorders>
          </w:tcPr>
          <w:p w14:paraId="7027C9C2" w14:textId="77777777" w:rsidR="00487BC6" w:rsidRPr="000D756E" w:rsidRDefault="00487BC6" w:rsidP="00487BC6">
            <w:pPr>
              <w:pStyle w:val="Heading7"/>
              <w:rPr>
                <w:rFonts w:cs="Arial"/>
                <w:b w:val="0"/>
                <w:sz w:val="22"/>
                <w:szCs w:val="22"/>
              </w:rPr>
            </w:pPr>
            <w:r w:rsidRPr="000D756E">
              <w:rPr>
                <w:rFonts w:cs="Arial"/>
                <w:sz w:val="22"/>
                <w:szCs w:val="22"/>
              </w:rPr>
              <w:t>Movement in Reserves Statement</w:t>
            </w:r>
          </w:p>
          <w:p w14:paraId="4173F80F" w14:textId="77777777" w:rsidR="00487BC6" w:rsidRPr="000D756E" w:rsidRDefault="00487BC6" w:rsidP="00487BC6">
            <w:pPr>
              <w:pStyle w:val="Heading7"/>
              <w:rPr>
                <w:rFonts w:cs="Arial"/>
                <w:b w:val="0"/>
                <w:sz w:val="22"/>
                <w:szCs w:val="22"/>
              </w:rPr>
            </w:pPr>
            <w:r w:rsidRPr="000D756E">
              <w:rPr>
                <w:rFonts w:cs="Arial"/>
                <w:b w:val="0"/>
                <w:sz w:val="22"/>
                <w:szCs w:val="22"/>
              </w:rPr>
              <w:t>Reversal of net charges made to the Surplus or Deficit for the Provision of Services for post employment benefits in accordance with the Code</w:t>
            </w:r>
          </w:p>
          <w:p w14:paraId="7AD5D652" w14:textId="77777777" w:rsidR="00487BC6" w:rsidRPr="000D756E" w:rsidRDefault="00487BC6" w:rsidP="00487BC6"/>
          <w:p w14:paraId="788BF03C" w14:textId="77777777" w:rsidR="00487BC6" w:rsidRPr="000D756E" w:rsidRDefault="00487BC6" w:rsidP="00487BC6"/>
        </w:tc>
        <w:tc>
          <w:tcPr>
            <w:tcW w:w="1134" w:type="dxa"/>
            <w:tcBorders>
              <w:top w:val="single" w:sz="4" w:space="0" w:color="auto"/>
              <w:left w:val="single" w:sz="4" w:space="0" w:color="auto"/>
              <w:bottom w:val="single" w:sz="4" w:space="0" w:color="auto"/>
              <w:right w:val="single" w:sz="4" w:space="0" w:color="auto"/>
            </w:tcBorders>
          </w:tcPr>
          <w:p w14:paraId="6BF807C7" w14:textId="77777777" w:rsidR="00487BC6" w:rsidRDefault="00487BC6" w:rsidP="00487BC6">
            <w:pPr>
              <w:jc w:val="right"/>
              <w:rPr>
                <w:rFonts w:ascii="Arial" w:hAnsi="Arial" w:cs="Arial"/>
                <w:sz w:val="22"/>
                <w:szCs w:val="22"/>
              </w:rPr>
            </w:pPr>
          </w:p>
          <w:p w14:paraId="6C7E5406" w14:textId="77777777" w:rsidR="00DD69DC" w:rsidRDefault="00DD69DC" w:rsidP="00487BC6">
            <w:pPr>
              <w:jc w:val="right"/>
              <w:rPr>
                <w:rFonts w:ascii="Arial" w:hAnsi="Arial" w:cs="Arial"/>
                <w:sz w:val="22"/>
                <w:szCs w:val="22"/>
              </w:rPr>
            </w:pPr>
          </w:p>
          <w:p w14:paraId="1E71A412" w14:textId="77777777" w:rsidR="00DD69DC" w:rsidRDefault="00DD69DC" w:rsidP="00487BC6">
            <w:pPr>
              <w:jc w:val="right"/>
              <w:rPr>
                <w:rFonts w:ascii="Arial" w:hAnsi="Arial" w:cs="Arial"/>
                <w:sz w:val="22"/>
                <w:szCs w:val="22"/>
              </w:rPr>
            </w:pPr>
          </w:p>
          <w:p w14:paraId="67332248" w14:textId="77777777" w:rsidR="00DD69DC" w:rsidRDefault="00DD69DC" w:rsidP="00487BC6">
            <w:pPr>
              <w:jc w:val="right"/>
              <w:rPr>
                <w:rFonts w:ascii="Arial" w:hAnsi="Arial" w:cs="Arial"/>
                <w:sz w:val="22"/>
                <w:szCs w:val="22"/>
              </w:rPr>
            </w:pPr>
          </w:p>
          <w:p w14:paraId="236F08C1" w14:textId="6FF5D0DB" w:rsidR="00DD69DC" w:rsidRPr="000D756E" w:rsidRDefault="00DD69DC" w:rsidP="00487BC6">
            <w:pPr>
              <w:jc w:val="right"/>
              <w:rPr>
                <w:rFonts w:ascii="Arial" w:hAnsi="Arial" w:cs="Arial"/>
                <w:sz w:val="22"/>
                <w:szCs w:val="22"/>
              </w:rPr>
            </w:pPr>
            <w:r>
              <w:rPr>
                <w:rFonts w:ascii="Arial" w:hAnsi="Arial" w:cs="Arial"/>
                <w:sz w:val="22"/>
                <w:szCs w:val="22"/>
              </w:rPr>
              <w:t>589</w:t>
            </w:r>
          </w:p>
        </w:tc>
        <w:tc>
          <w:tcPr>
            <w:tcW w:w="1134" w:type="dxa"/>
            <w:tcBorders>
              <w:top w:val="single" w:sz="4" w:space="0" w:color="auto"/>
              <w:left w:val="single" w:sz="4" w:space="0" w:color="auto"/>
              <w:bottom w:val="single" w:sz="4" w:space="0" w:color="auto"/>
              <w:right w:val="single" w:sz="4" w:space="0" w:color="auto"/>
            </w:tcBorders>
          </w:tcPr>
          <w:p w14:paraId="40BE475F" w14:textId="77777777" w:rsidR="00487BC6" w:rsidRPr="000D756E" w:rsidRDefault="00487BC6" w:rsidP="00487BC6">
            <w:pPr>
              <w:jc w:val="right"/>
              <w:rPr>
                <w:rFonts w:ascii="Arial" w:hAnsi="Arial" w:cs="Arial"/>
                <w:sz w:val="22"/>
                <w:szCs w:val="22"/>
              </w:rPr>
            </w:pPr>
          </w:p>
          <w:p w14:paraId="5EC4EFA9" w14:textId="77777777" w:rsidR="00487BC6" w:rsidRPr="000D756E" w:rsidRDefault="00487BC6" w:rsidP="00487BC6">
            <w:pPr>
              <w:jc w:val="right"/>
              <w:rPr>
                <w:rFonts w:ascii="Arial" w:hAnsi="Arial" w:cs="Arial"/>
                <w:sz w:val="22"/>
                <w:szCs w:val="22"/>
              </w:rPr>
            </w:pPr>
          </w:p>
          <w:p w14:paraId="442B12AA" w14:textId="77777777" w:rsidR="00487BC6" w:rsidRPr="000D756E" w:rsidRDefault="00487BC6" w:rsidP="00487BC6">
            <w:pPr>
              <w:jc w:val="right"/>
              <w:rPr>
                <w:rFonts w:ascii="Arial" w:hAnsi="Arial" w:cs="Arial"/>
                <w:sz w:val="22"/>
                <w:szCs w:val="22"/>
              </w:rPr>
            </w:pPr>
          </w:p>
          <w:p w14:paraId="4377EFA8" w14:textId="77777777" w:rsidR="00487BC6" w:rsidRPr="000D756E" w:rsidRDefault="00487BC6" w:rsidP="00487BC6">
            <w:pPr>
              <w:jc w:val="right"/>
              <w:rPr>
                <w:rFonts w:ascii="Arial" w:hAnsi="Arial" w:cs="Arial"/>
                <w:sz w:val="22"/>
                <w:szCs w:val="22"/>
              </w:rPr>
            </w:pPr>
          </w:p>
          <w:p w14:paraId="3C87A778" w14:textId="6B31C916" w:rsidR="00487BC6" w:rsidRPr="000D756E" w:rsidRDefault="00487BC6" w:rsidP="00487BC6">
            <w:pPr>
              <w:jc w:val="right"/>
              <w:rPr>
                <w:rFonts w:ascii="Arial" w:hAnsi="Arial" w:cs="Arial"/>
                <w:sz w:val="22"/>
                <w:szCs w:val="22"/>
              </w:rPr>
            </w:pPr>
            <w:r w:rsidRPr="000D756E">
              <w:rPr>
                <w:rFonts w:ascii="Arial" w:hAnsi="Arial" w:cs="Arial"/>
                <w:sz w:val="22"/>
                <w:szCs w:val="22"/>
              </w:rPr>
              <w:t>-686</w:t>
            </w:r>
          </w:p>
        </w:tc>
        <w:tc>
          <w:tcPr>
            <w:tcW w:w="1134" w:type="dxa"/>
            <w:tcBorders>
              <w:top w:val="single" w:sz="4" w:space="0" w:color="auto"/>
              <w:left w:val="single" w:sz="4" w:space="0" w:color="auto"/>
              <w:bottom w:val="single" w:sz="4" w:space="0" w:color="auto"/>
              <w:right w:val="single" w:sz="4" w:space="0" w:color="auto"/>
            </w:tcBorders>
          </w:tcPr>
          <w:p w14:paraId="4B9ECF41" w14:textId="77777777" w:rsidR="00487BC6" w:rsidRDefault="00487BC6" w:rsidP="00487BC6">
            <w:pPr>
              <w:jc w:val="right"/>
              <w:rPr>
                <w:rFonts w:ascii="Arial" w:hAnsi="Arial" w:cs="Arial"/>
                <w:sz w:val="22"/>
                <w:szCs w:val="22"/>
              </w:rPr>
            </w:pPr>
          </w:p>
          <w:p w14:paraId="5BDEDA35" w14:textId="77777777" w:rsidR="004C0264" w:rsidRDefault="004C0264" w:rsidP="00487BC6">
            <w:pPr>
              <w:jc w:val="right"/>
              <w:rPr>
                <w:rFonts w:ascii="Arial" w:hAnsi="Arial" w:cs="Arial"/>
                <w:sz w:val="22"/>
                <w:szCs w:val="22"/>
              </w:rPr>
            </w:pPr>
          </w:p>
          <w:p w14:paraId="5A5A28F8" w14:textId="77777777" w:rsidR="004C0264" w:rsidRDefault="004C0264" w:rsidP="00487BC6">
            <w:pPr>
              <w:jc w:val="right"/>
              <w:rPr>
                <w:rFonts w:ascii="Arial" w:hAnsi="Arial" w:cs="Arial"/>
                <w:sz w:val="22"/>
                <w:szCs w:val="22"/>
              </w:rPr>
            </w:pPr>
          </w:p>
          <w:p w14:paraId="4574AF94" w14:textId="77777777" w:rsidR="004C0264" w:rsidRDefault="004C0264" w:rsidP="00487BC6">
            <w:pPr>
              <w:jc w:val="right"/>
              <w:rPr>
                <w:rFonts w:ascii="Arial" w:hAnsi="Arial" w:cs="Arial"/>
                <w:sz w:val="22"/>
                <w:szCs w:val="22"/>
              </w:rPr>
            </w:pPr>
          </w:p>
          <w:p w14:paraId="3B3EBE9F" w14:textId="5E1041B1" w:rsidR="004C0264" w:rsidRPr="000D756E" w:rsidRDefault="005141E9" w:rsidP="00487BC6">
            <w:pPr>
              <w:jc w:val="right"/>
              <w:rPr>
                <w:rFonts w:ascii="Arial" w:hAnsi="Arial" w:cs="Arial"/>
                <w:sz w:val="22"/>
                <w:szCs w:val="22"/>
              </w:rPr>
            </w:pPr>
            <w:r>
              <w:rPr>
                <w:rFonts w:ascii="Arial" w:hAnsi="Arial" w:cs="Arial"/>
                <w:sz w:val="22"/>
                <w:szCs w:val="22"/>
              </w:rPr>
              <w:t>7,598</w:t>
            </w:r>
          </w:p>
        </w:tc>
        <w:tc>
          <w:tcPr>
            <w:tcW w:w="1134" w:type="dxa"/>
            <w:tcBorders>
              <w:top w:val="single" w:sz="4" w:space="0" w:color="auto"/>
              <w:left w:val="single" w:sz="4" w:space="0" w:color="auto"/>
              <w:bottom w:val="single" w:sz="4" w:space="0" w:color="auto"/>
              <w:right w:val="single" w:sz="4" w:space="0" w:color="auto"/>
            </w:tcBorders>
          </w:tcPr>
          <w:p w14:paraId="11C1C2A9" w14:textId="77777777" w:rsidR="00487BC6" w:rsidRDefault="00487BC6" w:rsidP="00487BC6">
            <w:pPr>
              <w:jc w:val="right"/>
              <w:rPr>
                <w:rFonts w:ascii="Arial" w:hAnsi="Arial" w:cs="Arial"/>
                <w:sz w:val="22"/>
                <w:szCs w:val="22"/>
              </w:rPr>
            </w:pPr>
          </w:p>
          <w:p w14:paraId="58773A19" w14:textId="77777777" w:rsidR="00D442AC" w:rsidRDefault="00D442AC" w:rsidP="00487BC6">
            <w:pPr>
              <w:jc w:val="right"/>
              <w:rPr>
                <w:rFonts w:ascii="Arial" w:hAnsi="Arial" w:cs="Arial"/>
                <w:sz w:val="22"/>
                <w:szCs w:val="22"/>
              </w:rPr>
            </w:pPr>
          </w:p>
          <w:p w14:paraId="274A3C03" w14:textId="77777777" w:rsidR="00D442AC" w:rsidRDefault="00D442AC" w:rsidP="00487BC6">
            <w:pPr>
              <w:jc w:val="right"/>
              <w:rPr>
                <w:rFonts w:ascii="Arial" w:hAnsi="Arial" w:cs="Arial"/>
                <w:sz w:val="22"/>
                <w:szCs w:val="22"/>
              </w:rPr>
            </w:pPr>
          </w:p>
          <w:p w14:paraId="52B74195" w14:textId="77777777" w:rsidR="00D442AC" w:rsidRDefault="00D442AC" w:rsidP="00487BC6">
            <w:pPr>
              <w:jc w:val="right"/>
              <w:rPr>
                <w:rFonts w:ascii="Arial" w:hAnsi="Arial" w:cs="Arial"/>
                <w:sz w:val="22"/>
                <w:szCs w:val="22"/>
              </w:rPr>
            </w:pPr>
          </w:p>
          <w:p w14:paraId="185D0BBF" w14:textId="5F76A75E" w:rsidR="00D442AC" w:rsidRPr="000D756E" w:rsidRDefault="00D442AC" w:rsidP="00487BC6">
            <w:pPr>
              <w:jc w:val="right"/>
              <w:rPr>
                <w:rFonts w:ascii="Arial" w:hAnsi="Arial" w:cs="Arial"/>
                <w:sz w:val="22"/>
                <w:szCs w:val="22"/>
              </w:rPr>
            </w:pPr>
            <w:r>
              <w:rPr>
                <w:rFonts w:ascii="Arial" w:hAnsi="Arial" w:cs="Arial"/>
                <w:sz w:val="22"/>
                <w:szCs w:val="22"/>
              </w:rPr>
              <w:t>1,681</w:t>
            </w:r>
          </w:p>
        </w:tc>
        <w:tc>
          <w:tcPr>
            <w:tcW w:w="1134" w:type="dxa"/>
            <w:tcBorders>
              <w:top w:val="single" w:sz="4" w:space="0" w:color="auto"/>
              <w:left w:val="single" w:sz="4" w:space="0" w:color="auto"/>
              <w:bottom w:val="single" w:sz="4" w:space="0" w:color="auto"/>
              <w:right w:val="single" w:sz="4" w:space="0" w:color="auto"/>
            </w:tcBorders>
          </w:tcPr>
          <w:p w14:paraId="291F96B6" w14:textId="2DA81B09" w:rsidR="00487BC6" w:rsidRPr="000D756E" w:rsidRDefault="00487BC6" w:rsidP="00487BC6">
            <w:pPr>
              <w:jc w:val="right"/>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A7AB697" w14:textId="08BF365A" w:rsidR="00487BC6" w:rsidRPr="000D756E" w:rsidRDefault="00487BC6" w:rsidP="00487BC6">
            <w:pPr>
              <w:jc w:val="right"/>
              <w:rPr>
                <w:rFonts w:ascii="Arial" w:hAnsi="Arial" w:cs="Arial"/>
                <w:sz w:val="22"/>
                <w:szCs w:val="22"/>
              </w:rPr>
            </w:pPr>
          </w:p>
        </w:tc>
        <w:tc>
          <w:tcPr>
            <w:tcW w:w="1100" w:type="dxa"/>
            <w:tcBorders>
              <w:top w:val="single" w:sz="4" w:space="0" w:color="auto"/>
              <w:left w:val="single" w:sz="4" w:space="0" w:color="auto"/>
              <w:bottom w:val="single" w:sz="4" w:space="0" w:color="auto"/>
              <w:right w:val="single" w:sz="4" w:space="0" w:color="auto"/>
            </w:tcBorders>
          </w:tcPr>
          <w:p w14:paraId="0B64E2A9" w14:textId="77777777" w:rsidR="00487BC6" w:rsidRPr="000D756E" w:rsidRDefault="00487BC6" w:rsidP="00487BC6">
            <w:pPr>
              <w:jc w:val="right"/>
              <w:rPr>
                <w:rFonts w:ascii="Arial" w:hAnsi="Arial" w:cs="Arial"/>
                <w:sz w:val="22"/>
                <w:szCs w:val="22"/>
              </w:rPr>
            </w:pPr>
          </w:p>
          <w:p w14:paraId="3858249E" w14:textId="77777777" w:rsidR="00487BC6" w:rsidRPr="000D756E" w:rsidRDefault="00487BC6" w:rsidP="00487BC6">
            <w:pPr>
              <w:jc w:val="right"/>
              <w:rPr>
                <w:rFonts w:ascii="Arial" w:hAnsi="Arial" w:cs="Arial"/>
                <w:sz w:val="22"/>
                <w:szCs w:val="22"/>
              </w:rPr>
            </w:pPr>
          </w:p>
          <w:p w14:paraId="28819638" w14:textId="77777777" w:rsidR="00487BC6" w:rsidRPr="000D756E" w:rsidRDefault="00487BC6" w:rsidP="00487BC6">
            <w:pPr>
              <w:jc w:val="right"/>
              <w:rPr>
                <w:rFonts w:ascii="Arial" w:hAnsi="Arial" w:cs="Arial"/>
                <w:sz w:val="22"/>
                <w:szCs w:val="22"/>
              </w:rPr>
            </w:pPr>
          </w:p>
          <w:p w14:paraId="0E6CAD80" w14:textId="77777777" w:rsidR="00487BC6" w:rsidRPr="000D756E" w:rsidRDefault="00487BC6" w:rsidP="00487BC6">
            <w:pPr>
              <w:jc w:val="right"/>
              <w:rPr>
                <w:rFonts w:ascii="Arial" w:hAnsi="Arial" w:cs="Arial"/>
                <w:sz w:val="22"/>
                <w:szCs w:val="22"/>
              </w:rPr>
            </w:pPr>
          </w:p>
          <w:p w14:paraId="68EE813D" w14:textId="7A48C217" w:rsidR="00487BC6" w:rsidRPr="000D756E" w:rsidRDefault="00487BC6" w:rsidP="00487BC6">
            <w:pPr>
              <w:jc w:val="right"/>
              <w:rPr>
                <w:rFonts w:ascii="Arial" w:hAnsi="Arial" w:cs="Arial"/>
                <w:sz w:val="22"/>
                <w:szCs w:val="22"/>
              </w:rPr>
            </w:pPr>
            <w:r w:rsidRPr="000D756E">
              <w:rPr>
                <w:rFonts w:ascii="Arial" w:hAnsi="Arial" w:cs="Arial"/>
                <w:sz w:val="22"/>
                <w:szCs w:val="22"/>
              </w:rPr>
              <w:t>11,135</w:t>
            </w:r>
          </w:p>
        </w:tc>
      </w:tr>
      <w:tr w:rsidR="00487BC6" w:rsidRPr="000D756E" w14:paraId="583C9961" w14:textId="77777777" w:rsidTr="0029624E">
        <w:tc>
          <w:tcPr>
            <w:tcW w:w="2405" w:type="dxa"/>
            <w:tcBorders>
              <w:top w:val="single" w:sz="4" w:space="0" w:color="auto"/>
              <w:left w:val="single" w:sz="4" w:space="0" w:color="auto"/>
              <w:right w:val="single" w:sz="4" w:space="0" w:color="auto"/>
            </w:tcBorders>
          </w:tcPr>
          <w:p w14:paraId="707D1B4B" w14:textId="77777777" w:rsidR="00487BC6" w:rsidRPr="000D756E" w:rsidRDefault="00487BC6" w:rsidP="00487BC6">
            <w:pPr>
              <w:pStyle w:val="Heading7"/>
              <w:rPr>
                <w:rFonts w:cs="Arial"/>
                <w:sz w:val="22"/>
                <w:szCs w:val="22"/>
              </w:rPr>
            </w:pPr>
            <w:r w:rsidRPr="000D756E">
              <w:rPr>
                <w:rFonts w:cs="Arial"/>
                <w:sz w:val="22"/>
                <w:szCs w:val="22"/>
              </w:rPr>
              <w:lastRenderedPageBreak/>
              <w:t>Actual amount charged against the General Fund Balance for pensions in the year:</w:t>
            </w:r>
          </w:p>
        </w:tc>
        <w:tc>
          <w:tcPr>
            <w:tcW w:w="1134" w:type="dxa"/>
            <w:tcBorders>
              <w:top w:val="single" w:sz="4" w:space="0" w:color="auto"/>
              <w:left w:val="single" w:sz="4" w:space="0" w:color="auto"/>
              <w:bottom w:val="single" w:sz="4" w:space="0" w:color="auto"/>
              <w:right w:val="single" w:sz="4" w:space="0" w:color="auto"/>
            </w:tcBorders>
          </w:tcPr>
          <w:p w14:paraId="0A8D0A47" w14:textId="77777777" w:rsidR="00487BC6" w:rsidRPr="000D756E" w:rsidRDefault="00487BC6" w:rsidP="00487BC6">
            <w:pPr>
              <w:pStyle w:val="Heading7"/>
              <w:jc w:val="right"/>
              <w:rPr>
                <w:rFonts w:cs="Arial"/>
                <w:b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FD00D59" w14:textId="77777777" w:rsidR="00487BC6" w:rsidRPr="000D756E" w:rsidRDefault="00487BC6" w:rsidP="00487BC6">
            <w:pPr>
              <w:pStyle w:val="Heading7"/>
              <w:jc w:val="right"/>
              <w:rPr>
                <w:rFonts w:cs="Arial"/>
                <w:b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570317" w14:textId="77777777" w:rsidR="00487BC6" w:rsidRPr="000D756E" w:rsidRDefault="00487BC6" w:rsidP="00487BC6">
            <w:pPr>
              <w:pStyle w:val="Heading7"/>
              <w:jc w:val="right"/>
              <w:rPr>
                <w:rFonts w:cs="Arial"/>
                <w:b w:val="0"/>
                <w:sz w:val="22"/>
                <w:szCs w:val="22"/>
              </w:rPr>
            </w:pPr>
          </w:p>
          <w:p w14:paraId="0EB2F1BF" w14:textId="77777777" w:rsidR="00487BC6" w:rsidRPr="000D756E" w:rsidRDefault="00487BC6" w:rsidP="00487BC6"/>
          <w:p w14:paraId="1332F728" w14:textId="77777777" w:rsidR="00487BC6" w:rsidRPr="000D756E" w:rsidRDefault="00487BC6" w:rsidP="00487BC6"/>
          <w:p w14:paraId="3304B584" w14:textId="77777777" w:rsidR="00487BC6" w:rsidRPr="000D756E" w:rsidRDefault="00487BC6" w:rsidP="00487BC6"/>
          <w:p w14:paraId="4B9CFB14" w14:textId="4EFF0449" w:rsidR="00487BC6" w:rsidRPr="000D756E" w:rsidRDefault="00487BC6" w:rsidP="00487BC6"/>
        </w:tc>
        <w:tc>
          <w:tcPr>
            <w:tcW w:w="1134" w:type="dxa"/>
            <w:tcBorders>
              <w:top w:val="single" w:sz="4" w:space="0" w:color="auto"/>
              <w:left w:val="single" w:sz="4" w:space="0" w:color="auto"/>
              <w:bottom w:val="single" w:sz="4" w:space="0" w:color="auto"/>
              <w:right w:val="single" w:sz="4" w:space="0" w:color="auto"/>
            </w:tcBorders>
          </w:tcPr>
          <w:p w14:paraId="60590FBF" w14:textId="77777777" w:rsidR="00487BC6" w:rsidRPr="000D756E" w:rsidRDefault="00487BC6" w:rsidP="00487BC6">
            <w:pPr>
              <w:pStyle w:val="Heading7"/>
              <w:jc w:val="right"/>
              <w:rPr>
                <w:rFonts w:cs="Arial"/>
                <w:b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3BDF84A" w14:textId="77777777" w:rsidR="00487BC6" w:rsidRPr="000D756E" w:rsidRDefault="00487BC6" w:rsidP="00487BC6">
            <w:pPr>
              <w:pStyle w:val="Heading7"/>
              <w:jc w:val="right"/>
              <w:rPr>
                <w:rFonts w:cs="Arial"/>
                <w:b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EB09EC" w14:textId="77777777" w:rsidR="00487BC6" w:rsidRPr="000D756E" w:rsidRDefault="00487BC6" w:rsidP="00487BC6">
            <w:pPr>
              <w:pStyle w:val="Heading7"/>
              <w:jc w:val="right"/>
              <w:rPr>
                <w:rFonts w:cs="Arial"/>
                <w:b w:val="0"/>
                <w:sz w:val="22"/>
                <w:szCs w:val="22"/>
              </w:rPr>
            </w:pPr>
          </w:p>
        </w:tc>
        <w:tc>
          <w:tcPr>
            <w:tcW w:w="1100" w:type="dxa"/>
            <w:tcBorders>
              <w:top w:val="single" w:sz="4" w:space="0" w:color="auto"/>
              <w:left w:val="single" w:sz="4" w:space="0" w:color="auto"/>
              <w:bottom w:val="single" w:sz="4" w:space="0" w:color="auto"/>
              <w:right w:val="single" w:sz="4" w:space="0" w:color="auto"/>
            </w:tcBorders>
          </w:tcPr>
          <w:p w14:paraId="08E870D0" w14:textId="77777777" w:rsidR="00487BC6" w:rsidRPr="000D756E" w:rsidRDefault="00487BC6" w:rsidP="00487BC6">
            <w:pPr>
              <w:pStyle w:val="Heading7"/>
              <w:jc w:val="right"/>
              <w:rPr>
                <w:rFonts w:cs="Arial"/>
                <w:b w:val="0"/>
                <w:sz w:val="22"/>
                <w:szCs w:val="22"/>
              </w:rPr>
            </w:pPr>
          </w:p>
        </w:tc>
      </w:tr>
      <w:tr w:rsidR="00487BC6" w:rsidRPr="000D756E" w14:paraId="3EE169B9" w14:textId="77777777" w:rsidTr="0029624E">
        <w:tc>
          <w:tcPr>
            <w:tcW w:w="2405" w:type="dxa"/>
            <w:tcBorders>
              <w:left w:val="single" w:sz="4" w:space="0" w:color="auto"/>
              <w:right w:val="single" w:sz="4" w:space="0" w:color="auto"/>
            </w:tcBorders>
          </w:tcPr>
          <w:p w14:paraId="27D4F276" w14:textId="77777777" w:rsidR="00487BC6" w:rsidRPr="000D756E" w:rsidRDefault="00487BC6" w:rsidP="00487BC6">
            <w:pPr>
              <w:pStyle w:val="Heading7"/>
              <w:rPr>
                <w:rFonts w:cs="Arial"/>
                <w:b w:val="0"/>
                <w:sz w:val="22"/>
                <w:szCs w:val="22"/>
              </w:rPr>
            </w:pPr>
            <w:r w:rsidRPr="000D756E">
              <w:rPr>
                <w:rFonts w:cs="Arial"/>
                <w:b w:val="0"/>
                <w:sz w:val="22"/>
                <w:szCs w:val="22"/>
              </w:rPr>
              <w:t>Employers contributions payable to the scheme</w:t>
            </w:r>
          </w:p>
          <w:p w14:paraId="2F6652A3" w14:textId="77777777" w:rsidR="00487BC6" w:rsidRPr="000D756E" w:rsidRDefault="00487BC6" w:rsidP="00487BC6">
            <w:pPr>
              <w:rPr>
                <w:rFonts w:ascii="Arial" w:hAnsi="Arial" w:cs="Arial"/>
                <w:sz w:val="22"/>
                <w:szCs w:val="22"/>
              </w:rPr>
            </w:pPr>
            <w:r w:rsidRPr="000D756E">
              <w:rPr>
                <w:rFonts w:ascii="Arial" w:hAnsi="Arial" w:cs="Arial"/>
                <w:sz w:val="22"/>
                <w:szCs w:val="22"/>
              </w:rPr>
              <w:t>Top up Grant</w:t>
            </w:r>
          </w:p>
        </w:tc>
        <w:tc>
          <w:tcPr>
            <w:tcW w:w="1134" w:type="dxa"/>
            <w:tcBorders>
              <w:top w:val="single" w:sz="4" w:space="0" w:color="auto"/>
              <w:left w:val="single" w:sz="4" w:space="0" w:color="auto"/>
              <w:bottom w:val="single" w:sz="4" w:space="0" w:color="auto"/>
              <w:right w:val="single" w:sz="4" w:space="0" w:color="auto"/>
            </w:tcBorders>
          </w:tcPr>
          <w:p w14:paraId="4E998839" w14:textId="77777777" w:rsidR="00487BC6" w:rsidRPr="000D756E" w:rsidRDefault="00487BC6" w:rsidP="00487BC6">
            <w:pPr>
              <w:jc w:val="right"/>
              <w:rPr>
                <w:rFonts w:ascii="Arial" w:hAnsi="Arial" w:cs="Arial"/>
                <w:sz w:val="22"/>
                <w:szCs w:val="22"/>
              </w:rPr>
            </w:pPr>
          </w:p>
          <w:p w14:paraId="5063CA5A" w14:textId="027138D9" w:rsidR="00487BC6" w:rsidRPr="000D756E" w:rsidRDefault="00DD69DC" w:rsidP="00487BC6">
            <w:pPr>
              <w:jc w:val="right"/>
              <w:rPr>
                <w:rFonts w:ascii="Arial" w:hAnsi="Arial" w:cs="Arial"/>
                <w:sz w:val="22"/>
                <w:szCs w:val="22"/>
              </w:rPr>
            </w:pPr>
            <w:r>
              <w:rPr>
                <w:rFonts w:ascii="Arial" w:hAnsi="Arial" w:cs="Arial"/>
                <w:sz w:val="22"/>
                <w:szCs w:val="22"/>
              </w:rPr>
              <w:t>-641</w:t>
            </w:r>
          </w:p>
        </w:tc>
        <w:tc>
          <w:tcPr>
            <w:tcW w:w="1134" w:type="dxa"/>
            <w:tcBorders>
              <w:top w:val="single" w:sz="4" w:space="0" w:color="auto"/>
              <w:left w:val="single" w:sz="4" w:space="0" w:color="auto"/>
              <w:bottom w:val="single" w:sz="4" w:space="0" w:color="auto"/>
              <w:right w:val="single" w:sz="4" w:space="0" w:color="auto"/>
            </w:tcBorders>
          </w:tcPr>
          <w:p w14:paraId="3896989B" w14:textId="77777777" w:rsidR="00487BC6" w:rsidRPr="000D756E" w:rsidRDefault="00487BC6" w:rsidP="00487BC6">
            <w:pPr>
              <w:jc w:val="right"/>
              <w:rPr>
                <w:rFonts w:ascii="Arial" w:hAnsi="Arial" w:cs="Arial"/>
                <w:sz w:val="22"/>
                <w:szCs w:val="22"/>
              </w:rPr>
            </w:pPr>
          </w:p>
          <w:p w14:paraId="175F09D1" w14:textId="0469475B" w:rsidR="00487BC6" w:rsidRPr="000D756E" w:rsidRDefault="00487BC6" w:rsidP="00487BC6">
            <w:pPr>
              <w:jc w:val="right"/>
              <w:rPr>
                <w:rFonts w:ascii="Arial" w:hAnsi="Arial" w:cs="Arial"/>
                <w:sz w:val="22"/>
                <w:szCs w:val="22"/>
              </w:rPr>
            </w:pPr>
            <w:r w:rsidRPr="000D756E">
              <w:rPr>
                <w:rFonts w:ascii="Arial" w:hAnsi="Arial" w:cs="Arial"/>
                <w:sz w:val="22"/>
                <w:szCs w:val="22"/>
              </w:rPr>
              <w:t>-600</w:t>
            </w:r>
          </w:p>
        </w:tc>
        <w:tc>
          <w:tcPr>
            <w:tcW w:w="1134" w:type="dxa"/>
            <w:tcBorders>
              <w:top w:val="single" w:sz="4" w:space="0" w:color="auto"/>
              <w:left w:val="single" w:sz="4" w:space="0" w:color="auto"/>
              <w:bottom w:val="single" w:sz="4" w:space="0" w:color="auto"/>
              <w:right w:val="single" w:sz="4" w:space="0" w:color="auto"/>
            </w:tcBorders>
          </w:tcPr>
          <w:p w14:paraId="6567D6CF" w14:textId="77777777" w:rsidR="00487BC6" w:rsidRDefault="00487BC6" w:rsidP="00487BC6">
            <w:pPr>
              <w:jc w:val="right"/>
              <w:rPr>
                <w:rFonts w:ascii="Arial" w:hAnsi="Arial" w:cs="Arial"/>
                <w:sz w:val="22"/>
                <w:szCs w:val="22"/>
              </w:rPr>
            </w:pPr>
          </w:p>
          <w:p w14:paraId="67FC1D64" w14:textId="77777777" w:rsidR="002B1E6E" w:rsidRDefault="002B1E6E" w:rsidP="00487BC6">
            <w:pPr>
              <w:jc w:val="right"/>
              <w:rPr>
                <w:rFonts w:ascii="Arial" w:hAnsi="Arial" w:cs="Arial"/>
                <w:sz w:val="22"/>
                <w:szCs w:val="22"/>
              </w:rPr>
            </w:pPr>
            <w:r>
              <w:rPr>
                <w:rFonts w:ascii="Arial" w:hAnsi="Arial" w:cs="Arial"/>
                <w:sz w:val="22"/>
                <w:szCs w:val="22"/>
              </w:rPr>
              <w:t>0</w:t>
            </w:r>
          </w:p>
          <w:p w14:paraId="03B6939A" w14:textId="77777777" w:rsidR="002B1E6E" w:rsidRDefault="002B1E6E" w:rsidP="00487BC6">
            <w:pPr>
              <w:jc w:val="right"/>
              <w:rPr>
                <w:rFonts w:ascii="Arial" w:hAnsi="Arial" w:cs="Arial"/>
                <w:sz w:val="22"/>
                <w:szCs w:val="22"/>
              </w:rPr>
            </w:pPr>
          </w:p>
          <w:p w14:paraId="764CF393" w14:textId="36D4C34E" w:rsidR="002B1E6E" w:rsidRPr="000D756E" w:rsidRDefault="00515F0D" w:rsidP="00487BC6">
            <w:pPr>
              <w:jc w:val="right"/>
              <w:rPr>
                <w:rFonts w:ascii="Arial" w:hAnsi="Arial" w:cs="Arial"/>
                <w:sz w:val="22"/>
                <w:szCs w:val="22"/>
              </w:rPr>
            </w:pPr>
            <w:r>
              <w:rPr>
                <w:rFonts w:ascii="Arial" w:hAnsi="Arial" w:cs="Arial"/>
                <w:sz w:val="22"/>
                <w:szCs w:val="22"/>
              </w:rPr>
              <w:t>-</w:t>
            </w:r>
            <w:r w:rsidR="002B1E6E">
              <w:rPr>
                <w:rFonts w:ascii="Arial" w:hAnsi="Arial" w:cs="Arial"/>
                <w:sz w:val="22"/>
                <w:szCs w:val="22"/>
              </w:rPr>
              <w:t>7,396</w:t>
            </w:r>
          </w:p>
        </w:tc>
        <w:tc>
          <w:tcPr>
            <w:tcW w:w="1134" w:type="dxa"/>
            <w:tcBorders>
              <w:top w:val="single" w:sz="4" w:space="0" w:color="auto"/>
              <w:left w:val="single" w:sz="4" w:space="0" w:color="auto"/>
              <w:bottom w:val="single" w:sz="4" w:space="0" w:color="auto"/>
              <w:right w:val="single" w:sz="4" w:space="0" w:color="auto"/>
            </w:tcBorders>
          </w:tcPr>
          <w:p w14:paraId="1DC3A13A" w14:textId="77777777" w:rsidR="00487BC6" w:rsidRDefault="00487BC6" w:rsidP="00487BC6">
            <w:pPr>
              <w:jc w:val="right"/>
              <w:rPr>
                <w:rFonts w:ascii="Arial" w:hAnsi="Arial" w:cs="Arial"/>
                <w:sz w:val="22"/>
                <w:szCs w:val="22"/>
              </w:rPr>
            </w:pPr>
          </w:p>
          <w:p w14:paraId="65C5C737" w14:textId="6F786F08" w:rsidR="00D442AC" w:rsidRDefault="002B1E6E" w:rsidP="00487BC6">
            <w:pPr>
              <w:jc w:val="right"/>
              <w:rPr>
                <w:rFonts w:ascii="Arial" w:hAnsi="Arial" w:cs="Arial"/>
                <w:sz w:val="22"/>
                <w:szCs w:val="22"/>
              </w:rPr>
            </w:pPr>
            <w:r>
              <w:rPr>
                <w:rFonts w:ascii="Arial" w:hAnsi="Arial" w:cs="Arial"/>
                <w:sz w:val="22"/>
                <w:szCs w:val="22"/>
              </w:rPr>
              <w:t>0</w:t>
            </w:r>
          </w:p>
          <w:p w14:paraId="2B51E50D" w14:textId="77777777" w:rsidR="002B1E6E" w:rsidRDefault="002B1E6E" w:rsidP="002B1E6E">
            <w:pPr>
              <w:rPr>
                <w:rFonts w:ascii="Arial" w:hAnsi="Arial" w:cs="Arial"/>
                <w:sz w:val="22"/>
                <w:szCs w:val="22"/>
              </w:rPr>
            </w:pPr>
          </w:p>
          <w:p w14:paraId="3F68628B" w14:textId="1B55539E" w:rsidR="002B1E6E" w:rsidRPr="000D756E" w:rsidRDefault="00515F0D" w:rsidP="00487BC6">
            <w:pPr>
              <w:jc w:val="right"/>
              <w:rPr>
                <w:rFonts w:ascii="Arial" w:hAnsi="Arial" w:cs="Arial"/>
                <w:sz w:val="22"/>
                <w:szCs w:val="22"/>
              </w:rPr>
            </w:pPr>
            <w:r>
              <w:rPr>
                <w:rFonts w:ascii="Arial" w:hAnsi="Arial" w:cs="Arial"/>
                <w:sz w:val="22"/>
                <w:szCs w:val="22"/>
              </w:rPr>
              <w:t>-</w:t>
            </w:r>
            <w:r w:rsidR="002B1E6E">
              <w:rPr>
                <w:rFonts w:ascii="Arial" w:hAnsi="Arial" w:cs="Arial"/>
                <w:sz w:val="22"/>
                <w:szCs w:val="22"/>
              </w:rPr>
              <w:t>244</w:t>
            </w:r>
          </w:p>
        </w:tc>
        <w:tc>
          <w:tcPr>
            <w:tcW w:w="1134" w:type="dxa"/>
            <w:tcBorders>
              <w:top w:val="single" w:sz="4" w:space="0" w:color="auto"/>
              <w:left w:val="single" w:sz="4" w:space="0" w:color="auto"/>
              <w:bottom w:val="single" w:sz="4" w:space="0" w:color="auto"/>
              <w:right w:val="single" w:sz="4" w:space="0" w:color="auto"/>
            </w:tcBorders>
          </w:tcPr>
          <w:p w14:paraId="7E6DFD2A" w14:textId="77777777" w:rsidR="00487BC6" w:rsidRDefault="00487BC6" w:rsidP="00487BC6">
            <w:pPr>
              <w:jc w:val="right"/>
              <w:rPr>
                <w:rFonts w:ascii="Arial" w:hAnsi="Arial" w:cs="Arial"/>
                <w:sz w:val="22"/>
                <w:szCs w:val="22"/>
              </w:rPr>
            </w:pPr>
          </w:p>
          <w:p w14:paraId="6E397BDA" w14:textId="50FFC9B9" w:rsidR="002B1E6E" w:rsidRDefault="00915C8A" w:rsidP="00487BC6">
            <w:pPr>
              <w:jc w:val="right"/>
              <w:rPr>
                <w:rFonts w:ascii="Arial" w:hAnsi="Arial" w:cs="Arial"/>
                <w:sz w:val="22"/>
                <w:szCs w:val="22"/>
              </w:rPr>
            </w:pPr>
            <w:r>
              <w:rPr>
                <w:rFonts w:ascii="Arial" w:hAnsi="Arial" w:cs="Arial"/>
                <w:sz w:val="22"/>
                <w:szCs w:val="22"/>
              </w:rPr>
              <w:t>-</w:t>
            </w:r>
            <w:r w:rsidR="002B1E6E">
              <w:rPr>
                <w:rFonts w:ascii="Arial" w:hAnsi="Arial" w:cs="Arial"/>
                <w:sz w:val="22"/>
                <w:szCs w:val="22"/>
              </w:rPr>
              <w:t>3,916</w:t>
            </w:r>
          </w:p>
          <w:p w14:paraId="02170C08" w14:textId="77777777" w:rsidR="002B1E6E" w:rsidRDefault="002B1E6E" w:rsidP="00487BC6">
            <w:pPr>
              <w:jc w:val="right"/>
              <w:rPr>
                <w:rFonts w:ascii="Arial" w:hAnsi="Arial" w:cs="Arial"/>
                <w:sz w:val="22"/>
                <w:szCs w:val="22"/>
              </w:rPr>
            </w:pPr>
          </w:p>
          <w:p w14:paraId="13AB2AFC" w14:textId="2D13D5CA" w:rsidR="002B1E6E" w:rsidRPr="000D756E" w:rsidRDefault="00915C8A" w:rsidP="00487BC6">
            <w:pPr>
              <w:jc w:val="right"/>
              <w:rPr>
                <w:rFonts w:ascii="Arial" w:hAnsi="Arial" w:cs="Arial"/>
                <w:sz w:val="22"/>
                <w:szCs w:val="22"/>
              </w:rPr>
            </w:pPr>
            <w:r>
              <w:rPr>
                <w:rFonts w:ascii="Arial" w:hAnsi="Arial" w:cs="Arial"/>
                <w:sz w:val="22"/>
                <w:szCs w:val="22"/>
              </w:rPr>
              <w:t>5</w:t>
            </w:r>
            <w:r w:rsidR="002B1E6E">
              <w:rPr>
                <w:rFonts w:ascii="Arial" w:hAnsi="Arial" w:cs="Arial"/>
                <w:sz w:val="22"/>
                <w:szCs w:val="22"/>
              </w:rPr>
              <w:t>,267</w:t>
            </w:r>
          </w:p>
        </w:tc>
        <w:tc>
          <w:tcPr>
            <w:tcW w:w="1134" w:type="dxa"/>
            <w:tcBorders>
              <w:top w:val="single" w:sz="4" w:space="0" w:color="auto"/>
              <w:left w:val="single" w:sz="4" w:space="0" w:color="auto"/>
              <w:bottom w:val="single" w:sz="4" w:space="0" w:color="auto"/>
              <w:right w:val="single" w:sz="4" w:space="0" w:color="auto"/>
            </w:tcBorders>
          </w:tcPr>
          <w:p w14:paraId="4091B53A" w14:textId="77777777" w:rsidR="00487BC6" w:rsidRDefault="00487BC6" w:rsidP="00487BC6">
            <w:pPr>
              <w:jc w:val="right"/>
              <w:rPr>
                <w:rFonts w:ascii="Arial" w:hAnsi="Arial" w:cs="Arial"/>
                <w:sz w:val="22"/>
                <w:szCs w:val="22"/>
              </w:rPr>
            </w:pPr>
          </w:p>
          <w:p w14:paraId="3E0767F2" w14:textId="1B27DF17" w:rsidR="002B1E6E" w:rsidRDefault="00915C8A" w:rsidP="00487BC6">
            <w:pPr>
              <w:jc w:val="right"/>
              <w:rPr>
                <w:rFonts w:ascii="Arial" w:hAnsi="Arial" w:cs="Arial"/>
                <w:sz w:val="22"/>
                <w:szCs w:val="22"/>
              </w:rPr>
            </w:pPr>
            <w:r>
              <w:rPr>
                <w:rFonts w:ascii="Arial" w:hAnsi="Arial" w:cs="Arial"/>
                <w:sz w:val="22"/>
                <w:szCs w:val="22"/>
              </w:rPr>
              <w:t>-</w:t>
            </w:r>
            <w:r w:rsidR="002B1E6E">
              <w:rPr>
                <w:rFonts w:ascii="Arial" w:hAnsi="Arial" w:cs="Arial"/>
                <w:sz w:val="22"/>
                <w:szCs w:val="22"/>
              </w:rPr>
              <w:t>3,916</w:t>
            </w:r>
          </w:p>
          <w:p w14:paraId="49B72AF5" w14:textId="77777777" w:rsidR="002B1E6E" w:rsidRDefault="002B1E6E" w:rsidP="00487BC6">
            <w:pPr>
              <w:jc w:val="right"/>
              <w:rPr>
                <w:rFonts w:ascii="Arial" w:hAnsi="Arial" w:cs="Arial"/>
                <w:sz w:val="22"/>
                <w:szCs w:val="22"/>
              </w:rPr>
            </w:pPr>
          </w:p>
          <w:p w14:paraId="7D0488AF" w14:textId="63A6350B" w:rsidR="002B1E6E" w:rsidRPr="000D756E" w:rsidRDefault="00915C8A" w:rsidP="00487BC6">
            <w:pPr>
              <w:jc w:val="right"/>
              <w:rPr>
                <w:rFonts w:ascii="Arial" w:hAnsi="Arial" w:cs="Arial"/>
                <w:sz w:val="22"/>
                <w:szCs w:val="22"/>
              </w:rPr>
            </w:pPr>
            <w:r>
              <w:rPr>
                <w:rFonts w:ascii="Arial" w:hAnsi="Arial" w:cs="Arial"/>
                <w:sz w:val="22"/>
                <w:szCs w:val="22"/>
              </w:rPr>
              <w:t>-</w:t>
            </w:r>
            <w:r w:rsidR="002B1E6E">
              <w:rPr>
                <w:rFonts w:ascii="Arial" w:hAnsi="Arial" w:cs="Arial"/>
                <w:sz w:val="22"/>
                <w:szCs w:val="22"/>
              </w:rPr>
              <w:t>2,373</w:t>
            </w:r>
          </w:p>
        </w:tc>
        <w:tc>
          <w:tcPr>
            <w:tcW w:w="1100" w:type="dxa"/>
            <w:tcBorders>
              <w:top w:val="single" w:sz="4" w:space="0" w:color="auto"/>
              <w:left w:val="single" w:sz="4" w:space="0" w:color="auto"/>
              <w:bottom w:val="single" w:sz="4" w:space="0" w:color="auto"/>
              <w:right w:val="single" w:sz="4" w:space="0" w:color="auto"/>
            </w:tcBorders>
          </w:tcPr>
          <w:p w14:paraId="59A138D9" w14:textId="77777777" w:rsidR="00487BC6" w:rsidRPr="000D756E" w:rsidRDefault="00487BC6" w:rsidP="00487BC6">
            <w:pPr>
              <w:jc w:val="right"/>
              <w:rPr>
                <w:rFonts w:ascii="Arial" w:hAnsi="Arial" w:cs="Arial"/>
                <w:sz w:val="22"/>
                <w:szCs w:val="22"/>
              </w:rPr>
            </w:pPr>
          </w:p>
          <w:p w14:paraId="190ED59E" w14:textId="77777777" w:rsidR="00487BC6" w:rsidRPr="000D756E" w:rsidRDefault="00487BC6" w:rsidP="00487BC6">
            <w:pPr>
              <w:jc w:val="right"/>
              <w:rPr>
                <w:rFonts w:ascii="Arial" w:hAnsi="Arial" w:cs="Arial"/>
                <w:sz w:val="22"/>
                <w:szCs w:val="22"/>
              </w:rPr>
            </w:pPr>
            <w:r w:rsidRPr="000D756E">
              <w:rPr>
                <w:rFonts w:ascii="Arial" w:hAnsi="Arial" w:cs="Arial"/>
                <w:sz w:val="22"/>
                <w:szCs w:val="22"/>
              </w:rPr>
              <w:t>-2,811</w:t>
            </w:r>
          </w:p>
          <w:p w14:paraId="3D63B5E4" w14:textId="77777777" w:rsidR="002B1E6E" w:rsidRDefault="002B1E6E" w:rsidP="00487BC6">
            <w:pPr>
              <w:jc w:val="right"/>
              <w:rPr>
                <w:rFonts w:ascii="Arial" w:hAnsi="Arial" w:cs="Arial"/>
                <w:sz w:val="22"/>
                <w:szCs w:val="22"/>
              </w:rPr>
            </w:pPr>
          </w:p>
          <w:p w14:paraId="4F20F846" w14:textId="5CC2EF50" w:rsidR="00487BC6" w:rsidRPr="000D756E" w:rsidRDefault="00487BC6" w:rsidP="00487BC6">
            <w:pPr>
              <w:jc w:val="right"/>
              <w:rPr>
                <w:rFonts w:ascii="Arial" w:hAnsi="Arial" w:cs="Arial"/>
                <w:sz w:val="22"/>
                <w:szCs w:val="22"/>
              </w:rPr>
            </w:pPr>
            <w:r w:rsidRPr="000D756E">
              <w:rPr>
                <w:rFonts w:ascii="Arial" w:hAnsi="Arial" w:cs="Arial"/>
                <w:sz w:val="22"/>
                <w:szCs w:val="22"/>
              </w:rPr>
              <w:t>-3,233</w:t>
            </w:r>
          </w:p>
        </w:tc>
      </w:tr>
      <w:tr w:rsidR="00487BC6" w:rsidRPr="000D756E" w14:paraId="76F74F40" w14:textId="77777777" w:rsidTr="0029624E">
        <w:tc>
          <w:tcPr>
            <w:tcW w:w="2405" w:type="dxa"/>
            <w:tcBorders>
              <w:left w:val="single" w:sz="4" w:space="0" w:color="auto"/>
              <w:bottom w:val="single" w:sz="4" w:space="0" w:color="auto"/>
              <w:right w:val="single" w:sz="4" w:space="0" w:color="auto"/>
            </w:tcBorders>
          </w:tcPr>
          <w:p w14:paraId="68A1C54E" w14:textId="77777777" w:rsidR="00487BC6" w:rsidRPr="000D756E" w:rsidRDefault="00487BC6" w:rsidP="00487BC6">
            <w:pPr>
              <w:pStyle w:val="Heading7"/>
              <w:rPr>
                <w:rFonts w:cs="Arial"/>
                <w:b w:val="0"/>
                <w:sz w:val="22"/>
                <w:szCs w:val="22"/>
              </w:rPr>
            </w:pPr>
            <w:r w:rsidRPr="000D756E">
              <w:rPr>
                <w:rFonts w:cs="Arial"/>
                <w:b w:val="0"/>
                <w:sz w:val="22"/>
                <w:szCs w:val="22"/>
              </w:rPr>
              <w:t>Retirement benefits payable to pensioners</w:t>
            </w:r>
          </w:p>
        </w:tc>
        <w:tc>
          <w:tcPr>
            <w:tcW w:w="1134" w:type="dxa"/>
            <w:tcBorders>
              <w:top w:val="single" w:sz="4" w:space="0" w:color="auto"/>
              <w:left w:val="single" w:sz="4" w:space="0" w:color="auto"/>
              <w:bottom w:val="single" w:sz="4" w:space="0" w:color="auto"/>
              <w:right w:val="single" w:sz="4" w:space="0" w:color="auto"/>
            </w:tcBorders>
          </w:tcPr>
          <w:p w14:paraId="1316E166" w14:textId="77777777" w:rsidR="00487BC6" w:rsidRPr="000D756E" w:rsidRDefault="00487BC6" w:rsidP="00487BC6">
            <w:pPr>
              <w:rPr>
                <w:rFonts w:ascii="Arial" w:hAnsi="Arial" w:cs="Arial"/>
                <w:sz w:val="22"/>
                <w:szCs w:val="22"/>
              </w:rPr>
            </w:pPr>
          </w:p>
          <w:p w14:paraId="2D5220F2" w14:textId="0A28D9C7" w:rsidR="00487BC6" w:rsidRPr="000D756E" w:rsidRDefault="00487BC6" w:rsidP="00487BC6">
            <w:pPr>
              <w:jc w:val="right"/>
              <w:rPr>
                <w:rFonts w:ascii="Arial" w:hAnsi="Arial" w:cs="Arial"/>
                <w:sz w:val="22"/>
                <w:szCs w:val="22"/>
              </w:rPr>
            </w:pPr>
            <w:r w:rsidRPr="000D756E">
              <w:rPr>
                <w:rFonts w:ascii="Arial" w:hAnsi="Arial" w:cs="Arial"/>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0678EBB6" w14:textId="77777777" w:rsidR="00487BC6" w:rsidRPr="000D756E" w:rsidRDefault="00487BC6" w:rsidP="00487BC6">
            <w:pPr>
              <w:rPr>
                <w:rFonts w:ascii="Arial" w:hAnsi="Arial" w:cs="Arial"/>
                <w:sz w:val="22"/>
                <w:szCs w:val="22"/>
              </w:rPr>
            </w:pPr>
          </w:p>
          <w:p w14:paraId="5A1D4CCE" w14:textId="67F75B5D" w:rsidR="00487BC6" w:rsidRPr="000D756E" w:rsidRDefault="00487BC6" w:rsidP="00487BC6">
            <w:pPr>
              <w:jc w:val="right"/>
              <w:rPr>
                <w:rFonts w:ascii="Arial" w:hAnsi="Arial" w:cs="Arial"/>
                <w:sz w:val="22"/>
                <w:szCs w:val="22"/>
              </w:rPr>
            </w:pPr>
            <w:r w:rsidRPr="000D756E">
              <w:rPr>
                <w:rFonts w:ascii="Arial" w:hAnsi="Arial" w:cs="Arial"/>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00D77A0E" w14:textId="77777777" w:rsidR="00487BC6" w:rsidRDefault="00487BC6" w:rsidP="00487BC6">
            <w:pPr>
              <w:jc w:val="right"/>
              <w:rPr>
                <w:rFonts w:ascii="Arial" w:hAnsi="Arial" w:cs="Arial"/>
                <w:sz w:val="22"/>
                <w:szCs w:val="22"/>
              </w:rPr>
            </w:pPr>
          </w:p>
          <w:p w14:paraId="10BC9CC2" w14:textId="53526635" w:rsidR="002B1E6E" w:rsidRPr="000D756E" w:rsidRDefault="00915C8A" w:rsidP="00487BC6">
            <w:pPr>
              <w:jc w:val="right"/>
              <w:rPr>
                <w:rFonts w:ascii="Arial" w:hAnsi="Arial" w:cs="Arial"/>
                <w:sz w:val="22"/>
                <w:szCs w:val="22"/>
              </w:rPr>
            </w:pPr>
            <w:r>
              <w:rPr>
                <w:rFonts w:ascii="Arial" w:hAnsi="Arial" w:cs="Arial"/>
                <w:sz w:val="22"/>
                <w:szCs w:val="22"/>
              </w:rPr>
              <w:t>-</w:t>
            </w:r>
            <w:r w:rsidR="002B1E6E">
              <w:rPr>
                <w:rFonts w:ascii="Arial" w:hAnsi="Arial" w:cs="Arial"/>
                <w:sz w:val="22"/>
                <w:szCs w:val="22"/>
              </w:rPr>
              <w:t>419</w:t>
            </w:r>
          </w:p>
        </w:tc>
        <w:tc>
          <w:tcPr>
            <w:tcW w:w="1134" w:type="dxa"/>
            <w:tcBorders>
              <w:top w:val="single" w:sz="4" w:space="0" w:color="auto"/>
              <w:left w:val="single" w:sz="4" w:space="0" w:color="auto"/>
              <w:bottom w:val="single" w:sz="4" w:space="0" w:color="auto"/>
              <w:right w:val="single" w:sz="4" w:space="0" w:color="auto"/>
            </w:tcBorders>
          </w:tcPr>
          <w:p w14:paraId="7770862F" w14:textId="7C4DEC72" w:rsidR="00487BC6" w:rsidRPr="000D756E" w:rsidRDefault="00487BC6" w:rsidP="00487BC6">
            <w:pPr>
              <w:jc w:val="right"/>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4BB5EC" w14:textId="4FD0F9F9" w:rsidR="00487BC6" w:rsidRPr="000D756E" w:rsidRDefault="00487BC6" w:rsidP="00487BC6">
            <w:pPr>
              <w:jc w:val="right"/>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FDFACC0" w14:textId="77777777" w:rsidR="00487BC6" w:rsidRDefault="00487BC6" w:rsidP="00487BC6">
            <w:pPr>
              <w:jc w:val="right"/>
              <w:rPr>
                <w:rFonts w:ascii="Arial" w:hAnsi="Arial" w:cs="Arial"/>
                <w:sz w:val="22"/>
                <w:szCs w:val="22"/>
              </w:rPr>
            </w:pPr>
          </w:p>
          <w:p w14:paraId="7AB82A08" w14:textId="6CFD7A86" w:rsidR="002B1E6E" w:rsidRPr="000D756E" w:rsidRDefault="00915C8A" w:rsidP="00487BC6">
            <w:pPr>
              <w:jc w:val="right"/>
              <w:rPr>
                <w:rFonts w:ascii="Arial" w:hAnsi="Arial" w:cs="Arial"/>
                <w:sz w:val="22"/>
                <w:szCs w:val="22"/>
              </w:rPr>
            </w:pPr>
            <w:r>
              <w:rPr>
                <w:rFonts w:ascii="Arial" w:hAnsi="Arial" w:cs="Arial"/>
                <w:sz w:val="22"/>
                <w:szCs w:val="22"/>
              </w:rPr>
              <w:t>-</w:t>
            </w:r>
            <w:r w:rsidR="002B1E6E">
              <w:rPr>
                <w:rFonts w:ascii="Arial" w:hAnsi="Arial" w:cs="Arial"/>
                <w:sz w:val="22"/>
                <w:szCs w:val="22"/>
              </w:rPr>
              <w:t>419</w:t>
            </w:r>
          </w:p>
        </w:tc>
        <w:tc>
          <w:tcPr>
            <w:tcW w:w="1100" w:type="dxa"/>
            <w:tcBorders>
              <w:top w:val="single" w:sz="4" w:space="0" w:color="auto"/>
              <w:left w:val="single" w:sz="4" w:space="0" w:color="auto"/>
              <w:bottom w:val="single" w:sz="4" w:space="0" w:color="auto"/>
              <w:right w:val="single" w:sz="4" w:space="0" w:color="auto"/>
            </w:tcBorders>
          </w:tcPr>
          <w:p w14:paraId="440E90B4" w14:textId="77777777" w:rsidR="00487BC6" w:rsidRPr="000D756E" w:rsidRDefault="00487BC6" w:rsidP="00487BC6">
            <w:pPr>
              <w:rPr>
                <w:rFonts w:ascii="Arial" w:hAnsi="Arial" w:cs="Arial"/>
                <w:sz w:val="22"/>
                <w:szCs w:val="22"/>
              </w:rPr>
            </w:pPr>
          </w:p>
          <w:p w14:paraId="30CE5749" w14:textId="7DD21896" w:rsidR="00487BC6" w:rsidRPr="000D756E" w:rsidRDefault="00487BC6" w:rsidP="00487BC6">
            <w:pPr>
              <w:jc w:val="right"/>
              <w:rPr>
                <w:rFonts w:ascii="Arial" w:hAnsi="Arial" w:cs="Arial"/>
                <w:sz w:val="22"/>
                <w:szCs w:val="22"/>
              </w:rPr>
            </w:pPr>
            <w:r w:rsidRPr="000D756E">
              <w:rPr>
                <w:rFonts w:ascii="Arial" w:hAnsi="Arial" w:cs="Arial"/>
                <w:sz w:val="22"/>
                <w:szCs w:val="22"/>
              </w:rPr>
              <w:t>-346</w:t>
            </w:r>
          </w:p>
        </w:tc>
      </w:tr>
    </w:tbl>
    <w:p w14:paraId="3910AFBF" w14:textId="6CBEAA15" w:rsidR="0E6F239C" w:rsidRPr="000D756E" w:rsidRDefault="0E6F239C"/>
    <w:p w14:paraId="08A85240" w14:textId="77777777" w:rsidR="0004335B" w:rsidRPr="000D756E" w:rsidRDefault="0004335B" w:rsidP="002A7C01"/>
    <w:p w14:paraId="3C680870" w14:textId="77777777" w:rsidR="006D72C2" w:rsidRPr="000D756E" w:rsidRDefault="006D72C2" w:rsidP="0004335B"/>
    <w:p w14:paraId="7E188A73" w14:textId="77777777" w:rsidR="00E12AAF" w:rsidRPr="000D756E" w:rsidRDefault="00E12AAF" w:rsidP="002A7C01">
      <w:pPr>
        <w:rPr>
          <w:rFonts w:ascii="Arial" w:hAnsi="Arial" w:cs="Arial"/>
          <w:b/>
          <w:sz w:val="24"/>
          <w:szCs w:val="24"/>
        </w:rPr>
      </w:pPr>
      <w:r w:rsidRPr="000D756E">
        <w:rPr>
          <w:rFonts w:ascii="Arial" w:hAnsi="Arial" w:cs="Arial"/>
          <w:b/>
          <w:sz w:val="24"/>
          <w:szCs w:val="24"/>
        </w:rPr>
        <w:t>Pension Assets and Liabilities Recognised in the Balance Sheet</w:t>
      </w:r>
    </w:p>
    <w:p w14:paraId="0E844ED9" w14:textId="77777777" w:rsidR="00E12AAF" w:rsidRPr="000D756E" w:rsidRDefault="00E12AAF" w:rsidP="002A7C01">
      <w:pPr>
        <w:rPr>
          <w:rFonts w:ascii="Arial" w:hAnsi="Arial" w:cs="Arial"/>
          <w:b/>
          <w:sz w:val="24"/>
          <w:szCs w:val="24"/>
        </w:rPr>
      </w:pPr>
    </w:p>
    <w:p w14:paraId="04D1920F" w14:textId="77777777" w:rsidR="00E12AAF" w:rsidRPr="000D756E" w:rsidRDefault="00E12AAF" w:rsidP="002A7C01">
      <w:pPr>
        <w:rPr>
          <w:rFonts w:ascii="Arial" w:hAnsi="Arial" w:cs="Arial"/>
          <w:sz w:val="24"/>
          <w:szCs w:val="24"/>
        </w:rPr>
      </w:pPr>
      <w:r w:rsidRPr="000D756E">
        <w:rPr>
          <w:rFonts w:ascii="Arial" w:hAnsi="Arial" w:cs="Arial"/>
          <w:sz w:val="24"/>
          <w:szCs w:val="24"/>
        </w:rPr>
        <w:t>The amount included in the Balance Sheet arising from the Authority’s obligation in respect of its defined benefit plans is as follows:</w:t>
      </w:r>
    </w:p>
    <w:p w14:paraId="76DCF7E7" w14:textId="77777777" w:rsidR="00E12AAF" w:rsidRPr="000D756E" w:rsidRDefault="00E12AAF" w:rsidP="002A7C01">
      <w:pPr>
        <w:rPr>
          <w:rFonts w:ascii="Arial" w:hAnsi="Arial" w:cs="Arial"/>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1134"/>
        <w:gridCol w:w="1134"/>
        <w:gridCol w:w="1134"/>
        <w:gridCol w:w="1134"/>
        <w:gridCol w:w="1134"/>
        <w:gridCol w:w="1134"/>
      </w:tblGrid>
      <w:tr w:rsidR="006329E6" w:rsidRPr="000D756E" w14:paraId="5AEA10E8" w14:textId="77777777" w:rsidTr="00AC0709">
        <w:tc>
          <w:tcPr>
            <w:tcW w:w="2376" w:type="dxa"/>
          </w:tcPr>
          <w:p w14:paraId="161F4A70" w14:textId="77777777" w:rsidR="00AC0709" w:rsidRPr="000D756E" w:rsidRDefault="00AC0709" w:rsidP="002A7C01">
            <w:pPr>
              <w:rPr>
                <w:rFonts w:ascii="Arial" w:hAnsi="Arial" w:cs="Arial"/>
                <w:sz w:val="22"/>
                <w:szCs w:val="22"/>
              </w:rPr>
            </w:pPr>
          </w:p>
        </w:tc>
        <w:tc>
          <w:tcPr>
            <w:tcW w:w="2268" w:type="dxa"/>
            <w:gridSpan w:val="2"/>
          </w:tcPr>
          <w:p w14:paraId="4977655B" w14:textId="77777777" w:rsidR="00AC0709" w:rsidRPr="000D756E" w:rsidRDefault="00AC0709" w:rsidP="006863D1">
            <w:pPr>
              <w:jc w:val="center"/>
              <w:rPr>
                <w:rFonts w:ascii="Arial" w:hAnsi="Arial" w:cs="Arial"/>
                <w:b/>
                <w:sz w:val="22"/>
                <w:szCs w:val="22"/>
              </w:rPr>
            </w:pPr>
          </w:p>
          <w:p w14:paraId="04783685" w14:textId="77777777" w:rsidR="00AC0709" w:rsidRPr="000D756E" w:rsidRDefault="00AC0709" w:rsidP="006863D1">
            <w:pPr>
              <w:jc w:val="center"/>
              <w:rPr>
                <w:rFonts w:ascii="Arial" w:hAnsi="Arial" w:cs="Arial"/>
                <w:b/>
                <w:sz w:val="22"/>
                <w:szCs w:val="22"/>
              </w:rPr>
            </w:pPr>
            <w:r w:rsidRPr="000D756E">
              <w:rPr>
                <w:rFonts w:ascii="Arial" w:hAnsi="Arial" w:cs="Arial"/>
                <w:b/>
                <w:sz w:val="22"/>
                <w:szCs w:val="22"/>
              </w:rPr>
              <w:t>Shropshire County Pension Fund</w:t>
            </w:r>
          </w:p>
        </w:tc>
        <w:tc>
          <w:tcPr>
            <w:tcW w:w="5670" w:type="dxa"/>
            <w:gridSpan w:val="5"/>
          </w:tcPr>
          <w:p w14:paraId="12D0335B" w14:textId="77777777" w:rsidR="00AC0709" w:rsidRPr="000D756E" w:rsidRDefault="00AC0709" w:rsidP="006863D1">
            <w:pPr>
              <w:jc w:val="center"/>
              <w:rPr>
                <w:rFonts w:ascii="Arial" w:hAnsi="Arial" w:cs="Arial"/>
                <w:b/>
                <w:sz w:val="22"/>
                <w:szCs w:val="22"/>
              </w:rPr>
            </w:pPr>
          </w:p>
          <w:p w14:paraId="584EF5E3" w14:textId="77777777" w:rsidR="00AC0709" w:rsidRPr="000D756E" w:rsidRDefault="00AC0709" w:rsidP="006863D1">
            <w:pPr>
              <w:jc w:val="center"/>
              <w:rPr>
                <w:rFonts w:ascii="Arial" w:hAnsi="Arial" w:cs="Arial"/>
                <w:b/>
                <w:sz w:val="22"/>
                <w:szCs w:val="22"/>
              </w:rPr>
            </w:pPr>
            <w:r w:rsidRPr="000D756E">
              <w:rPr>
                <w:rFonts w:ascii="Arial" w:hAnsi="Arial" w:cs="Arial"/>
                <w:b/>
                <w:sz w:val="22"/>
                <w:szCs w:val="22"/>
              </w:rPr>
              <w:t>Fire Pension</w:t>
            </w:r>
          </w:p>
          <w:p w14:paraId="683BD869" w14:textId="77777777" w:rsidR="00AC0709" w:rsidRPr="000D756E" w:rsidRDefault="00AC0709" w:rsidP="006863D1">
            <w:pPr>
              <w:jc w:val="center"/>
              <w:rPr>
                <w:rFonts w:ascii="Arial" w:hAnsi="Arial" w:cs="Arial"/>
                <w:b/>
                <w:sz w:val="22"/>
                <w:szCs w:val="22"/>
              </w:rPr>
            </w:pPr>
            <w:r w:rsidRPr="000D756E">
              <w:rPr>
                <w:rFonts w:ascii="Arial" w:hAnsi="Arial" w:cs="Arial"/>
                <w:b/>
                <w:sz w:val="22"/>
                <w:szCs w:val="22"/>
              </w:rPr>
              <w:t xml:space="preserve"> Schemes</w:t>
            </w:r>
          </w:p>
        </w:tc>
      </w:tr>
      <w:tr w:rsidR="006329E6" w:rsidRPr="000D756E" w14:paraId="00C2BD24" w14:textId="77777777" w:rsidTr="00165707">
        <w:tc>
          <w:tcPr>
            <w:tcW w:w="2376" w:type="dxa"/>
          </w:tcPr>
          <w:p w14:paraId="6097692C" w14:textId="77777777" w:rsidR="00882ADE" w:rsidRPr="000D756E" w:rsidRDefault="00882ADE" w:rsidP="00882ADE">
            <w:pPr>
              <w:rPr>
                <w:rFonts w:ascii="Arial" w:hAnsi="Arial" w:cs="Arial"/>
                <w:sz w:val="22"/>
                <w:szCs w:val="22"/>
              </w:rPr>
            </w:pPr>
          </w:p>
        </w:tc>
        <w:tc>
          <w:tcPr>
            <w:tcW w:w="1134" w:type="dxa"/>
          </w:tcPr>
          <w:p w14:paraId="2BAAB578" w14:textId="77777777" w:rsidR="00882ADE" w:rsidRPr="000D756E" w:rsidRDefault="00882ADE" w:rsidP="00882ADE">
            <w:pPr>
              <w:jc w:val="right"/>
              <w:rPr>
                <w:rFonts w:ascii="Arial" w:hAnsi="Arial" w:cs="Arial"/>
                <w:b/>
                <w:sz w:val="22"/>
                <w:szCs w:val="22"/>
              </w:rPr>
            </w:pPr>
          </w:p>
          <w:p w14:paraId="4F00996E" w14:textId="04F8E74C" w:rsidR="00882ADE" w:rsidRPr="000D756E" w:rsidRDefault="00882ADE" w:rsidP="00882ADE">
            <w:pPr>
              <w:jc w:val="right"/>
              <w:rPr>
                <w:rFonts w:ascii="Arial" w:hAnsi="Arial" w:cs="Arial"/>
                <w:b/>
                <w:sz w:val="22"/>
                <w:szCs w:val="22"/>
              </w:rPr>
            </w:pPr>
            <w:r w:rsidRPr="000D756E">
              <w:rPr>
                <w:rFonts w:ascii="Arial" w:hAnsi="Arial" w:cs="Arial"/>
                <w:b/>
                <w:sz w:val="22"/>
                <w:szCs w:val="22"/>
              </w:rPr>
              <w:t>202</w:t>
            </w:r>
            <w:r w:rsidR="00B86685">
              <w:rPr>
                <w:rFonts w:ascii="Arial" w:hAnsi="Arial" w:cs="Arial"/>
                <w:b/>
                <w:sz w:val="22"/>
                <w:szCs w:val="22"/>
              </w:rPr>
              <w:t>4/25</w:t>
            </w:r>
          </w:p>
          <w:p w14:paraId="650AECD2" w14:textId="77777777" w:rsidR="00882ADE" w:rsidRPr="000D756E" w:rsidRDefault="00882ADE" w:rsidP="00882ADE">
            <w:pPr>
              <w:jc w:val="right"/>
              <w:rPr>
                <w:rFonts w:ascii="Arial" w:hAnsi="Arial" w:cs="Arial"/>
                <w:b/>
                <w:sz w:val="22"/>
                <w:szCs w:val="22"/>
              </w:rPr>
            </w:pPr>
            <w:r w:rsidRPr="000D756E">
              <w:rPr>
                <w:rFonts w:ascii="Arial" w:hAnsi="Arial" w:cs="Arial"/>
                <w:b/>
                <w:sz w:val="22"/>
                <w:szCs w:val="22"/>
              </w:rPr>
              <w:t>£’000</w:t>
            </w:r>
          </w:p>
        </w:tc>
        <w:tc>
          <w:tcPr>
            <w:tcW w:w="1134" w:type="dxa"/>
          </w:tcPr>
          <w:p w14:paraId="439AE4CC" w14:textId="77777777" w:rsidR="00882ADE" w:rsidRPr="000D756E" w:rsidRDefault="00882ADE" w:rsidP="00882ADE">
            <w:pPr>
              <w:jc w:val="right"/>
              <w:rPr>
                <w:rFonts w:ascii="Arial" w:hAnsi="Arial" w:cs="Arial"/>
                <w:b/>
                <w:sz w:val="22"/>
                <w:szCs w:val="22"/>
              </w:rPr>
            </w:pPr>
          </w:p>
          <w:p w14:paraId="2848517C" w14:textId="2A0FA3E7" w:rsidR="00882ADE" w:rsidRPr="000D756E" w:rsidRDefault="00882ADE" w:rsidP="00882ADE">
            <w:pPr>
              <w:jc w:val="right"/>
              <w:rPr>
                <w:rFonts w:ascii="Arial" w:hAnsi="Arial" w:cs="Arial"/>
                <w:b/>
                <w:sz w:val="22"/>
                <w:szCs w:val="22"/>
              </w:rPr>
            </w:pPr>
            <w:r w:rsidRPr="000D756E">
              <w:rPr>
                <w:rFonts w:ascii="Arial" w:hAnsi="Arial" w:cs="Arial"/>
                <w:b/>
                <w:sz w:val="22"/>
                <w:szCs w:val="22"/>
              </w:rPr>
              <w:t>202</w:t>
            </w:r>
            <w:r w:rsidR="0089222B">
              <w:rPr>
                <w:rFonts w:ascii="Arial" w:hAnsi="Arial" w:cs="Arial"/>
                <w:b/>
                <w:sz w:val="22"/>
                <w:szCs w:val="22"/>
              </w:rPr>
              <w:t>3/24</w:t>
            </w:r>
          </w:p>
          <w:p w14:paraId="52D76F14" w14:textId="796AC0AF" w:rsidR="00882ADE" w:rsidRPr="000D756E" w:rsidRDefault="00882ADE" w:rsidP="00882ADE">
            <w:pPr>
              <w:jc w:val="right"/>
              <w:rPr>
                <w:rFonts w:ascii="Arial" w:hAnsi="Arial" w:cs="Arial"/>
                <w:b/>
                <w:sz w:val="22"/>
                <w:szCs w:val="22"/>
              </w:rPr>
            </w:pPr>
            <w:r w:rsidRPr="000D756E">
              <w:rPr>
                <w:rFonts w:ascii="Arial" w:hAnsi="Arial" w:cs="Arial"/>
                <w:b/>
                <w:sz w:val="22"/>
                <w:szCs w:val="22"/>
              </w:rPr>
              <w:t>£’000</w:t>
            </w:r>
          </w:p>
        </w:tc>
        <w:tc>
          <w:tcPr>
            <w:tcW w:w="1134" w:type="dxa"/>
            <w:tcBorders>
              <w:top w:val="single" w:sz="4" w:space="0" w:color="auto"/>
              <w:left w:val="single" w:sz="4" w:space="0" w:color="auto"/>
              <w:right w:val="single" w:sz="4" w:space="0" w:color="auto"/>
            </w:tcBorders>
          </w:tcPr>
          <w:p w14:paraId="2DCD3207" w14:textId="77777777" w:rsidR="00882ADE" w:rsidRPr="000D756E" w:rsidRDefault="00882ADE" w:rsidP="00882ADE">
            <w:pPr>
              <w:pStyle w:val="Heading7"/>
              <w:jc w:val="center"/>
              <w:rPr>
                <w:rFonts w:cs="Arial"/>
                <w:sz w:val="22"/>
                <w:szCs w:val="22"/>
              </w:rPr>
            </w:pPr>
            <w:r w:rsidRPr="000D756E">
              <w:rPr>
                <w:rFonts w:cs="Arial"/>
                <w:sz w:val="22"/>
                <w:szCs w:val="22"/>
              </w:rPr>
              <w:t>‘1992’</w:t>
            </w:r>
          </w:p>
          <w:p w14:paraId="3404EF44" w14:textId="77337455" w:rsidR="00882ADE" w:rsidRPr="000D756E" w:rsidRDefault="00882ADE" w:rsidP="00882ADE">
            <w:pPr>
              <w:jc w:val="center"/>
              <w:rPr>
                <w:rFonts w:ascii="Arial" w:hAnsi="Arial" w:cs="Arial"/>
                <w:b/>
                <w:sz w:val="22"/>
                <w:szCs w:val="22"/>
              </w:rPr>
            </w:pPr>
            <w:r w:rsidRPr="000D756E">
              <w:rPr>
                <w:rFonts w:ascii="Arial" w:hAnsi="Arial" w:cs="Arial"/>
                <w:b/>
                <w:sz w:val="22"/>
                <w:szCs w:val="22"/>
              </w:rPr>
              <w:t>202</w:t>
            </w:r>
            <w:r w:rsidR="00B86685">
              <w:rPr>
                <w:rFonts w:ascii="Arial" w:hAnsi="Arial" w:cs="Arial"/>
                <w:b/>
                <w:sz w:val="22"/>
                <w:szCs w:val="22"/>
              </w:rPr>
              <w:t>4/25</w:t>
            </w:r>
          </w:p>
          <w:p w14:paraId="3C5BCA70" w14:textId="77777777" w:rsidR="00882ADE" w:rsidRPr="000D756E" w:rsidRDefault="00882ADE" w:rsidP="00882ADE">
            <w:pPr>
              <w:jc w:val="center"/>
              <w:rPr>
                <w:rFonts w:ascii="Arial" w:hAnsi="Arial" w:cs="Arial"/>
                <w:b/>
                <w:sz w:val="22"/>
                <w:szCs w:val="22"/>
              </w:rPr>
            </w:pPr>
            <w:r w:rsidRPr="000D756E">
              <w:rPr>
                <w:rFonts w:ascii="Arial" w:hAnsi="Arial" w:cs="Arial"/>
                <w:b/>
                <w:sz w:val="22"/>
                <w:szCs w:val="22"/>
              </w:rPr>
              <w:t>£’000</w:t>
            </w:r>
          </w:p>
        </w:tc>
        <w:tc>
          <w:tcPr>
            <w:tcW w:w="1134" w:type="dxa"/>
            <w:tcBorders>
              <w:top w:val="single" w:sz="4" w:space="0" w:color="auto"/>
              <w:left w:val="single" w:sz="4" w:space="0" w:color="auto"/>
              <w:right w:val="single" w:sz="4" w:space="0" w:color="auto"/>
            </w:tcBorders>
          </w:tcPr>
          <w:p w14:paraId="2871F026" w14:textId="77777777" w:rsidR="00882ADE" w:rsidRPr="000D756E" w:rsidRDefault="00882ADE" w:rsidP="00882ADE">
            <w:pPr>
              <w:pStyle w:val="Heading7"/>
              <w:jc w:val="center"/>
              <w:rPr>
                <w:rFonts w:cs="Arial"/>
                <w:sz w:val="22"/>
                <w:szCs w:val="22"/>
              </w:rPr>
            </w:pPr>
            <w:r w:rsidRPr="000D756E">
              <w:rPr>
                <w:rFonts w:cs="Arial"/>
                <w:sz w:val="22"/>
                <w:szCs w:val="22"/>
              </w:rPr>
              <w:t>‘2006’</w:t>
            </w:r>
          </w:p>
          <w:p w14:paraId="3616A3E4" w14:textId="69C3756E" w:rsidR="00882ADE" w:rsidRPr="000D756E" w:rsidRDefault="00882ADE" w:rsidP="00882ADE">
            <w:pPr>
              <w:jc w:val="center"/>
              <w:rPr>
                <w:rFonts w:ascii="Arial" w:hAnsi="Arial" w:cs="Arial"/>
                <w:b/>
                <w:sz w:val="22"/>
                <w:szCs w:val="22"/>
              </w:rPr>
            </w:pPr>
            <w:r w:rsidRPr="000D756E">
              <w:rPr>
                <w:rFonts w:ascii="Arial" w:hAnsi="Arial" w:cs="Arial"/>
                <w:b/>
                <w:sz w:val="22"/>
                <w:szCs w:val="22"/>
              </w:rPr>
              <w:t>202</w:t>
            </w:r>
            <w:r w:rsidR="00B86685">
              <w:rPr>
                <w:rFonts w:ascii="Arial" w:hAnsi="Arial" w:cs="Arial"/>
                <w:b/>
                <w:sz w:val="22"/>
                <w:szCs w:val="22"/>
              </w:rPr>
              <w:t>4/25</w:t>
            </w:r>
          </w:p>
          <w:p w14:paraId="1D9A439D" w14:textId="77777777" w:rsidR="00882ADE" w:rsidRPr="000D756E" w:rsidRDefault="00882ADE" w:rsidP="00882ADE">
            <w:pPr>
              <w:jc w:val="center"/>
              <w:rPr>
                <w:rFonts w:ascii="Arial" w:hAnsi="Arial" w:cs="Arial"/>
                <w:b/>
                <w:sz w:val="22"/>
                <w:szCs w:val="22"/>
              </w:rPr>
            </w:pPr>
            <w:r w:rsidRPr="000D756E">
              <w:rPr>
                <w:rFonts w:ascii="Arial" w:hAnsi="Arial" w:cs="Arial"/>
                <w:b/>
                <w:sz w:val="22"/>
                <w:szCs w:val="22"/>
              </w:rPr>
              <w:t>£’000</w:t>
            </w:r>
          </w:p>
        </w:tc>
        <w:tc>
          <w:tcPr>
            <w:tcW w:w="1134" w:type="dxa"/>
            <w:tcBorders>
              <w:top w:val="single" w:sz="4" w:space="0" w:color="auto"/>
              <w:left w:val="single" w:sz="4" w:space="0" w:color="auto"/>
              <w:right w:val="single" w:sz="4" w:space="0" w:color="auto"/>
            </w:tcBorders>
          </w:tcPr>
          <w:p w14:paraId="42209316" w14:textId="77777777" w:rsidR="00882ADE" w:rsidRPr="000D756E" w:rsidRDefault="00882ADE" w:rsidP="00882ADE">
            <w:pPr>
              <w:pStyle w:val="Heading7"/>
              <w:jc w:val="center"/>
              <w:rPr>
                <w:rFonts w:cs="Arial"/>
                <w:sz w:val="22"/>
                <w:szCs w:val="22"/>
              </w:rPr>
            </w:pPr>
            <w:r w:rsidRPr="000D756E">
              <w:rPr>
                <w:rFonts w:cs="Arial"/>
                <w:sz w:val="22"/>
                <w:szCs w:val="22"/>
              </w:rPr>
              <w:t>‘2015’</w:t>
            </w:r>
          </w:p>
          <w:p w14:paraId="76B77D8B" w14:textId="27241246" w:rsidR="00882ADE" w:rsidRPr="000D756E" w:rsidRDefault="00882ADE" w:rsidP="00882ADE">
            <w:pPr>
              <w:jc w:val="center"/>
              <w:rPr>
                <w:rFonts w:ascii="Arial" w:hAnsi="Arial" w:cs="Arial"/>
                <w:b/>
                <w:sz w:val="22"/>
                <w:szCs w:val="22"/>
              </w:rPr>
            </w:pPr>
            <w:r w:rsidRPr="000D756E">
              <w:rPr>
                <w:rFonts w:ascii="Arial" w:hAnsi="Arial" w:cs="Arial"/>
                <w:b/>
                <w:sz w:val="22"/>
                <w:szCs w:val="22"/>
              </w:rPr>
              <w:t>202</w:t>
            </w:r>
            <w:r w:rsidR="00B86685">
              <w:rPr>
                <w:rFonts w:ascii="Arial" w:hAnsi="Arial" w:cs="Arial"/>
                <w:b/>
                <w:sz w:val="22"/>
                <w:szCs w:val="22"/>
              </w:rPr>
              <w:t>4/25</w:t>
            </w:r>
          </w:p>
          <w:p w14:paraId="7858336E" w14:textId="77777777" w:rsidR="00882ADE" w:rsidRPr="000D756E" w:rsidRDefault="00882ADE" w:rsidP="00882ADE">
            <w:pPr>
              <w:jc w:val="center"/>
              <w:rPr>
                <w:rFonts w:ascii="Arial" w:hAnsi="Arial" w:cs="Arial"/>
                <w:b/>
                <w:sz w:val="22"/>
                <w:szCs w:val="22"/>
              </w:rPr>
            </w:pPr>
            <w:r w:rsidRPr="000D756E">
              <w:rPr>
                <w:rFonts w:ascii="Arial" w:hAnsi="Arial" w:cs="Arial"/>
                <w:b/>
                <w:sz w:val="22"/>
                <w:szCs w:val="22"/>
              </w:rPr>
              <w:t>£’000</w:t>
            </w:r>
          </w:p>
        </w:tc>
        <w:tc>
          <w:tcPr>
            <w:tcW w:w="1134" w:type="dxa"/>
          </w:tcPr>
          <w:p w14:paraId="6AB9FF90" w14:textId="77777777" w:rsidR="00882ADE" w:rsidRPr="000D756E" w:rsidRDefault="00882ADE" w:rsidP="00882ADE">
            <w:pPr>
              <w:pStyle w:val="Heading7"/>
              <w:jc w:val="center"/>
              <w:rPr>
                <w:rFonts w:cs="Arial"/>
                <w:sz w:val="22"/>
                <w:szCs w:val="22"/>
              </w:rPr>
            </w:pPr>
            <w:r w:rsidRPr="000D756E">
              <w:rPr>
                <w:rFonts w:cs="Arial"/>
                <w:sz w:val="22"/>
                <w:szCs w:val="22"/>
              </w:rPr>
              <w:t>Total</w:t>
            </w:r>
          </w:p>
          <w:p w14:paraId="7C8E3A35" w14:textId="12B9F15E" w:rsidR="00882ADE" w:rsidRPr="000D756E" w:rsidRDefault="00882ADE" w:rsidP="00882ADE">
            <w:pPr>
              <w:jc w:val="center"/>
              <w:rPr>
                <w:rFonts w:ascii="Arial" w:hAnsi="Arial" w:cs="Arial"/>
                <w:b/>
                <w:sz w:val="22"/>
                <w:szCs w:val="22"/>
              </w:rPr>
            </w:pPr>
            <w:r w:rsidRPr="000D756E">
              <w:rPr>
                <w:rFonts w:ascii="Arial" w:hAnsi="Arial" w:cs="Arial"/>
                <w:b/>
                <w:sz w:val="22"/>
                <w:szCs w:val="22"/>
              </w:rPr>
              <w:t>202</w:t>
            </w:r>
            <w:r w:rsidR="00B86685">
              <w:rPr>
                <w:rFonts w:ascii="Arial" w:hAnsi="Arial" w:cs="Arial"/>
                <w:b/>
                <w:sz w:val="22"/>
                <w:szCs w:val="22"/>
              </w:rPr>
              <w:t>4/25</w:t>
            </w:r>
          </w:p>
          <w:p w14:paraId="775C0FF7" w14:textId="77777777" w:rsidR="00882ADE" w:rsidRPr="000D756E" w:rsidRDefault="00882ADE" w:rsidP="00882ADE">
            <w:pPr>
              <w:jc w:val="center"/>
              <w:rPr>
                <w:rFonts w:ascii="Arial" w:hAnsi="Arial" w:cs="Arial"/>
                <w:b/>
                <w:sz w:val="22"/>
                <w:szCs w:val="22"/>
              </w:rPr>
            </w:pPr>
            <w:r w:rsidRPr="000D756E">
              <w:rPr>
                <w:rFonts w:ascii="Arial" w:hAnsi="Arial" w:cs="Arial"/>
                <w:b/>
                <w:sz w:val="22"/>
                <w:szCs w:val="22"/>
              </w:rPr>
              <w:t>£’000</w:t>
            </w:r>
          </w:p>
        </w:tc>
        <w:tc>
          <w:tcPr>
            <w:tcW w:w="1134" w:type="dxa"/>
          </w:tcPr>
          <w:p w14:paraId="3A56268E" w14:textId="77777777" w:rsidR="00882ADE" w:rsidRPr="000D756E" w:rsidRDefault="00882ADE" w:rsidP="00882ADE">
            <w:pPr>
              <w:pStyle w:val="Heading7"/>
              <w:jc w:val="center"/>
              <w:rPr>
                <w:rFonts w:cs="Arial"/>
                <w:sz w:val="22"/>
                <w:szCs w:val="22"/>
              </w:rPr>
            </w:pPr>
            <w:r w:rsidRPr="000D756E">
              <w:rPr>
                <w:rFonts w:cs="Arial"/>
                <w:sz w:val="22"/>
                <w:szCs w:val="22"/>
              </w:rPr>
              <w:t>Total</w:t>
            </w:r>
          </w:p>
          <w:p w14:paraId="1611EA7C" w14:textId="4B7BBEF7" w:rsidR="00882ADE" w:rsidRPr="000D756E" w:rsidRDefault="00882ADE" w:rsidP="00882ADE">
            <w:pPr>
              <w:jc w:val="center"/>
              <w:rPr>
                <w:rFonts w:ascii="Arial" w:hAnsi="Arial" w:cs="Arial"/>
                <w:b/>
                <w:sz w:val="22"/>
                <w:szCs w:val="22"/>
              </w:rPr>
            </w:pPr>
            <w:r w:rsidRPr="000D756E">
              <w:rPr>
                <w:rFonts w:ascii="Arial" w:hAnsi="Arial" w:cs="Arial"/>
                <w:b/>
                <w:sz w:val="22"/>
                <w:szCs w:val="22"/>
              </w:rPr>
              <w:t>202</w:t>
            </w:r>
            <w:r w:rsidR="00B86685">
              <w:rPr>
                <w:rFonts w:ascii="Arial" w:hAnsi="Arial" w:cs="Arial"/>
                <w:b/>
                <w:sz w:val="22"/>
                <w:szCs w:val="22"/>
              </w:rPr>
              <w:t>3/24</w:t>
            </w:r>
          </w:p>
          <w:p w14:paraId="6673BA66" w14:textId="485D42CE" w:rsidR="00882ADE" w:rsidRPr="000D756E" w:rsidRDefault="00882ADE" w:rsidP="00882ADE">
            <w:pPr>
              <w:jc w:val="center"/>
              <w:rPr>
                <w:rFonts w:ascii="Arial" w:hAnsi="Arial" w:cs="Arial"/>
                <w:b/>
                <w:sz w:val="22"/>
                <w:szCs w:val="22"/>
              </w:rPr>
            </w:pPr>
            <w:r w:rsidRPr="000D756E">
              <w:rPr>
                <w:rFonts w:ascii="Arial" w:hAnsi="Arial" w:cs="Arial"/>
                <w:b/>
                <w:sz w:val="22"/>
                <w:szCs w:val="22"/>
              </w:rPr>
              <w:t>£’000</w:t>
            </w:r>
          </w:p>
        </w:tc>
      </w:tr>
      <w:tr w:rsidR="00B86685" w:rsidRPr="000D756E" w14:paraId="5BDDF12C" w14:textId="77777777" w:rsidTr="00135DC4">
        <w:tc>
          <w:tcPr>
            <w:tcW w:w="2376" w:type="dxa"/>
          </w:tcPr>
          <w:p w14:paraId="49DEB8A3" w14:textId="77777777" w:rsidR="00B86685" w:rsidRPr="000D756E" w:rsidRDefault="00B86685" w:rsidP="00B86685">
            <w:pPr>
              <w:rPr>
                <w:rFonts w:ascii="Arial" w:hAnsi="Arial" w:cs="Arial"/>
                <w:sz w:val="22"/>
                <w:szCs w:val="22"/>
              </w:rPr>
            </w:pPr>
            <w:r w:rsidRPr="000D756E">
              <w:rPr>
                <w:rFonts w:ascii="Arial" w:hAnsi="Arial" w:cs="Arial"/>
                <w:sz w:val="22"/>
                <w:szCs w:val="22"/>
              </w:rPr>
              <w:t>Present value of the defined benefit obligation</w:t>
            </w:r>
          </w:p>
        </w:tc>
        <w:tc>
          <w:tcPr>
            <w:tcW w:w="1134" w:type="dxa"/>
          </w:tcPr>
          <w:p w14:paraId="6DF8A543" w14:textId="77777777" w:rsidR="00B86685" w:rsidRDefault="00B86685" w:rsidP="00B86685">
            <w:pPr>
              <w:jc w:val="right"/>
              <w:rPr>
                <w:rFonts w:ascii="Arial" w:hAnsi="Arial" w:cs="Arial"/>
                <w:sz w:val="22"/>
                <w:szCs w:val="22"/>
              </w:rPr>
            </w:pPr>
          </w:p>
          <w:p w14:paraId="36D72DD8" w14:textId="21151973" w:rsidR="00AC7988" w:rsidRPr="000D756E" w:rsidRDefault="00AC7988" w:rsidP="00B86685">
            <w:pPr>
              <w:jc w:val="right"/>
              <w:rPr>
                <w:rFonts w:ascii="Arial" w:hAnsi="Arial" w:cs="Arial"/>
                <w:sz w:val="22"/>
                <w:szCs w:val="22"/>
              </w:rPr>
            </w:pPr>
            <w:r>
              <w:rPr>
                <w:rFonts w:ascii="Arial" w:hAnsi="Arial" w:cs="Arial"/>
                <w:sz w:val="22"/>
                <w:szCs w:val="22"/>
              </w:rPr>
              <w:t>19,213</w:t>
            </w:r>
          </w:p>
        </w:tc>
        <w:tc>
          <w:tcPr>
            <w:tcW w:w="1134" w:type="dxa"/>
          </w:tcPr>
          <w:p w14:paraId="7DB00F56" w14:textId="77777777" w:rsidR="00B86685" w:rsidRPr="000D756E" w:rsidRDefault="00B86685" w:rsidP="00B86685">
            <w:pPr>
              <w:jc w:val="right"/>
              <w:rPr>
                <w:rFonts w:ascii="Arial" w:hAnsi="Arial" w:cs="Arial"/>
                <w:sz w:val="22"/>
                <w:szCs w:val="22"/>
              </w:rPr>
            </w:pPr>
          </w:p>
          <w:p w14:paraId="2B21B060" w14:textId="664953E5" w:rsidR="00B86685" w:rsidRPr="000D756E" w:rsidRDefault="00B86685" w:rsidP="00B86685">
            <w:pPr>
              <w:jc w:val="right"/>
              <w:rPr>
                <w:rFonts w:ascii="Arial" w:hAnsi="Arial" w:cs="Arial"/>
                <w:sz w:val="22"/>
                <w:szCs w:val="22"/>
              </w:rPr>
            </w:pPr>
            <w:r w:rsidRPr="000D756E">
              <w:rPr>
                <w:rFonts w:ascii="Arial" w:hAnsi="Arial" w:cs="Arial"/>
                <w:sz w:val="22"/>
                <w:szCs w:val="22"/>
              </w:rPr>
              <w:t>21,670</w:t>
            </w:r>
          </w:p>
        </w:tc>
        <w:tc>
          <w:tcPr>
            <w:tcW w:w="1134" w:type="dxa"/>
          </w:tcPr>
          <w:p w14:paraId="74709DD8" w14:textId="77777777" w:rsidR="00B86685" w:rsidRDefault="00B86685" w:rsidP="00B86685">
            <w:pPr>
              <w:jc w:val="right"/>
              <w:rPr>
                <w:rFonts w:ascii="Arial" w:hAnsi="Arial" w:cs="Arial"/>
                <w:sz w:val="22"/>
                <w:szCs w:val="22"/>
              </w:rPr>
            </w:pPr>
          </w:p>
          <w:p w14:paraId="0AEAFF12" w14:textId="4A6124C5" w:rsidR="00AC7988" w:rsidRPr="000D756E" w:rsidRDefault="00AC7988" w:rsidP="00B86685">
            <w:pPr>
              <w:jc w:val="right"/>
              <w:rPr>
                <w:rFonts w:ascii="Arial" w:hAnsi="Arial" w:cs="Arial"/>
                <w:sz w:val="22"/>
                <w:szCs w:val="22"/>
              </w:rPr>
            </w:pPr>
            <w:r>
              <w:rPr>
                <w:rFonts w:ascii="Arial" w:hAnsi="Arial" w:cs="Arial"/>
                <w:sz w:val="22"/>
                <w:szCs w:val="22"/>
              </w:rPr>
              <w:t>132,873</w:t>
            </w:r>
          </w:p>
        </w:tc>
        <w:tc>
          <w:tcPr>
            <w:tcW w:w="1134" w:type="dxa"/>
          </w:tcPr>
          <w:p w14:paraId="77BE13FE" w14:textId="77777777" w:rsidR="00B86685" w:rsidRDefault="00B86685" w:rsidP="00B86685">
            <w:pPr>
              <w:jc w:val="right"/>
              <w:rPr>
                <w:rFonts w:ascii="Arial" w:hAnsi="Arial" w:cs="Arial"/>
                <w:sz w:val="22"/>
                <w:szCs w:val="22"/>
              </w:rPr>
            </w:pPr>
          </w:p>
          <w:p w14:paraId="0AF62B79" w14:textId="13F7E684" w:rsidR="00AC7988" w:rsidRPr="000D756E" w:rsidRDefault="00AC7988" w:rsidP="00B86685">
            <w:pPr>
              <w:jc w:val="right"/>
              <w:rPr>
                <w:rFonts w:ascii="Arial" w:hAnsi="Arial" w:cs="Arial"/>
                <w:sz w:val="22"/>
                <w:szCs w:val="22"/>
              </w:rPr>
            </w:pPr>
            <w:r>
              <w:rPr>
                <w:rFonts w:ascii="Arial" w:hAnsi="Arial" w:cs="Arial"/>
                <w:sz w:val="22"/>
                <w:szCs w:val="22"/>
              </w:rPr>
              <w:t>17,039</w:t>
            </w:r>
          </w:p>
        </w:tc>
        <w:tc>
          <w:tcPr>
            <w:tcW w:w="1134" w:type="dxa"/>
          </w:tcPr>
          <w:p w14:paraId="6F8DB46D" w14:textId="77777777" w:rsidR="00B86685" w:rsidRDefault="00B86685" w:rsidP="00B86685">
            <w:pPr>
              <w:jc w:val="right"/>
              <w:rPr>
                <w:rFonts w:ascii="Arial" w:hAnsi="Arial" w:cs="Arial"/>
                <w:sz w:val="22"/>
                <w:szCs w:val="22"/>
              </w:rPr>
            </w:pPr>
          </w:p>
          <w:p w14:paraId="77AD8FB7" w14:textId="45745B57" w:rsidR="00AC7988" w:rsidRPr="000D756E" w:rsidRDefault="00AC7988" w:rsidP="00B86685">
            <w:pPr>
              <w:jc w:val="right"/>
              <w:rPr>
                <w:rFonts w:ascii="Arial" w:hAnsi="Arial" w:cs="Arial"/>
                <w:sz w:val="22"/>
                <w:szCs w:val="22"/>
              </w:rPr>
            </w:pPr>
            <w:r>
              <w:rPr>
                <w:rFonts w:ascii="Arial" w:hAnsi="Arial" w:cs="Arial"/>
                <w:sz w:val="22"/>
                <w:szCs w:val="22"/>
              </w:rPr>
              <w:t>11</w:t>
            </w:r>
            <w:r w:rsidR="006956C8">
              <w:rPr>
                <w:rFonts w:ascii="Arial" w:hAnsi="Arial" w:cs="Arial"/>
                <w:sz w:val="22"/>
                <w:szCs w:val="22"/>
              </w:rPr>
              <w:t>,192</w:t>
            </w:r>
          </w:p>
        </w:tc>
        <w:tc>
          <w:tcPr>
            <w:tcW w:w="1134" w:type="dxa"/>
          </w:tcPr>
          <w:p w14:paraId="4693CD7C" w14:textId="77777777" w:rsidR="00B86685" w:rsidRDefault="00B86685" w:rsidP="00B86685">
            <w:pPr>
              <w:jc w:val="right"/>
              <w:rPr>
                <w:rFonts w:ascii="Arial" w:hAnsi="Arial" w:cs="Arial"/>
                <w:sz w:val="22"/>
                <w:szCs w:val="22"/>
              </w:rPr>
            </w:pPr>
          </w:p>
          <w:p w14:paraId="445D46D2" w14:textId="6D9CB7F4" w:rsidR="006956C8" w:rsidRPr="000D756E" w:rsidRDefault="006956C8" w:rsidP="00B86685">
            <w:pPr>
              <w:jc w:val="right"/>
              <w:rPr>
                <w:rFonts w:ascii="Arial" w:hAnsi="Arial" w:cs="Arial"/>
                <w:sz w:val="22"/>
                <w:szCs w:val="22"/>
              </w:rPr>
            </w:pPr>
            <w:r>
              <w:rPr>
                <w:rFonts w:ascii="Arial" w:hAnsi="Arial" w:cs="Arial"/>
                <w:sz w:val="22"/>
                <w:szCs w:val="22"/>
              </w:rPr>
              <w:t>161,104</w:t>
            </w:r>
          </w:p>
        </w:tc>
        <w:tc>
          <w:tcPr>
            <w:tcW w:w="1134" w:type="dxa"/>
          </w:tcPr>
          <w:p w14:paraId="0D69CDFC" w14:textId="77777777" w:rsidR="00B86685" w:rsidRPr="000D756E" w:rsidRDefault="00B86685" w:rsidP="00B86685">
            <w:pPr>
              <w:jc w:val="right"/>
              <w:rPr>
                <w:rFonts w:ascii="Arial" w:hAnsi="Arial" w:cs="Arial"/>
                <w:sz w:val="22"/>
                <w:szCs w:val="22"/>
              </w:rPr>
            </w:pPr>
          </w:p>
          <w:p w14:paraId="51E867AB" w14:textId="2F0FEA2E" w:rsidR="00B86685" w:rsidRPr="000D756E" w:rsidRDefault="00B86685" w:rsidP="00B86685">
            <w:pPr>
              <w:jc w:val="right"/>
              <w:rPr>
                <w:rFonts w:ascii="Arial" w:hAnsi="Arial" w:cs="Arial"/>
                <w:sz w:val="22"/>
                <w:szCs w:val="22"/>
              </w:rPr>
            </w:pPr>
            <w:r w:rsidRPr="000D756E">
              <w:rPr>
                <w:rFonts w:ascii="Arial" w:hAnsi="Arial" w:cs="Arial"/>
                <w:sz w:val="22"/>
                <w:szCs w:val="22"/>
              </w:rPr>
              <w:t>182,586</w:t>
            </w:r>
          </w:p>
        </w:tc>
      </w:tr>
      <w:tr w:rsidR="00B86685" w:rsidRPr="000D756E" w14:paraId="385B539F" w14:textId="77777777" w:rsidTr="00AC7988">
        <w:trPr>
          <w:trHeight w:val="438"/>
        </w:trPr>
        <w:tc>
          <w:tcPr>
            <w:tcW w:w="2376" w:type="dxa"/>
            <w:vAlign w:val="bottom"/>
          </w:tcPr>
          <w:p w14:paraId="2A7FB989" w14:textId="77777777" w:rsidR="00B86685" w:rsidRPr="000D756E" w:rsidRDefault="00B86685" w:rsidP="00B86685">
            <w:pPr>
              <w:rPr>
                <w:rFonts w:ascii="Arial" w:hAnsi="Arial" w:cs="Arial"/>
                <w:sz w:val="22"/>
                <w:szCs w:val="22"/>
              </w:rPr>
            </w:pPr>
            <w:r w:rsidRPr="000D756E">
              <w:rPr>
                <w:rFonts w:ascii="Arial" w:hAnsi="Arial" w:cs="Arial"/>
                <w:sz w:val="22"/>
                <w:szCs w:val="22"/>
              </w:rPr>
              <w:t>Fair value of plan assets</w:t>
            </w:r>
          </w:p>
          <w:p w14:paraId="6C7A0DF5" w14:textId="1AEE0B1C" w:rsidR="00B86685" w:rsidRPr="000D756E" w:rsidRDefault="00B86685" w:rsidP="00B86685">
            <w:pPr>
              <w:rPr>
                <w:rFonts w:ascii="Arial" w:hAnsi="Arial" w:cs="Arial"/>
                <w:sz w:val="22"/>
                <w:szCs w:val="22"/>
              </w:rPr>
            </w:pPr>
            <w:r w:rsidRPr="000D756E">
              <w:rPr>
                <w:rFonts w:ascii="Arial" w:hAnsi="Arial" w:cs="Arial"/>
                <w:sz w:val="22"/>
                <w:szCs w:val="22"/>
              </w:rPr>
              <w:t>Impact of asset ceiling</w:t>
            </w:r>
          </w:p>
        </w:tc>
        <w:tc>
          <w:tcPr>
            <w:tcW w:w="1134" w:type="dxa"/>
          </w:tcPr>
          <w:p w14:paraId="1C58ED90" w14:textId="77777777" w:rsidR="00B86685" w:rsidRDefault="00B86685" w:rsidP="00AC7988">
            <w:pPr>
              <w:jc w:val="right"/>
              <w:rPr>
                <w:rFonts w:ascii="Arial" w:hAnsi="Arial" w:cs="Arial"/>
                <w:sz w:val="22"/>
                <w:szCs w:val="22"/>
              </w:rPr>
            </w:pPr>
          </w:p>
          <w:p w14:paraId="11F375BC" w14:textId="77777777" w:rsidR="00AC7988" w:rsidRDefault="00AC7988" w:rsidP="00AC7988">
            <w:pPr>
              <w:jc w:val="right"/>
              <w:rPr>
                <w:rFonts w:ascii="Arial" w:hAnsi="Arial" w:cs="Arial"/>
                <w:sz w:val="22"/>
                <w:szCs w:val="22"/>
              </w:rPr>
            </w:pPr>
            <w:r>
              <w:rPr>
                <w:rFonts w:ascii="Arial" w:hAnsi="Arial" w:cs="Arial"/>
                <w:sz w:val="22"/>
                <w:szCs w:val="22"/>
              </w:rPr>
              <w:t>-23,062</w:t>
            </w:r>
          </w:p>
          <w:p w14:paraId="21765C34" w14:textId="3CE0C9FC" w:rsidR="00AC7988" w:rsidRPr="000D756E" w:rsidRDefault="00AC7988" w:rsidP="00AC7988">
            <w:pPr>
              <w:jc w:val="right"/>
              <w:rPr>
                <w:rFonts w:ascii="Arial" w:hAnsi="Arial" w:cs="Arial"/>
                <w:sz w:val="22"/>
                <w:szCs w:val="22"/>
              </w:rPr>
            </w:pPr>
            <w:r>
              <w:rPr>
                <w:rFonts w:ascii="Arial" w:hAnsi="Arial" w:cs="Arial"/>
                <w:sz w:val="22"/>
                <w:szCs w:val="22"/>
              </w:rPr>
              <w:t>3,849</w:t>
            </w:r>
          </w:p>
        </w:tc>
        <w:tc>
          <w:tcPr>
            <w:tcW w:w="1134" w:type="dxa"/>
            <w:vAlign w:val="bottom"/>
          </w:tcPr>
          <w:p w14:paraId="5DF265F8" w14:textId="77777777" w:rsidR="00B86685" w:rsidRPr="000D756E" w:rsidRDefault="00B86685" w:rsidP="00B86685">
            <w:pPr>
              <w:jc w:val="right"/>
              <w:rPr>
                <w:rFonts w:ascii="Arial" w:hAnsi="Arial" w:cs="Arial"/>
                <w:sz w:val="22"/>
                <w:szCs w:val="22"/>
              </w:rPr>
            </w:pPr>
            <w:r w:rsidRPr="000D756E">
              <w:rPr>
                <w:rFonts w:ascii="Arial" w:hAnsi="Arial" w:cs="Arial"/>
                <w:sz w:val="22"/>
                <w:szCs w:val="22"/>
              </w:rPr>
              <w:t>-22,000</w:t>
            </w:r>
          </w:p>
          <w:p w14:paraId="373EBED3" w14:textId="77777777" w:rsidR="00B86685" w:rsidRPr="000D756E" w:rsidRDefault="00B86685" w:rsidP="00B86685">
            <w:pPr>
              <w:jc w:val="right"/>
              <w:rPr>
                <w:rFonts w:ascii="Arial" w:hAnsi="Arial" w:cs="Arial"/>
                <w:sz w:val="22"/>
                <w:szCs w:val="22"/>
              </w:rPr>
            </w:pPr>
            <w:r w:rsidRPr="000D756E">
              <w:rPr>
                <w:rFonts w:ascii="Arial" w:hAnsi="Arial" w:cs="Arial"/>
                <w:sz w:val="22"/>
                <w:szCs w:val="22"/>
              </w:rPr>
              <w:t>330</w:t>
            </w:r>
          </w:p>
          <w:p w14:paraId="54BBF574" w14:textId="2624698F" w:rsidR="00B86685" w:rsidRPr="000D756E" w:rsidRDefault="00B86685" w:rsidP="00B86685">
            <w:pPr>
              <w:jc w:val="right"/>
              <w:rPr>
                <w:rFonts w:ascii="Arial" w:hAnsi="Arial" w:cs="Arial"/>
                <w:sz w:val="22"/>
                <w:szCs w:val="22"/>
              </w:rPr>
            </w:pPr>
          </w:p>
        </w:tc>
        <w:tc>
          <w:tcPr>
            <w:tcW w:w="1134" w:type="dxa"/>
          </w:tcPr>
          <w:p w14:paraId="3F00F39C" w14:textId="77777777" w:rsidR="00B86685" w:rsidRDefault="00B86685" w:rsidP="00B86685">
            <w:pPr>
              <w:jc w:val="right"/>
              <w:rPr>
                <w:rFonts w:ascii="Arial" w:hAnsi="Arial" w:cs="Arial"/>
                <w:sz w:val="22"/>
                <w:szCs w:val="22"/>
              </w:rPr>
            </w:pPr>
          </w:p>
          <w:p w14:paraId="6CE5A5C6" w14:textId="77777777" w:rsidR="00AC7988" w:rsidRDefault="00AC7988" w:rsidP="00B86685">
            <w:pPr>
              <w:jc w:val="right"/>
              <w:rPr>
                <w:rFonts w:ascii="Arial" w:hAnsi="Arial" w:cs="Arial"/>
                <w:sz w:val="22"/>
                <w:szCs w:val="22"/>
              </w:rPr>
            </w:pPr>
            <w:r>
              <w:rPr>
                <w:rFonts w:ascii="Arial" w:hAnsi="Arial" w:cs="Arial"/>
                <w:sz w:val="22"/>
                <w:szCs w:val="22"/>
              </w:rPr>
              <w:t>0</w:t>
            </w:r>
          </w:p>
          <w:p w14:paraId="49C456AE" w14:textId="411583A8" w:rsidR="00AC7988" w:rsidRPr="000D756E" w:rsidRDefault="00AC7988" w:rsidP="00B86685">
            <w:pPr>
              <w:jc w:val="right"/>
              <w:rPr>
                <w:rFonts w:ascii="Arial" w:hAnsi="Arial" w:cs="Arial"/>
                <w:sz w:val="22"/>
                <w:szCs w:val="22"/>
              </w:rPr>
            </w:pPr>
            <w:r>
              <w:rPr>
                <w:rFonts w:ascii="Arial" w:hAnsi="Arial" w:cs="Arial"/>
                <w:sz w:val="22"/>
                <w:szCs w:val="22"/>
              </w:rPr>
              <w:t>0</w:t>
            </w:r>
          </w:p>
        </w:tc>
        <w:tc>
          <w:tcPr>
            <w:tcW w:w="1134" w:type="dxa"/>
          </w:tcPr>
          <w:p w14:paraId="1483B3CD" w14:textId="77777777" w:rsidR="00B86685" w:rsidRDefault="00B86685" w:rsidP="00B86685">
            <w:pPr>
              <w:jc w:val="right"/>
              <w:rPr>
                <w:rFonts w:ascii="Arial" w:hAnsi="Arial" w:cs="Arial"/>
                <w:sz w:val="22"/>
                <w:szCs w:val="22"/>
              </w:rPr>
            </w:pPr>
          </w:p>
          <w:p w14:paraId="6E02B12E" w14:textId="77777777" w:rsidR="00AC7988" w:rsidRDefault="00AC7988" w:rsidP="00B86685">
            <w:pPr>
              <w:jc w:val="right"/>
              <w:rPr>
                <w:rFonts w:ascii="Arial" w:hAnsi="Arial" w:cs="Arial"/>
                <w:sz w:val="22"/>
                <w:szCs w:val="22"/>
              </w:rPr>
            </w:pPr>
            <w:r>
              <w:rPr>
                <w:rFonts w:ascii="Arial" w:hAnsi="Arial" w:cs="Arial"/>
                <w:sz w:val="22"/>
                <w:szCs w:val="22"/>
              </w:rPr>
              <w:t>0</w:t>
            </w:r>
          </w:p>
          <w:p w14:paraId="0C3E2E80" w14:textId="78541DAE" w:rsidR="00AC7988" w:rsidRPr="000D756E" w:rsidRDefault="00AC7988" w:rsidP="00B86685">
            <w:pPr>
              <w:jc w:val="right"/>
              <w:rPr>
                <w:rFonts w:ascii="Arial" w:hAnsi="Arial" w:cs="Arial"/>
                <w:sz w:val="22"/>
                <w:szCs w:val="22"/>
              </w:rPr>
            </w:pPr>
            <w:r>
              <w:rPr>
                <w:rFonts w:ascii="Arial" w:hAnsi="Arial" w:cs="Arial"/>
                <w:sz w:val="22"/>
                <w:szCs w:val="22"/>
              </w:rPr>
              <w:t>0</w:t>
            </w:r>
          </w:p>
        </w:tc>
        <w:tc>
          <w:tcPr>
            <w:tcW w:w="1134" w:type="dxa"/>
          </w:tcPr>
          <w:p w14:paraId="205A413D" w14:textId="77777777" w:rsidR="00B86685" w:rsidRDefault="00B86685" w:rsidP="00B86685">
            <w:pPr>
              <w:jc w:val="right"/>
              <w:rPr>
                <w:rFonts w:ascii="Arial" w:hAnsi="Arial" w:cs="Arial"/>
                <w:sz w:val="22"/>
                <w:szCs w:val="22"/>
              </w:rPr>
            </w:pPr>
          </w:p>
          <w:p w14:paraId="6F96E092" w14:textId="77777777" w:rsidR="006956C8" w:rsidRDefault="006956C8" w:rsidP="00B86685">
            <w:pPr>
              <w:jc w:val="right"/>
              <w:rPr>
                <w:rFonts w:ascii="Arial" w:hAnsi="Arial" w:cs="Arial"/>
                <w:sz w:val="22"/>
                <w:szCs w:val="22"/>
              </w:rPr>
            </w:pPr>
            <w:r>
              <w:rPr>
                <w:rFonts w:ascii="Arial" w:hAnsi="Arial" w:cs="Arial"/>
                <w:sz w:val="22"/>
                <w:szCs w:val="22"/>
              </w:rPr>
              <w:t>0</w:t>
            </w:r>
          </w:p>
          <w:p w14:paraId="08C6FA0E" w14:textId="0A3240DF" w:rsidR="006956C8" w:rsidRPr="000D756E" w:rsidRDefault="006956C8" w:rsidP="00B86685">
            <w:pPr>
              <w:jc w:val="right"/>
              <w:rPr>
                <w:rFonts w:ascii="Arial" w:hAnsi="Arial" w:cs="Arial"/>
                <w:sz w:val="22"/>
                <w:szCs w:val="22"/>
              </w:rPr>
            </w:pPr>
            <w:r>
              <w:rPr>
                <w:rFonts w:ascii="Arial" w:hAnsi="Arial" w:cs="Arial"/>
                <w:sz w:val="22"/>
                <w:szCs w:val="22"/>
              </w:rPr>
              <w:t>0</w:t>
            </w:r>
          </w:p>
        </w:tc>
        <w:tc>
          <w:tcPr>
            <w:tcW w:w="1134" w:type="dxa"/>
          </w:tcPr>
          <w:p w14:paraId="21456B5B" w14:textId="77777777" w:rsidR="00B86685" w:rsidRDefault="00B86685" w:rsidP="00B86685">
            <w:pPr>
              <w:jc w:val="right"/>
              <w:rPr>
                <w:rFonts w:ascii="Arial" w:hAnsi="Arial" w:cs="Arial"/>
                <w:sz w:val="22"/>
                <w:szCs w:val="22"/>
              </w:rPr>
            </w:pPr>
          </w:p>
          <w:p w14:paraId="66CDF373" w14:textId="77777777" w:rsidR="006956C8" w:rsidRDefault="006956C8" w:rsidP="00B86685">
            <w:pPr>
              <w:jc w:val="right"/>
              <w:rPr>
                <w:rFonts w:ascii="Arial" w:hAnsi="Arial" w:cs="Arial"/>
                <w:sz w:val="22"/>
                <w:szCs w:val="22"/>
              </w:rPr>
            </w:pPr>
            <w:r>
              <w:rPr>
                <w:rFonts w:ascii="Arial" w:hAnsi="Arial" w:cs="Arial"/>
                <w:sz w:val="22"/>
                <w:szCs w:val="22"/>
              </w:rPr>
              <w:t>0</w:t>
            </w:r>
          </w:p>
          <w:p w14:paraId="736E6248" w14:textId="060163E3" w:rsidR="006956C8" w:rsidRPr="000D756E" w:rsidRDefault="006956C8" w:rsidP="00B86685">
            <w:pPr>
              <w:jc w:val="right"/>
              <w:rPr>
                <w:rFonts w:ascii="Arial" w:hAnsi="Arial" w:cs="Arial"/>
                <w:sz w:val="22"/>
                <w:szCs w:val="22"/>
              </w:rPr>
            </w:pPr>
            <w:r>
              <w:rPr>
                <w:rFonts w:ascii="Arial" w:hAnsi="Arial" w:cs="Arial"/>
                <w:sz w:val="22"/>
                <w:szCs w:val="22"/>
              </w:rPr>
              <w:t>0</w:t>
            </w:r>
          </w:p>
        </w:tc>
        <w:tc>
          <w:tcPr>
            <w:tcW w:w="1134" w:type="dxa"/>
          </w:tcPr>
          <w:p w14:paraId="26922C1D" w14:textId="77777777" w:rsidR="00B86685" w:rsidRPr="000D756E" w:rsidRDefault="00B86685" w:rsidP="00B86685">
            <w:pPr>
              <w:jc w:val="right"/>
              <w:rPr>
                <w:rFonts w:ascii="Arial" w:hAnsi="Arial" w:cs="Arial"/>
                <w:sz w:val="22"/>
                <w:szCs w:val="22"/>
              </w:rPr>
            </w:pPr>
          </w:p>
          <w:p w14:paraId="6CBD61BC" w14:textId="50B32BE7" w:rsidR="00B86685" w:rsidRPr="000D756E" w:rsidRDefault="00B86685" w:rsidP="00B86685">
            <w:pPr>
              <w:jc w:val="right"/>
              <w:rPr>
                <w:rFonts w:ascii="Arial" w:hAnsi="Arial" w:cs="Arial"/>
                <w:sz w:val="22"/>
                <w:szCs w:val="22"/>
              </w:rPr>
            </w:pPr>
            <w:r w:rsidRPr="000D756E">
              <w:rPr>
                <w:rFonts w:ascii="Arial" w:hAnsi="Arial" w:cs="Arial"/>
                <w:sz w:val="22"/>
                <w:szCs w:val="22"/>
              </w:rPr>
              <w:t>0</w:t>
            </w:r>
          </w:p>
        </w:tc>
      </w:tr>
      <w:tr w:rsidR="00B86685" w:rsidRPr="000D756E" w14:paraId="10B79130" w14:textId="77777777" w:rsidTr="00135DC4">
        <w:tc>
          <w:tcPr>
            <w:tcW w:w="2376" w:type="dxa"/>
          </w:tcPr>
          <w:p w14:paraId="22A3CB03" w14:textId="77777777" w:rsidR="00B86685" w:rsidRPr="000D756E" w:rsidRDefault="00B86685" w:rsidP="00B86685">
            <w:pPr>
              <w:rPr>
                <w:rFonts w:ascii="Arial" w:hAnsi="Arial" w:cs="Arial"/>
                <w:b/>
                <w:sz w:val="22"/>
                <w:szCs w:val="22"/>
              </w:rPr>
            </w:pPr>
            <w:r w:rsidRPr="000D756E">
              <w:rPr>
                <w:rFonts w:ascii="Arial" w:hAnsi="Arial" w:cs="Arial"/>
                <w:b/>
                <w:sz w:val="22"/>
                <w:szCs w:val="22"/>
              </w:rPr>
              <w:t>Net liability arising from defined benefit obligation</w:t>
            </w:r>
          </w:p>
        </w:tc>
        <w:tc>
          <w:tcPr>
            <w:tcW w:w="1134" w:type="dxa"/>
          </w:tcPr>
          <w:p w14:paraId="36D7EB56" w14:textId="77777777" w:rsidR="00B86685" w:rsidRDefault="00B86685" w:rsidP="00B86685">
            <w:pPr>
              <w:jc w:val="right"/>
              <w:rPr>
                <w:rFonts w:ascii="Arial" w:hAnsi="Arial" w:cs="Arial"/>
                <w:b/>
                <w:sz w:val="22"/>
                <w:szCs w:val="22"/>
              </w:rPr>
            </w:pPr>
          </w:p>
          <w:p w14:paraId="7A1D39C8" w14:textId="146C1DCF" w:rsidR="00AC7988" w:rsidRPr="000D756E" w:rsidRDefault="00AC7988" w:rsidP="00B86685">
            <w:pPr>
              <w:jc w:val="right"/>
              <w:rPr>
                <w:rFonts w:ascii="Arial" w:hAnsi="Arial" w:cs="Arial"/>
                <w:b/>
                <w:sz w:val="22"/>
                <w:szCs w:val="22"/>
              </w:rPr>
            </w:pPr>
            <w:r>
              <w:rPr>
                <w:rFonts w:ascii="Arial" w:hAnsi="Arial" w:cs="Arial"/>
                <w:b/>
                <w:sz w:val="22"/>
                <w:szCs w:val="22"/>
              </w:rPr>
              <w:t>0</w:t>
            </w:r>
          </w:p>
        </w:tc>
        <w:tc>
          <w:tcPr>
            <w:tcW w:w="1134" w:type="dxa"/>
          </w:tcPr>
          <w:p w14:paraId="0744A919" w14:textId="77777777" w:rsidR="00B86685" w:rsidRPr="000D756E" w:rsidRDefault="00B86685" w:rsidP="00B86685">
            <w:pPr>
              <w:jc w:val="right"/>
              <w:rPr>
                <w:rFonts w:ascii="Arial" w:hAnsi="Arial" w:cs="Arial"/>
                <w:b/>
                <w:sz w:val="22"/>
                <w:szCs w:val="22"/>
              </w:rPr>
            </w:pPr>
          </w:p>
          <w:p w14:paraId="527332BB" w14:textId="7017D71B" w:rsidR="00B86685" w:rsidRPr="000D756E" w:rsidRDefault="00B86685" w:rsidP="00B86685">
            <w:pPr>
              <w:jc w:val="right"/>
              <w:rPr>
                <w:rFonts w:ascii="Arial" w:hAnsi="Arial" w:cs="Arial"/>
                <w:b/>
                <w:sz w:val="22"/>
                <w:szCs w:val="22"/>
              </w:rPr>
            </w:pPr>
            <w:r w:rsidRPr="000D756E">
              <w:rPr>
                <w:rFonts w:ascii="Arial" w:hAnsi="Arial" w:cs="Arial"/>
                <w:b/>
                <w:sz w:val="22"/>
                <w:szCs w:val="22"/>
              </w:rPr>
              <w:t>0</w:t>
            </w:r>
          </w:p>
        </w:tc>
        <w:tc>
          <w:tcPr>
            <w:tcW w:w="1134" w:type="dxa"/>
          </w:tcPr>
          <w:p w14:paraId="55AB439D" w14:textId="77777777" w:rsidR="00B86685" w:rsidRDefault="00B86685" w:rsidP="00B86685">
            <w:pPr>
              <w:jc w:val="right"/>
              <w:rPr>
                <w:rFonts w:ascii="Arial" w:hAnsi="Arial" w:cs="Arial"/>
                <w:b/>
                <w:sz w:val="22"/>
                <w:szCs w:val="22"/>
              </w:rPr>
            </w:pPr>
          </w:p>
          <w:p w14:paraId="228D8AAE" w14:textId="658912BE" w:rsidR="00AC7988" w:rsidRPr="000D756E" w:rsidRDefault="00AC7988" w:rsidP="00B86685">
            <w:pPr>
              <w:jc w:val="right"/>
              <w:rPr>
                <w:rFonts w:ascii="Arial" w:hAnsi="Arial" w:cs="Arial"/>
                <w:b/>
                <w:sz w:val="22"/>
                <w:szCs w:val="22"/>
              </w:rPr>
            </w:pPr>
            <w:r>
              <w:rPr>
                <w:rFonts w:ascii="Arial" w:hAnsi="Arial" w:cs="Arial"/>
                <w:b/>
                <w:sz w:val="22"/>
                <w:szCs w:val="22"/>
              </w:rPr>
              <w:t>132,873</w:t>
            </w:r>
          </w:p>
        </w:tc>
        <w:tc>
          <w:tcPr>
            <w:tcW w:w="1134" w:type="dxa"/>
          </w:tcPr>
          <w:p w14:paraId="7A1EB110" w14:textId="77777777" w:rsidR="00B86685" w:rsidRDefault="00B86685" w:rsidP="00B86685">
            <w:pPr>
              <w:jc w:val="right"/>
              <w:rPr>
                <w:rFonts w:ascii="Arial" w:hAnsi="Arial" w:cs="Arial"/>
                <w:b/>
                <w:sz w:val="22"/>
                <w:szCs w:val="22"/>
              </w:rPr>
            </w:pPr>
          </w:p>
          <w:p w14:paraId="504E11FA" w14:textId="699FA840" w:rsidR="00AC7988" w:rsidRPr="000D756E" w:rsidRDefault="00AC7988" w:rsidP="00B86685">
            <w:pPr>
              <w:jc w:val="right"/>
              <w:rPr>
                <w:rFonts w:ascii="Arial" w:hAnsi="Arial" w:cs="Arial"/>
                <w:b/>
                <w:sz w:val="22"/>
                <w:szCs w:val="22"/>
              </w:rPr>
            </w:pPr>
            <w:r>
              <w:rPr>
                <w:rFonts w:ascii="Arial" w:hAnsi="Arial" w:cs="Arial"/>
                <w:b/>
                <w:sz w:val="22"/>
                <w:szCs w:val="22"/>
              </w:rPr>
              <w:t>17,039</w:t>
            </w:r>
          </w:p>
        </w:tc>
        <w:tc>
          <w:tcPr>
            <w:tcW w:w="1134" w:type="dxa"/>
          </w:tcPr>
          <w:p w14:paraId="2D5C3AD8" w14:textId="77777777" w:rsidR="00B86685" w:rsidRDefault="00B86685" w:rsidP="00B86685">
            <w:pPr>
              <w:jc w:val="right"/>
              <w:rPr>
                <w:rFonts w:ascii="Arial" w:hAnsi="Arial" w:cs="Arial"/>
                <w:b/>
                <w:sz w:val="22"/>
                <w:szCs w:val="22"/>
              </w:rPr>
            </w:pPr>
          </w:p>
          <w:p w14:paraId="56E2C300" w14:textId="0B94B918" w:rsidR="006956C8" w:rsidRPr="000D756E" w:rsidRDefault="006956C8" w:rsidP="00B86685">
            <w:pPr>
              <w:jc w:val="right"/>
              <w:rPr>
                <w:rFonts w:ascii="Arial" w:hAnsi="Arial" w:cs="Arial"/>
                <w:b/>
                <w:sz w:val="22"/>
                <w:szCs w:val="22"/>
              </w:rPr>
            </w:pPr>
            <w:r>
              <w:rPr>
                <w:rFonts w:ascii="Arial" w:hAnsi="Arial" w:cs="Arial"/>
                <w:b/>
                <w:sz w:val="22"/>
                <w:szCs w:val="22"/>
              </w:rPr>
              <w:t>11,192</w:t>
            </w:r>
          </w:p>
        </w:tc>
        <w:tc>
          <w:tcPr>
            <w:tcW w:w="1134" w:type="dxa"/>
          </w:tcPr>
          <w:p w14:paraId="06D70A54" w14:textId="77777777" w:rsidR="00B86685" w:rsidRDefault="00B86685" w:rsidP="00B86685">
            <w:pPr>
              <w:jc w:val="right"/>
              <w:rPr>
                <w:rFonts w:ascii="Arial" w:hAnsi="Arial" w:cs="Arial"/>
                <w:b/>
                <w:sz w:val="22"/>
                <w:szCs w:val="22"/>
              </w:rPr>
            </w:pPr>
          </w:p>
          <w:p w14:paraId="774F0B6B" w14:textId="0C068680" w:rsidR="006956C8" w:rsidRPr="000D756E" w:rsidRDefault="006956C8" w:rsidP="00B86685">
            <w:pPr>
              <w:jc w:val="right"/>
              <w:rPr>
                <w:rFonts w:ascii="Arial" w:hAnsi="Arial" w:cs="Arial"/>
                <w:b/>
                <w:sz w:val="22"/>
                <w:szCs w:val="22"/>
              </w:rPr>
            </w:pPr>
            <w:r>
              <w:rPr>
                <w:rFonts w:ascii="Arial" w:hAnsi="Arial" w:cs="Arial"/>
                <w:b/>
                <w:sz w:val="22"/>
                <w:szCs w:val="22"/>
              </w:rPr>
              <w:t>161,104</w:t>
            </w:r>
          </w:p>
        </w:tc>
        <w:tc>
          <w:tcPr>
            <w:tcW w:w="1134" w:type="dxa"/>
          </w:tcPr>
          <w:p w14:paraId="3E4D2FDB" w14:textId="77777777" w:rsidR="00B86685" w:rsidRPr="000D756E" w:rsidRDefault="00B86685" w:rsidP="00B86685">
            <w:pPr>
              <w:jc w:val="right"/>
              <w:rPr>
                <w:rFonts w:ascii="Arial" w:hAnsi="Arial" w:cs="Arial"/>
                <w:b/>
                <w:sz w:val="22"/>
                <w:szCs w:val="22"/>
              </w:rPr>
            </w:pPr>
          </w:p>
          <w:p w14:paraId="017F6E50" w14:textId="3231CCC9" w:rsidR="00B86685" w:rsidRPr="000D756E" w:rsidRDefault="00B86685" w:rsidP="00B86685">
            <w:pPr>
              <w:jc w:val="right"/>
              <w:rPr>
                <w:rFonts w:ascii="Arial" w:hAnsi="Arial" w:cs="Arial"/>
                <w:b/>
                <w:sz w:val="22"/>
                <w:szCs w:val="22"/>
              </w:rPr>
            </w:pPr>
            <w:r w:rsidRPr="000D756E">
              <w:rPr>
                <w:rFonts w:ascii="Arial" w:hAnsi="Arial" w:cs="Arial"/>
                <w:b/>
                <w:sz w:val="22"/>
                <w:szCs w:val="22"/>
              </w:rPr>
              <w:t>182,586</w:t>
            </w:r>
          </w:p>
        </w:tc>
      </w:tr>
    </w:tbl>
    <w:p w14:paraId="6D4992A9" w14:textId="77777777" w:rsidR="004D4099" w:rsidRPr="000D756E" w:rsidRDefault="008B7950" w:rsidP="002A7C01">
      <w:pPr>
        <w:pStyle w:val="Heading7"/>
        <w:rPr>
          <w:rFonts w:cs="Arial"/>
          <w:szCs w:val="24"/>
        </w:rPr>
      </w:pPr>
      <w:r w:rsidRPr="000D756E">
        <w:rPr>
          <w:rFonts w:cs="Arial"/>
          <w:szCs w:val="24"/>
        </w:rPr>
        <w:lastRenderedPageBreak/>
        <w:t>A</w:t>
      </w:r>
      <w:r w:rsidR="004D4099" w:rsidRPr="000D756E">
        <w:rPr>
          <w:rFonts w:cs="Arial"/>
          <w:szCs w:val="24"/>
        </w:rPr>
        <w:t>ssets and Liabilities in Relation to Post-employment Benefits</w:t>
      </w:r>
    </w:p>
    <w:p w14:paraId="3A8C59E3" w14:textId="77777777" w:rsidR="004D4099" w:rsidRPr="000D756E" w:rsidRDefault="00BE3E59" w:rsidP="002A7C01">
      <w:pPr>
        <w:pStyle w:val="Heading7"/>
        <w:ind w:firstLine="502"/>
        <w:rPr>
          <w:rFonts w:cs="Arial"/>
        </w:rPr>
      </w:pPr>
      <w:r w:rsidRPr="000D756E">
        <w:rPr>
          <w:rFonts w:cs="Arial"/>
        </w:rPr>
        <w:tab/>
      </w:r>
    </w:p>
    <w:p w14:paraId="35613EB2" w14:textId="77777777" w:rsidR="004D4099" w:rsidRPr="000D756E" w:rsidRDefault="004D4099" w:rsidP="002A7C01">
      <w:pPr>
        <w:pStyle w:val="Heading7"/>
        <w:rPr>
          <w:rFonts w:cs="Arial"/>
          <w:i/>
        </w:rPr>
      </w:pPr>
      <w:r w:rsidRPr="000D756E">
        <w:rPr>
          <w:rFonts w:cs="Arial"/>
          <w:b w:val="0"/>
        </w:rPr>
        <w:t xml:space="preserve">Reconciliation of </w:t>
      </w:r>
      <w:r w:rsidR="00257F91" w:rsidRPr="000D756E">
        <w:rPr>
          <w:rFonts w:cs="Arial"/>
          <w:b w:val="0"/>
        </w:rPr>
        <w:t>the movements in the fair value of scheme liabilities</w:t>
      </w:r>
      <w:r w:rsidRPr="000D756E">
        <w:rPr>
          <w:rFonts w:cs="Arial"/>
        </w:rPr>
        <w:t>:</w:t>
      </w:r>
      <w:r w:rsidRPr="000D756E">
        <w:rPr>
          <w:rFonts w:cs="Arial"/>
          <w:i/>
        </w:rPr>
        <w:tab/>
      </w:r>
    </w:p>
    <w:p w14:paraId="6EAEF559" w14:textId="77777777" w:rsidR="004D4099" w:rsidRPr="000D756E" w:rsidRDefault="004D4099" w:rsidP="002A7C01">
      <w:pPr>
        <w:pStyle w:val="Heading7"/>
        <w:rPr>
          <w:rFonts w:cs="Arial"/>
          <w: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134"/>
        <w:gridCol w:w="1134"/>
        <w:gridCol w:w="1185"/>
        <w:gridCol w:w="1125"/>
        <w:gridCol w:w="1092"/>
        <w:gridCol w:w="1185"/>
        <w:gridCol w:w="1196"/>
      </w:tblGrid>
      <w:tr w:rsidR="006329E6" w:rsidRPr="000D756E" w14:paraId="477ADA2E" w14:textId="77777777" w:rsidTr="00495D59">
        <w:tc>
          <w:tcPr>
            <w:tcW w:w="2263" w:type="dxa"/>
          </w:tcPr>
          <w:p w14:paraId="49074A7F" w14:textId="77777777" w:rsidR="006F0E0B" w:rsidRPr="000D756E" w:rsidRDefault="006F0E0B" w:rsidP="002A7C01">
            <w:pPr>
              <w:pStyle w:val="Heading7"/>
              <w:rPr>
                <w:rFonts w:cs="Arial"/>
              </w:rPr>
            </w:pPr>
          </w:p>
          <w:p w14:paraId="37C1CB05" w14:textId="77777777" w:rsidR="006F0E0B" w:rsidRPr="000D756E" w:rsidRDefault="006F0E0B" w:rsidP="002A7C01">
            <w:pPr>
              <w:pStyle w:val="Heading7"/>
              <w:rPr>
                <w:rFonts w:cs="Arial"/>
              </w:rPr>
            </w:pPr>
            <w:r w:rsidRPr="000D756E">
              <w:rPr>
                <w:rFonts w:cs="Arial"/>
              </w:rPr>
              <w:t>Funded Liabilities</w:t>
            </w:r>
          </w:p>
        </w:tc>
        <w:tc>
          <w:tcPr>
            <w:tcW w:w="2268" w:type="dxa"/>
            <w:gridSpan w:val="2"/>
            <w:vAlign w:val="center"/>
          </w:tcPr>
          <w:p w14:paraId="20965356" w14:textId="77777777" w:rsidR="006F0E0B" w:rsidRPr="000D756E" w:rsidRDefault="006F0E0B" w:rsidP="006F0E0B">
            <w:pPr>
              <w:pStyle w:val="Heading7"/>
              <w:jc w:val="center"/>
              <w:rPr>
                <w:rFonts w:cs="Arial"/>
                <w:sz w:val="22"/>
                <w:szCs w:val="22"/>
              </w:rPr>
            </w:pPr>
          </w:p>
          <w:p w14:paraId="4207DFE3" w14:textId="77777777" w:rsidR="006F0E0B" w:rsidRPr="000D756E" w:rsidRDefault="006F0E0B" w:rsidP="006F0E0B">
            <w:pPr>
              <w:pStyle w:val="Heading7"/>
              <w:jc w:val="center"/>
              <w:rPr>
                <w:rFonts w:cs="Arial"/>
                <w:sz w:val="22"/>
                <w:szCs w:val="22"/>
              </w:rPr>
            </w:pPr>
            <w:r w:rsidRPr="000D756E">
              <w:rPr>
                <w:rFonts w:cs="Arial"/>
                <w:sz w:val="22"/>
                <w:szCs w:val="22"/>
              </w:rPr>
              <w:t>Shropshire County Pension Fund</w:t>
            </w:r>
          </w:p>
        </w:tc>
        <w:tc>
          <w:tcPr>
            <w:tcW w:w="5783" w:type="dxa"/>
            <w:gridSpan w:val="5"/>
            <w:vAlign w:val="bottom"/>
          </w:tcPr>
          <w:p w14:paraId="4324D28B" w14:textId="77777777" w:rsidR="006F0E0B" w:rsidRPr="000D756E" w:rsidRDefault="006F0E0B" w:rsidP="006F0E0B">
            <w:pPr>
              <w:pStyle w:val="Heading7"/>
              <w:jc w:val="center"/>
              <w:rPr>
                <w:rFonts w:cs="Arial"/>
                <w:sz w:val="22"/>
                <w:szCs w:val="22"/>
              </w:rPr>
            </w:pPr>
          </w:p>
          <w:p w14:paraId="76ADF87B" w14:textId="77777777" w:rsidR="006F0E0B" w:rsidRPr="000D756E" w:rsidRDefault="006F0E0B" w:rsidP="006F0E0B">
            <w:pPr>
              <w:pStyle w:val="Heading7"/>
              <w:jc w:val="center"/>
              <w:rPr>
                <w:rFonts w:cs="Arial"/>
                <w:sz w:val="22"/>
                <w:szCs w:val="22"/>
              </w:rPr>
            </w:pPr>
            <w:r w:rsidRPr="000D756E">
              <w:rPr>
                <w:rFonts w:cs="Arial"/>
                <w:sz w:val="22"/>
                <w:szCs w:val="22"/>
              </w:rPr>
              <w:t>Fire Pension</w:t>
            </w:r>
          </w:p>
          <w:p w14:paraId="0B228CA9" w14:textId="77777777" w:rsidR="006F0E0B" w:rsidRPr="000D756E" w:rsidRDefault="006F0E0B" w:rsidP="006F0E0B">
            <w:pPr>
              <w:pStyle w:val="Heading7"/>
              <w:jc w:val="center"/>
              <w:rPr>
                <w:rFonts w:cs="Arial"/>
                <w:sz w:val="22"/>
                <w:szCs w:val="22"/>
                <w:highlight w:val="cyan"/>
              </w:rPr>
            </w:pPr>
            <w:r w:rsidRPr="000D756E">
              <w:rPr>
                <w:rFonts w:cs="Arial"/>
                <w:sz w:val="22"/>
                <w:szCs w:val="22"/>
              </w:rPr>
              <w:t xml:space="preserve"> Schemes</w:t>
            </w:r>
          </w:p>
        </w:tc>
      </w:tr>
      <w:tr w:rsidR="006329E6" w:rsidRPr="000D756E" w14:paraId="2C44FDF6" w14:textId="77777777" w:rsidTr="03AF8B75">
        <w:tc>
          <w:tcPr>
            <w:tcW w:w="2263" w:type="dxa"/>
          </w:tcPr>
          <w:p w14:paraId="4F10E5AF" w14:textId="77777777" w:rsidR="00FB4C6E" w:rsidRPr="000D756E" w:rsidRDefault="00FB4C6E" w:rsidP="00FB4C6E">
            <w:pPr>
              <w:pStyle w:val="Heading7"/>
              <w:rPr>
                <w:rFonts w:cs="Arial"/>
              </w:rPr>
            </w:pPr>
          </w:p>
        </w:tc>
        <w:tc>
          <w:tcPr>
            <w:tcW w:w="1134" w:type="dxa"/>
          </w:tcPr>
          <w:p w14:paraId="0BE158AD" w14:textId="77777777" w:rsidR="00FB4C6E" w:rsidRPr="000D756E" w:rsidRDefault="00FB4C6E" w:rsidP="00FB4C6E">
            <w:pPr>
              <w:pStyle w:val="Heading7"/>
              <w:jc w:val="right"/>
              <w:rPr>
                <w:rFonts w:cs="Arial"/>
                <w:szCs w:val="24"/>
              </w:rPr>
            </w:pPr>
          </w:p>
          <w:p w14:paraId="564855A5" w14:textId="0831D790" w:rsidR="00FB4C6E" w:rsidRPr="000D756E" w:rsidRDefault="00FB4C6E" w:rsidP="00FB4C6E">
            <w:pPr>
              <w:pStyle w:val="Heading7"/>
              <w:jc w:val="right"/>
              <w:rPr>
                <w:rFonts w:cs="Arial"/>
                <w:szCs w:val="24"/>
              </w:rPr>
            </w:pPr>
            <w:r w:rsidRPr="000D756E">
              <w:rPr>
                <w:rFonts w:cs="Arial"/>
                <w:szCs w:val="24"/>
              </w:rPr>
              <w:t>202</w:t>
            </w:r>
            <w:r w:rsidR="00B86685">
              <w:rPr>
                <w:rFonts w:cs="Arial"/>
                <w:szCs w:val="24"/>
              </w:rPr>
              <w:t>4/25</w:t>
            </w:r>
          </w:p>
          <w:p w14:paraId="300A8A70" w14:textId="77777777" w:rsidR="00FB4C6E" w:rsidRPr="000D756E" w:rsidRDefault="00FB4C6E" w:rsidP="00FB4C6E">
            <w:pPr>
              <w:jc w:val="right"/>
              <w:rPr>
                <w:rFonts w:ascii="Arial" w:hAnsi="Arial" w:cs="Arial"/>
                <w:b/>
                <w:sz w:val="24"/>
                <w:szCs w:val="24"/>
              </w:rPr>
            </w:pPr>
            <w:r w:rsidRPr="000D756E">
              <w:rPr>
                <w:rFonts w:ascii="Arial" w:hAnsi="Arial" w:cs="Arial"/>
                <w:b/>
                <w:sz w:val="24"/>
                <w:szCs w:val="24"/>
              </w:rPr>
              <w:t>£’000</w:t>
            </w:r>
          </w:p>
        </w:tc>
        <w:tc>
          <w:tcPr>
            <w:tcW w:w="1134" w:type="dxa"/>
          </w:tcPr>
          <w:p w14:paraId="217D74D6" w14:textId="77777777" w:rsidR="00FB4C6E" w:rsidRPr="000D756E" w:rsidRDefault="00FB4C6E" w:rsidP="00FB4C6E">
            <w:pPr>
              <w:pStyle w:val="Heading7"/>
              <w:jc w:val="right"/>
              <w:rPr>
                <w:rFonts w:cs="Arial"/>
                <w:szCs w:val="24"/>
              </w:rPr>
            </w:pPr>
          </w:p>
          <w:p w14:paraId="64F80AA2" w14:textId="3866A3F6" w:rsidR="00FB4C6E" w:rsidRPr="000D756E" w:rsidRDefault="00FB4C6E" w:rsidP="00FB4C6E">
            <w:pPr>
              <w:pStyle w:val="Heading7"/>
              <w:jc w:val="right"/>
              <w:rPr>
                <w:rFonts w:cs="Arial"/>
                <w:szCs w:val="24"/>
              </w:rPr>
            </w:pPr>
            <w:r w:rsidRPr="000D756E">
              <w:rPr>
                <w:rFonts w:cs="Arial"/>
                <w:szCs w:val="24"/>
              </w:rPr>
              <w:t>202</w:t>
            </w:r>
            <w:r w:rsidR="00B86685">
              <w:rPr>
                <w:rFonts w:cs="Arial"/>
                <w:szCs w:val="24"/>
              </w:rPr>
              <w:t>3/24</w:t>
            </w:r>
          </w:p>
          <w:p w14:paraId="4CF7704E" w14:textId="1ABCE157" w:rsidR="00FB4C6E" w:rsidRPr="000D756E" w:rsidRDefault="00FB4C6E" w:rsidP="00FB4C6E">
            <w:pPr>
              <w:jc w:val="right"/>
              <w:rPr>
                <w:rFonts w:ascii="Arial" w:hAnsi="Arial" w:cs="Arial"/>
                <w:b/>
                <w:sz w:val="24"/>
                <w:szCs w:val="24"/>
              </w:rPr>
            </w:pPr>
            <w:r w:rsidRPr="000D756E">
              <w:rPr>
                <w:rFonts w:ascii="Arial" w:hAnsi="Arial" w:cs="Arial"/>
                <w:b/>
                <w:sz w:val="24"/>
                <w:szCs w:val="24"/>
              </w:rPr>
              <w:t>£’000</w:t>
            </w:r>
          </w:p>
        </w:tc>
        <w:tc>
          <w:tcPr>
            <w:tcW w:w="1185" w:type="dxa"/>
            <w:tcBorders>
              <w:top w:val="single" w:sz="4" w:space="0" w:color="auto"/>
              <w:left w:val="single" w:sz="4" w:space="0" w:color="auto"/>
              <w:right w:val="single" w:sz="4" w:space="0" w:color="auto"/>
            </w:tcBorders>
          </w:tcPr>
          <w:p w14:paraId="4B9C4E1B" w14:textId="77777777" w:rsidR="00FB4C6E" w:rsidRPr="000D756E" w:rsidRDefault="00FB4C6E" w:rsidP="00FB4C6E">
            <w:pPr>
              <w:pStyle w:val="Heading7"/>
              <w:jc w:val="center"/>
              <w:rPr>
                <w:rFonts w:cs="Arial"/>
                <w:sz w:val="22"/>
                <w:szCs w:val="22"/>
              </w:rPr>
            </w:pPr>
            <w:r w:rsidRPr="000D756E">
              <w:rPr>
                <w:rFonts w:cs="Arial"/>
                <w:sz w:val="22"/>
                <w:szCs w:val="22"/>
              </w:rPr>
              <w:t>‘1992’</w:t>
            </w:r>
          </w:p>
          <w:p w14:paraId="466D3F9E" w14:textId="5FE098D6" w:rsidR="00FB4C6E" w:rsidRPr="000D756E" w:rsidRDefault="00FB4C6E" w:rsidP="00FB4C6E">
            <w:pPr>
              <w:jc w:val="center"/>
              <w:rPr>
                <w:rFonts w:ascii="Arial" w:hAnsi="Arial" w:cs="Arial"/>
                <w:b/>
                <w:sz w:val="22"/>
                <w:szCs w:val="22"/>
              </w:rPr>
            </w:pPr>
            <w:r w:rsidRPr="000D756E">
              <w:rPr>
                <w:rFonts w:ascii="Arial" w:hAnsi="Arial" w:cs="Arial"/>
                <w:b/>
                <w:sz w:val="22"/>
                <w:szCs w:val="22"/>
              </w:rPr>
              <w:t>202</w:t>
            </w:r>
            <w:r w:rsidR="00353906">
              <w:rPr>
                <w:rFonts w:ascii="Arial" w:hAnsi="Arial" w:cs="Arial"/>
                <w:b/>
                <w:sz w:val="22"/>
                <w:szCs w:val="22"/>
              </w:rPr>
              <w:t>4/25</w:t>
            </w:r>
          </w:p>
          <w:p w14:paraId="682E7A1F" w14:textId="77777777" w:rsidR="00FB4C6E" w:rsidRPr="000D756E" w:rsidRDefault="00FB4C6E" w:rsidP="00FB4C6E">
            <w:pPr>
              <w:jc w:val="center"/>
              <w:rPr>
                <w:rFonts w:ascii="Arial" w:hAnsi="Arial" w:cs="Arial"/>
                <w:b/>
                <w:sz w:val="22"/>
                <w:szCs w:val="22"/>
              </w:rPr>
            </w:pPr>
            <w:r w:rsidRPr="000D756E">
              <w:rPr>
                <w:rFonts w:ascii="Arial" w:hAnsi="Arial" w:cs="Arial"/>
                <w:b/>
                <w:sz w:val="22"/>
                <w:szCs w:val="22"/>
              </w:rPr>
              <w:t>£’000</w:t>
            </w:r>
          </w:p>
        </w:tc>
        <w:tc>
          <w:tcPr>
            <w:tcW w:w="1125" w:type="dxa"/>
            <w:tcBorders>
              <w:top w:val="single" w:sz="4" w:space="0" w:color="auto"/>
              <w:left w:val="single" w:sz="4" w:space="0" w:color="auto"/>
              <w:right w:val="single" w:sz="4" w:space="0" w:color="auto"/>
            </w:tcBorders>
          </w:tcPr>
          <w:p w14:paraId="5A0FDC6A" w14:textId="77777777" w:rsidR="00FB4C6E" w:rsidRPr="000D756E" w:rsidRDefault="00FB4C6E" w:rsidP="00FB4C6E">
            <w:pPr>
              <w:pStyle w:val="Heading7"/>
              <w:jc w:val="center"/>
              <w:rPr>
                <w:rFonts w:cs="Arial"/>
                <w:sz w:val="22"/>
                <w:szCs w:val="22"/>
              </w:rPr>
            </w:pPr>
            <w:r w:rsidRPr="000D756E">
              <w:rPr>
                <w:rFonts w:cs="Arial"/>
                <w:sz w:val="22"/>
                <w:szCs w:val="22"/>
              </w:rPr>
              <w:t>‘2006’</w:t>
            </w:r>
          </w:p>
          <w:p w14:paraId="2D87B097" w14:textId="1404961B" w:rsidR="00FB4C6E" w:rsidRPr="000D756E" w:rsidRDefault="00FB4C6E" w:rsidP="00FB4C6E">
            <w:pPr>
              <w:jc w:val="center"/>
              <w:rPr>
                <w:rFonts w:ascii="Arial" w:hAnsi="Arial" w:cs="Arial"/>
                <w:b/>
                <w:sz w:val="22"/>
                <w:szCs w:val="22"/>
              </w:rPr>
            </w:pPr>
            <w:r w:rsidRPr="000D756E">
              <w:rPr>
                <w:rFonts w:ascii="Arial" w:hAnsi="Arial" w:cs="Arial"/>
                <w:b/>
                <w:sz w:val="22"/>
                <w:szCs w:val="22"/>
              </w:rPr>
              <w:t>202</w:t>
            </w:r>
            <w:r w:rsidR="00353906">
              <w:rPr>
                <w:rFonts w:ascii="Arial" w:hAnsi="Arial" w:cs="Arial"/>
                <w:b/>
                <w:sz w:val="22"/>
                <w:szCs w:val="22"/>
              </w:rPr>
              <w:t>4/25</w:t>
            </w:r>
          </w:p>
          <w:p w14:paraId="498E61C7" w14:textId="77777777" w:rsidR="00FB4C6E" w:rsidRPr="000D756E" w:rsidRDefault="00FB4C6E" w:rsidP="00FB4C6E">
            <w:pPr>
              <w:jc w:val="center"/>
              <w:rPr>
                <w:rFonts w:ascii="Arial" w:hAnsi="Arial" w:cs="Arial"/>
                <w:b/>
                <w:sz w:val="22"/>
                <w:szCs w:val="22"/>
              </w:rPr>
            </w:pPr>
            <w:r w:rsidRPr="000D756E">
              <w:rPr>
                <w:rFonts w:ascii="Arial" w:hAnsi="Arial" w:cs="Arial"/>
                <w:b/>
                <w:sz w:val="22"/>
                <w:szCs w:val="22"/>
              </w:rPr>
              <w:t>£’000</w:t>
            </w:r>
          </w:p>
        </w:tc>
        <w:tc>
          <w:tcPr>
            <w:tcW w:w="1092" w:type="dxa"/>
            <w:tcBorders>
              <w:top w:val="single" w:sz="4" w:space="0" w:color="auto"/>
              <w:left w:val="single" w:sz="4" w:space="0" w:color="auto"/>
              <w:right w:val="single" w:sz="4" w:space="0" w:color="auto"/>
            </w:tcBorders>
          </w:tcPr>
          <w:p w14:paraId="7649EFB9" w14:textId="77777777" w:rsidR="00FB4C6E" w:rsidRPr="000D756E" w:rsidRDefault="00FB4C6E" w:rsidP="00FB4C6E">
            <w:pPr>
              <w:pStyle w:val="Heading7"/>
              <w:jc w:val="center"/>
              <w:rPr>
                <w:rFonts w:cs="Arial"/>
                <w:sz w:val="22"/>
                <w:szCs w:val="22"/>
              </w:rPr>
            </w:pPr>
            <w:r w:rsidRPr="000D756E">
              <w:rPr>
                <w:rFonts w:cs="Arial"/>
                <w:sz w:val="22"/>
                <w:szCs w:val="22"/>
              </w:rPr>
              <w:t>‘2015’</w:t>
            </w:r>
          </w:p>
          <w:p w14:paraId="0D7E83A5" w14:textId="7A3E9929" w:rsidR="00FB4C6E" w:rsidRPr="000D756E" w:rsidRDefault="00FB4C6E" w:rsidP="00FB4C6E">
            <w:pPr>
              <w:jc w:val="center"/>
              <w:rPr>
                <w:rFonts w:ascii="Arial" w:hAnsi="Arial" w:cs="Arial"/>
                <w:b/>
                <w:sz w:val="22"/>
                <w:szCs w:val="22"/>
              </w:rPr>
            </w:pPr>
            <w:r w:rsidRPr="000D756E">
              <w:rPr>
                <w:rFonts w:ascii="Arial" w:hAnsi="Arial" w:cs="Arial"/>
                <w:b/>
                <w:sz w:val="22"/>
                <w:szCs w:val="22"/>
              </w:rPr>
              <w:t>202</w:t>
            </w:r>
            <w:r w:rsidR="00353906">
              <w:rPr>
                <w:rFonts w:ascii="Arial" w:hAnsi="Arial" w:cs="Arial"/>
                <w:b/>
                <w:sz w:val="22"/>
                <w:szCs w:val="22"/>
              </w:rPr>
              <w:t>4/25</w:t>
            </w:r>
          </w:p>
          <w:p w14:paraId="498D1919" w14:textId="77777777" w:rsidR="00FB4C6E" w:rsidRPr="000D756E" w:rsidRDefault="00FB4C6E" w:rsidP="00FB4C6E">
            <w:pPr>
              <w:jc w:val="center"/>
              <w:rPr>
                <w:rFonts w:ascii="Arial" w:hAnsi="Arial" w:cs="Arial"/>
                <w:b/>
                <w:sz w:val="22"/>
                <w:szCs w:val="22"/>
              </w:rPr>
            </w:pPr>
            <w:r w:rsidRPr="000D756E">
              <w:rPr>
                <w:rFonts w:ascii="Arial" w:hAnsi="Arial" w:cs="Arial"/>
                <w:b/>
                <w:sz w:val="22"/>
                <w:szCs w:val="22"/>
              </w:rPr>
              <w:t>£’000</w:t>
            </w:r>
          </w:p>
        </w:tc>
        <w:tc>
          <w:tcPr>
            <w:tcW w:w="1185" w:type="dxa"/>
          </w:tcPr>
          <w:p w14:paraId="4508AAD9" w14:textId="77777777" w:rsidR="00FB4C6E" w:rsidRPr="000D756E" w:rsidRDefault="00FB4C6E" w:rsidP="00FB4C6E">
            <w:pPr>
              <w:pStyle w:val="Heading7"/>
              <w:jc w:val="center"/>
              <w:rPr>
                <w:rFonts w:cs="Arial"/>
                <w:sz w:val="22"/>
                <w:szCs w:val="22"/>
              </w:rPr>
            </w:pPr>
            <w:r w:rsidRPr="000D756E">
              <w:rPr>
                <w:rFonts w:cs="Arial"/>
                <w:sz w:val="22"/>
                <w:szCs w:val="22"/>
              </w:rPr>
              <w:t>Total</w:t>
            </w:r>
          </w:p>
          <w:p w14:paraId="788F2DB5" w14:textId="6FD8E4F8" w:rsidR="00FB4C6E" w:rsidRPr="000D756E" w:rsidRDefault="00FB4C6E" w:rsidP="00FB4C6E">
            <w:pPr>
              <w:jc w:val="center"/>
              <w:rPr>
                <w:rFonts w:ascii="Arial" w:hAnsi="Arial" w:cs="Arial"/>
                <w:b/>
                <w:sz w:val="22"/>
                <w:szCs w:val="22"/>
              </w:rPr>
            </w:pPr>
            <w:r w:rsidRPr="000D756E">
              <w:rPr>
                <w:rFonts w:ascii="Arial" w:hAnsi="Arial" w:cs="Arial"/>
                <w:b/>
                <w:sz w:val="22"/>
                <w:szCs w:val="22"/>
              </w:rPr>
              <w:t>202</w:t>
            </w:r>
            <w:r w:rsidR="00B86685">
              <w:rPr>
                <w:rFonts w:ascii="Arial" w:hAnsi="Arial" w:cs="Arial"/>
                <w:b/>
                <w:sz w:val="22"/>
                <w:szCs w:val="22"/>
              </w:rPr>
              <w:t>4/25</w:t>
            </w:r>
          </w:p>
          <w:p w14:paraId="27D961A8" w14:textId="77777777" w:rsidR="00FB4C6E" w:rsidRPr="000D756E" w:rsidRDefault="00FB4C6E" w:rsidP="00FB4C6E">
            <w:pPr>
              <w:jc w:val="center"/>
              <w:rPr>
                <w:rFonts w:ascii="Arial" w:hAnsi="Arial" w:cs="Arial"/>
                <w:b/>
                <w:sz w:val="22"/>
                <w:szCs w:val="22"/>
              </w:rPr>
            </w:pPr>
            <w:r w:rsidRPr="000D756E">
              <w:rPr>
                <w:rFonts w:ascii="Arial" w:hAnsi="Arial" w:cs="Arial"/>
                <w:b/>
                <w:sz w:val="22"/>
                <w:szCs w:val="22"/>
              </w:rPr>
              <w:t>£’000</w:t>
            </w:r>
          </w:p>
        </w:tc>
        <w:tc>
          <w:tcPr>
            <w:tcW w:w="1196" w:type="dxa"/>
          </w:tcPr>
          <w:p w14:paraId="482919B0" w14:textId="77777777" w:rsidR="00FB4C6E" w:rsidRPr="000D756E" w:rsidRDefault="00FB4C6E" w:rsidP="00FB4C6E">
            <w:pPr>
              <w:pStyle w:val="Heading7"/>
              <w:jc w:val="center"/>
              <w:rPr>
                <w:rFonts w:cs="Arial"/>
                <w:sz w:val="22"/>
                <w:szCs w:val="22"/>
              </w:rPr>
            </w:pPr>
            <w:r w:rsidRPr="000D756E">
              <w:rPr>
                <w:rFonts w:cs="Arial"/>
                <w:sz w:val="22"/>
                <w:szCs w:val="22"/>
              </w:rPr>
              <w:t>Total</w:t>
            </w:r>
          </w:p>
          <w:p w14:paraId="6BCB6182" w14:textId="17E02969" w:rsidR="00FB4C6E" w:rsidRPr="000D756E" w:rsidRDefault="00FB4C6E" w:rsidP="00FB4C6E">
            <w:pPr>
              <w:jc w:val="center"/>
              <w:rPr>
                <w:rFonts w:ascii="Arial" w:hAnsi="Arial" w:cs="Arial"/>
                <w:b/>
                <w:sz w:val="22"/>
                <w:szCs w:val="22"/>
              </w:rPr>
            </w:pPr>
            <w:r w:rsidRPr="000D756E">
              <w:rPr>
                <w:rFonts w:ascii="Arial" w:hAnsi="Arial" w:cs="Arial"/>
                <w:b/>
                <w:sz w:val="22"/>
                <w:szCs w:val="22"/>
              </w:rPr>
              <w:t>20</w:t>
            </w:r>
            <w:r w:rsidR="00B9058B" w:rsidRPr="000D756E">
              <w:rPr>
                <w:rFonts w:ascii="Arial" w:hAnsi="Arial" w:cs="Arial"/>
                <w:b/>
                <w:sz w:val="22"/>
                <w:szCs w:val="22"/>
              </w:rPr>
              <w:t>2</w:t>
            </w:r>
            <w:r w:rsidR="00353906">
              <w:rPr>
                <w:rFonts w:ascii="Arial" w:hAnsi="Arial" w:cs="Arial"/>
                <w:b/>
                <w:sz w:val="22"/>
                <w:szCs w:val="22"/>
              </w:rPr>
              <w:t>3/24</w:t>
            </w:r>
          </w:p>
          <w:p w14:paraId="30259154" w14:textId="746899A1" w:rsidR="00FB4C6E" w:rsidRPr="000D756E" w:rsidRDefault="00FB4C6E" w:rsidP="00FB4C6E">
            <w:pPr>
              <w:jc w:val="center"/>
              <w:rPr>
                <w:rFonts w:ascii="Arial" w:hAnsi="Arial" w:cs="Arial"/>
                <w:b/>
                <w:sz w:val="22"/>
                <w:szCs w:val="22"/>
              </w:rPr>
            </w:pPr>
            <w:r w:rsidRPr="000D756E">
              <w:rPr>
                <w:rFonts w:ascii="Arial" w:hAnsi="Arial" w:cs="Arial"/>
                <w:b/>
                <w:sz w:val="22"/>
                <w:szCs w:val="22"/>
              </w:rPr>
              <w:t>£’000</w:t>
            </w:r>
          </w:p>
        </w:tc>
      </w:tr>
      <w:tr w:rsidR="00B86685" w:rsidRPr="000D756E" w14:paraId="24E16718" w14:textId="77777777" w:rsidTr="03AF8B75">
        <w:tc>
          <w:tcPr>
            <w:tcW w:w="2263" w:type="dxa"/>
          </w:tcPr>
          <w:p w14:paraId="6DCF93EA" w14:textId="77777777" w:rsidR="00B86685" w:rsidRPr="000D756E" w:rsidRDefault="00B86685" w:rsidP="00B86685">
            <w:pPr>
              <w:pStyle w:val="Heading7"/>
              <w:rPr>
                <w:rFonts w:cs="Arial"/>
                <w:b w:val="0"/>
              </w:rPr>
            </w:pPr>
            <w:r w:rsidRPr="000D756E">
              <w:rPr>
                <w:rFonts w:cs="Arial"/>
                <w:b w:val="0"/>
              </w:rPr>
              <w:t>Opening balance 1 April</w:t>
            </w:r>
          </w:p>
        </w:tc>
        <w:tc>
          <w:tcPr>
            <w:tcW w:w="1134" w:type="dxa"/>
            <w:vAlign w:val="bottom"/>
          </w:tcPr>
          <w:p w14:paraId="4F6A7822" w14:textId="0B1A8868" w:rsidR="00B86685" w:rsidRPr="000D756E" w:rsidRDefault="00BD2257" w:rsidP="00B86685">
            <w:pPr>
              <w:pStyle w:val="Heading7"/>
              <w:jc w:val="right"/>
              <w:rPr>
                <w:rFonts w:cs="Arial"/>
                <w:b w:val="0"/>
              </w:rPr>
            </w:pPr>
            <w:r>
              <w:rPr>
                <w:rFonts w:cs="Arial"/>
                <w:b w:val="0"/>
              </w:rPr>
              <w:t>21,670</w:t>
            </w:r>
          </w:p>
        </w:tc>
        <w:tc>
          <w:tcPr>
            <w:tcW w:w="1134" w:type="dxa"/>
            <w:vAlign w:val="bottom"/>
          </w:tcPr>
          <w:p w14:paraId="428FA192" w14:textId="139C7B3B" w:rsidR="00B86685" w:rsidRPr="000D756E" w:rsidRDefault="00B86685" w:rsidP="00B86685">
            <w:pPr>
              <w:pStyle w:val="Heading7"/>
              <w:jc w:val="right"/>
              <w:rPr>
                <w:rFonts w:cs="Arial"/>
                <w:b w:val="0"/>
              </w:rPr>
            </w:pPr>
            <w:r w:rsidRPr="000D756E">
              <w:rPr>
                <w:rFonts w:cs="Arial"/>
                <w:b w:val="0"/>
              </w:rPr>
              <w:t>21,249</w:t>
            </w:r>
          </w:p>
        </w:tc>
        <w:tc>
          <w:tcPr>
            <w:tcW w:w="1185" w:type="dxa"/>
            <w:vAlign w:val="bottom"/>
          </w:tcPr>
          <w:p w14:paraId="1B362320" w14:textId="2653F5D9" w:rsidR="00B86685" w:rsidRPr="000D756E" w:rsidRDefault="00827BE9" w:rsidP="00B86685">
            <w:pPr>
              <w:pStyle w:val="Heading7"/>
              <w:jc w:val="right"/>
              <w:rPr>
                <w:rFonts w:cs="Arial"/>
                <w:b w:val="0"/>
              </w:rPr>
            </w:pPr>
            <w:r>
              <w:rPr>
                <w:rFonts w:cs="Arial"/>
                <w:b w:val="0"/>
              </w:rPr>
              <w:t>151,853</w:t>
            </w:r>
          </w:p>
        </w:tc>
        <w:tc>
          <w:tcPr>
            <w:tcW w:w="1125" w:type="dxa"/>
            <w:vAlign w:val="bottom"/>
          </w:tcPr>
          <w:p w14:paraId="06EE483D" w14:textId="7A6A7184" w:rsidR="00B86685" w:rsidRPr="000D756E" w:rsidRDefault="00FE7759" w:rsidP="00B86685">
            <w:pPr>
              <w:pStyle w:val="Heading7"/>
              <w:jc w:val="right"/>
              <w:rPr>
                <w:rFonts w:cs="Arial"/>
                <w:b w:val="0"/>
              </w:rPr>
            </w:pPr>
            <w:r>
              <w:rPr>
                <w:rFonts w:cs="Arial"/>
                <w:b w:val="0"/>
              </w:rPr>
              <w:t>19,885</w:t>
            </w:r>
          </w:p>
        </w:tc>
        <w:tc>
          <w:tcPr>
            <w:tcW w:w="1092" w:type="dxa"/>
            <w:vAlign w:val="bottom"/>
          </w:tcPr>
          <w:p w14:paraId="7E55F5D1" w14:textId="3D51C9BD" w:rsidR="00B86685" w:rsidRPr="000D756E" w:rsidRDefault="00EE3789" w:rsidP="00B86685">
            <w:pPr>
              <w:pStyle w:val="Heading7"/>
              <w:jc w:val="right"/>
              <w:rPr>
                <w:rFonts w:cs="Arial"/>
                <w:b w:val="0"/>
              </w:rPr>
            </w:pPr>
            <w:r>
              <w:rPr>
                <w:rFonts w:cs="Arial"/>
                <w:b w:val="0"/>
              </w:rPr>
              <w:t>10,848</w:t>
            </w:r>
          </w:p>
        </w:tc>
        <w:tc>
          <w:tcPr>
            <w:tcW w:w="1185" w:type="dxa"/>
            <w:vAlign w:val="bottom"/>
          </w:tcPr>
          <w:p w14:paraId="42C452D4" w14:textId="2853D22A" w:rsidR="00B86685" w:rsidRPr="000D756E" w:rsidRDefault="000F6BB1" w:rsidP="00B86685">
            <w:pPr>
              <w:pStyle w:val="Heading7"/>
              <w:jc w:val="right"/>
              <w:rPr>
                <w:rFonts w:cs="Arial"/>
                <w:b w:val="0"/>
              </w:rPr>
            </w:pPr>
            <w:r>
              <w:rPr>
                <w:rFonts w:cs="Arial"/>
                <w:b w:val="0"/>
              </w:rPr>
              <w:t>182,586</w:t>
            </w:r>
          </w:p>
        </w:tc>
        <w:tc>
          <w:tcPr>
            <w:tcW w:w="1196" w:type="dxa"/>
            <w:vAlign w:val="bottom"/>
          </w:tcPr>
          <w:p w14:paraId="00AA6B42" w14:textId="0F3AD7F4" w:rsidR="00B86685" w:rsidRPr="000D756E" w:rsidRDefault="00B86685" w:rsidP="00B86685">
            <w:pPr>
              <w:pStyle w:val="Heading7"/>
              <w:jc w:val="right"/>
              <w:rPr>
                <w:rFonts w:cs="Arial"/>
                <w:b w:val="0"/>
              </w:rPr>
            </w:pPr>
            <w:r w:rsidRPr="000D756E">
              <w:rPr>
                <w:rFonts w:cs="Arial"/>
                <w:b w:val="0"/>
              </w:rPr>
              <w:t>183,335</w:t>
            </w:r>
          </w:p>
        </w:tc>
      </w:tr>
      <w:tr w:rsidR="00B86685" w:rsidRPr="000D756E" w14:paraId="18F3DDA2" w14:textId="77777777" w:rsidTr="605FE3AB">
        <w:tc>
          <w:tcPr>
            <w:tcW w:w="2263" w:type="dxa"/>
          </w:tcPr>
          <w:p w14:paraId="763CCC53" w14:textId="77777777" w:rsidR="00B86685" w:rsidRPr="000D756E" w:rsidRDefault="00B86685" w:rsidP="00B86685">
            <w:pPr>
              <w:pStyle w:val="Heading7"/>
              <w:rPr>
                <w:rFonts w:cs="Arial"/>
                <w:b w:val="0"/>
              </w:rPr>
            </w:pPr>
            <w:r w:rsidRPr="000D756E">
              <w:rPr>
                <w:rFonts w:cs="Arial"/>
                <w:b w:val="0"/>
              </w:rPr>
              <w:t>Current service cost</w:t>
            </w:r>
          </w:p>
        </w:tc>
        <w:tc>
          <w:tcPr>
            <w:tcW w:w="1134" w:type="dxa"/>
            <w:vAlign w:val="center"/>
          </w:tcPr>
          <w:p w14:paraId="157771DF" w14:textId="025C56FA" w:rsidR="00B86685" w:rsidRPr="000D756E" w:rsidRDefault="00BD2257" w:rsidP="00B86685">
            <w:pPr>
              <w:pStyle w:val="Heading7"/>
              <w:jc w:val="right"/>
              <w:rPr>
                <w:rFonts w:cs="Arial"/>
                <w:b w:val="0"/>
              </w:rPr>
            </w:pPr>
            <w:r>
              <w:rPr>
                <w:rFonts w:cs="Arial"/>
                <w:b w:val="0"/>
              </w:rPr>
              <w:t>592</w:t>
            </w:r>
          </w:p>
        </w:tc>
        <w:tc>
          <w:tcPr>
            <w:tcW w:w="1134" w:type="dxa"/>
            <w:vAlign w:val="center"/>
          </w:tcPr>
          <w:p w14:paraId="22582E7D" w14:textId="54E2C00F" w:rsidR="00B86685" w:rsidRPr="000D756E" w:rsidRDefault="00B86685" w:rsidP="00B86685">
            <w:pPr>
              <w:pStyle w:val="Heading7"/>
              <w:jc w:val="right"/>
              <w:rPr>
                <w:rFonts w:cs="Arial"/>
                <w:b w:val="0"/>
              </w:rPr>
            </w:pPr>
            <w:r w:rsidRPr="000D756E">
              <w:rPr>
                <w:rFonts w:cs="Arial"/>
                <w:b w:val="0"/>
              </w:rPr>
              <w:t>585</w:t>
            </w:r>
          </w:p>
        </w:tc>
        <w:tc>
          <w:tcPr>
            <w:tcW w:w="1185" w:type="dxa"/>
            <w:vAlign w:val="center"/>
          </w:tcPr>
          <w:p w14:paraId="2BFC26E9" w14:textId="5A5065F0" w:rsidR="00B86685" w:rsidRPr="000D756E" w:rsidRDefault="00827BE9" w:rsidP="00B86685">
            <w:pPr>
              <w:pStyle w:val="Heading7"/>
              <w:jc w:val="right"/>
              <w:rPr>
                <w:rFonts w:cs="Arial"/>
                <w:b w:val="0"/>
              </w:rPr>
            </w:pPr>
            <w:r>
              <w:rPr>
                <w:rFonts w:cs="Arial"/>
                <w:b w:val="0"/>
              </w:rPr>
              <w:t>348</w:t>
            </w:r>
          </w:p>
        </w:tc>
        <w:tc>
          <w:tcPr>
            <w:tcW w:w="1125" w:type="dxa"/>
            <w:vAlign w:val="center"/>
          </w:tcPr>
          <w:p w14:paraId="036D86A6" w14:textId="6091E111" w:rsidR="00B86685" w:rsidRPr="000D756E" w:rsidRDefault="00FE7759" w:rsidP="00B86685">
            <w:pPr>
              <w:pStyle w:val="Heading7"/>
              <w:jc w:val="right"/>
              <w:rPr>
                <w:rFonts w:cs="Arial"/>
                <w:b w:val="0"/>
              </w:rPr>
            </w:pPr>
            <w:r>
              <w:rPr>
                <w:rFonts w:cs="Arial"/>
                <w:b w:val="0"/>
              </w:rPr>
              <w:t>0</w:t>
            </w:r>
          </w:p>
        </w:tc>
        <w:tc>
          <w:tcPr>
            <w:tcW w:w="1092" w:type="dxa"/>
            <w:vAlign w:val="center"/>
          </w:tcPr>
          <w:p w14:paraId="1BD34528" w14:textId="25A429F3" w:rsidR="00B86685" w:rsidRPr="000D756E" w:rsidRDefault="00EE3789" w:rsidP="00B86685">
            <w:pPr>
              <w:pStyle w:val="Heading7"/>
              <w:jc w:val="right"/>
              <w:rPr>
                <w:rFonts w:cs="Arial"/>
                <w:b w:val="0"/>
              </w:rPr>
            </w:pPr>
            <w:r>
              <w:rPr>
                <w:rFonts w:cs="Arial"/>
                <w:b w:val="0"/>
              </w:rPr>
              <w:t>2,144</w:t>
            </w:r>
          </w:p>
        </w:tc>
        <w:tc>
          <w:tcPr>
            <w:tcW w:w="1185" w:type="dxa"/>
            <w:vAlign w:val="center"/>
          </w:tcPr>
          <w:p w14:paraId="1310C183" w14:textId="32559206" w:rsidR="00B86685" w:rsidRPr="000D756E" w:rsidRDefault="000F6BB1" w:rsidP="00B86685">
            <w:pPr>
              <w:pStyle w:val="Heading7"/>
              <w:jc w:val="right"/>
              <w:rPr>
                <w:rFonts w:cs="Arial"/>
                <w:b w:val="0"/>
              </w:rPr>
            </w:pPr>
            <w:r>
              <w:rPr>
                <w:rFonts w:cs="Arial"/>
                <w:b w:val="0"/>
              </w:rPr>
              <w:t>2,492</w:t>
            </w:r>
          </w:p>
        </w:tc>
        <w:tc>
          <w:tcPr>
            <w:tcW w:w="1196" w:type="dxa"/>
            <w:vAlign w:val="center"/>
          </w:tcPr>
          <w:p w14:paraId="04DC77FD" w14:textId="1D331A18" w:rsidR="00B86685" w:rsidRPr="000D756E" w:rsidRDefault="00B86685" w:rsidP="00B86685">
            <w:pPr>
              <w:pStyle w:val="Heading7"/>
              <w:jc w:val="right"/>
              <w:rPr>
                <w:rFonts w:cs="Arial"/>
                <w:b w:val="0"/>
              </w:rPr>
            </w:pPr>
            <w:r w:rsidRPr="000D756E">
              <w:rPr>
                <w:rFonts w:cs="Arial"/>
                <w:b w:val="0"/>
              </w:rPr>
              <w:t>2,422</w:t>
            </w:r>
          </w:p>
        </w:tc>
      </w:tr>
      <w:tr w:rsidR="00B86685" w:rsidRPr="000D756E" w14:paraId="2CA9D484" w14:textId="77777777" w:rsidTr="03AF8B75">
        <w:tc>
          <w:tcPr>
            <w:tcW w:w="2263" w:type="dxa"/>
          </w:tcPr>
          <w:p w14:paraId="5E8A5695" w14:textId="77777777" w:rsidR="00B86685" w:rsidRPr="000D756E" w:rsidRDefault="00B86685" w:rsidP="00B86685">
            <w:pPr>
              <w:pStyle w:val="Heading7"/>
              <w:rPr>
                <w:rFonts w:cs="Arial"/>
                <w:b w:val="0"/>
              </w:rPr>
            </w:pPr>
            <w:r w:rsidRPr="000D756E">
              <w:rPr>
                <w:rFonts w:cs="Arial"/>
                <w:b w:val="0"/>
              </w:rPr>
              <w:t>Interest cost</w:t>
            </w:r>
          </w:p>
        </w:tc>
        <w:tc>
          <w:tcPr>
            <w:tcW w:w="1134" w:type="dxa"/>
          </w:tcPr>
          <w:p w14:paraId="7C287DF3" w14:textId="79CA56EE" w:rsidR="00B86685" w:rsidRPr="000D756E" w:rsidRDefault="00BD2257" w:rsidP="00B86685">
            <w:pPr>
              <w:pStyle w:val="Heading7"/>
              <w:jc w:val="right"/>
              <w:rPr>
                <w:rFonts w:cs="Arial"/>
                <w:b w:val="0"/>
              </w:rPr>
            </w:pPr>
            <w:r>
              <w:rPr>
                <w:rFonts w:cs="Arial"/>
                <w:b w:val="0"/>
              </w:rPr>
              <w:t>1,045</w:t>
            </w:r>
          </w:p>
        </w:tc>
        <w:tc>
          <w:tcPr>
            <w:tcW w:w="1134" w:type="dxa"/>
          </w:tcPr>
          <w:p w14:paraId="3874BBBA" w14:textId="7C6BAE08" w:rsidR="00B86685" w:rsidRPr="000D756E" w:rsidRDefault="00B86685" w:rsidP="00B86685">
            <w:pPr>
              <w:pStyle w:val="Heading7"/>
              <w:jc w:val="right"/>
              <w:rPr>
                <w:rFonts w:cs="Arial"/>
                <w:b w:val="0"/>
              </w:rPr>
            </w:pPr>
            <w:r w:rsidRPr="000D756E">
              <w:rPr>
                <w:rFonts w:cs="Arial"/>
                <w:b w:val="0"/>
              </w:rPr>
              <w:t>1,013</w:t>
            </w:r>
          </w:p>
        </w:tc>
        <w:tc>
          <w:tcPr>
            <w:tcW w:w="1185" w:type="dxa"/>
          </w:tcPr>
          <w:p w14:paraId="7152B080" w14:textId="45DDC2C9" w:rsidR="00B86685" w:rsidRPr="000D756E" w:rsidRDefault="00827BE9" w:rsidP="00B86685">
            <w:pPr>
              <w:pStyle w:val="Heading7"/>
              <w:jc w:val="right"/>
              <w:rPr>
                <w:rFonts w:cs="Arial"/>
                <w:b w:val="0"/>
              </w:rPr>
            </w:pPr>
            <w:r>
              <w:rPr>
                <w:rFonts w:cs="Arial"/>
                <w:b w:val="0"/>
              </w:rPr>
              <w:t>7,250</w:t>
            </w:r>
          </w:p>
        </w:tc>
        <w:tc>
          <w:tcPr>
            <w:tcW w:w="1125" w:type="dxa"/>
          </w:tcPr>
          <w:p w14:paraId="0C4A07DA" w14:textId="20784968" w:rsidR="00B86685" w:rsidRPr="000D756E" w:rsidRDefault="00FE7759" w:rsidP="00B86685">
            <w:pPr>
              <w:pStyle w:val="Heading7"/>
              <w:jc w:val="right"/>
              <w:rPr>
                <w:rFonts w:cs="Arial"/>
                <w:b w:val="0"/>
              </w:rPr>
            </w:pPr>
            <w:r>
              <w:rPr>
                <w:rFonts w:cs="Arial"/>
                <w:b w:val="0"/>
              </w:rPr>
              <w:t>968</w:t>
            </w:r>
          </w:p>
        </w:tc>
        <w:tc>
          <w:tcPr>
            <w:tcW w:w="1092" w:type="dxa"/>
          </w:tcPr>
          <w:p w14:paraId="0F1BF8A9" w14:textId="5E4F99BB" w:rsidR="00B86685" w:rsidRPr="000D756E" w:rsidRDefault="00EE3789" w:rsidP="00B86685">
            <w:pPr>
              <w:pStyle w:val="Heading7"/>
              <w:jc w:val="right"/>
              <w:rPr>
                <w:rFonts w:cs="Arial"/>
                <w:b w:val="0"/>
              </w:rPr>
            </w:pPr>
            <w:r>
              <w:rPr>
                <w:rFonts w:cs="Arial"/>
                <w:b w:val="0"/>
              </w:rPr>
              <w:t>565</w:t>
            </w:r>
          </w:p>
        </w:tc>
        <w:tc>
          <w:tcPr>
            <w:tcW w:w="1185" w:type="dxa"/>
          </w:tcPr>
          <w:p w14:paraId="3F1F234B" w14:textId="04220E6F" w:rsidR="00B86685" w:rsidRPr="000D756E" w:rsidRDefault="000F6BB1" w:rsidP="00B86685">
            <w:pPr>
              <w:pStyle w:val="Heading7"/>
              <w:jc w:val="right"/>
              <w:rPr>
                <w:rFonts w:cs="Arial"/>
                <w:b w:val="0"/>
              </w:rPr>
            </w:pPr>
            <w:r>
              <w:rPr>
                <w:rFonts w:cs="Arial"/>
                <w:b w:val="0"/>
              </w:rPr>
              <w:t>8,783</w:t>
            </w:r>
          </w:p>
        </w:tc>
        <w:tc>
          <w:tcPr>
            <w:tcW w:w="1196" w:type="dxa"/>
          </w:tcPr>
          <w:p w14:paraId="2899BB0E" w14:textId="6D593F21" w:rsidR="00B86685" w:rsidRPr="000D756E" w:rsidRDefault="00B86685" w:rsidP="00B86685">
            <w:pPr>
              <w:pStyle w:val="Heading7"/>
              <w:jc w:val="right"/>
              <w:rPr>
                <w:rFonts w:cs="Arial"/>
                <w:b w:val="0"/>
              </w:rPr>
            </w:pPr>
            <w:r w:rsidRPr="000D756E">
              <w:rPr>
                <w:rFonts w:cs="Arial"/>
                <w:b w:val="0"/>
              </w:rPr>
              <w:t>8,648</w:t>
            </w:r>
          </w:p>
        </w:tc>
      </w:tr>
      <w:tr w:rsidR="00B86685" w:rsidRPr="000D756E" w14:paraId="49582B6A" w14:textId="77777777" w:rsidTr="03AF8B75">
        <w:tc>
          <w:tcPr>
            <w:tcW w:w="2263" w:type="dxa"/>
          </w:tcPr>
          <w:p w14:paraId="0A4A89EC" w14:textId="77777777" w:rsidR="00B86685" w:rsidRPr="000D756E" w:rsidRDefault="00B86685" w:rsidP="00B86685">
            <w:pPr>
              <w:pStyle w:val="Heading7"/>
              <w:rPr>
                <w:rFonts w:cs="Arial"/>
                <w:b w:val="0"/>
              </w:rPr>
            </w:pPr>
            <w:r w:rsidRPr="000D756E">
              <w:rPr>
                <w:rFonts w:cs="Arial"/>
                <w:b w:val="0"/>
              </w:rPr>
              <w:t>Contributions by scheme participants</w:t>
            </w:r>
          </w:p>
        </w:tc>
        <w:tc>
          <w:tcPr>
            <w:tcW w:w="1134" w:type="dxa"/>
          </w:tcPr>
          <w:p w14:paraId="60A510EB" w14:textId="77777777" w:rsidR="00B86685" w:rsidRDefault="00B86685" w:rsidP="00B86685">
            <w:pPr>
              <w:jc w:val="right"/>
              <w:rPr>
                <w:rFonts w:ascii="Arial" w:hAnsi="Arial" w:cs="Arial"/>
                <w:sz w:val="24"/>
                <w:szCs w:val="24"/>
              </w:rPr>
            </w:pPr>
          </w:p>
          <w:p w14:paraId="71FAB8EE" w14:textId="5550CB12" w:rsidR="00BD2257" w:rsidRPr="000D756E" w:rsidRDefault="00BD2257" w:rsidP="00B86685">
            <w:pPr>
              <w:jc w:val="right"/>
              <w:rPr>
                <w:rFonts w:ascii="Arial" w:hAnsi="Arial" w:cs="Arial"/>
                <w:sz w:val="24"/>
                <w:szCs w:val="24"/>
              </w:rPr>
            </w:pPr>
            <w:r>
              <w:rPr>
                <w:rFonts w:ascii="Arial" w:hAnsi="Arial" w:cs="Arial"/>
                <w:sz w:val="24"/>
                <w:szCs w:val="24"/>
              </w:rPr>
              <w:t>236</w:t>
            </w:r>
          </w:p>
        </w:tc>
        <w:tc>
          <w:tcPr>
            <w:tcW w:w="1134" w:type="dxa"/>
          </w:tcPr>
          <w:p w14:paraId="0D5CE275" w14:textId="77777777" w:rsidR="00B86685" w:rsidRPr="000D756E" w:rsidRDefault="00B86685" w:rsidP="00B86685">
            <w:pPr>
              <w:jc w:val="right"/>
              <w:rPr>
                <w:rFonts w:ascii="Arial" w:hAnsi="Arial" w:cs="Arial"/>
                <w:sz w:val="24"/>
                <w:szCs w:val="24"/>
              </w:rPr>
            </w:pPr>
          </w:p>
          <w:p w14:paraId="1521612A" w14:textId="3F684E43" w:rsidR="00B86685" w:rsidRPr="000D756E" w:rsidRDefault="00B86685" w:rsidP="00B86685">
            <w:pPr>
              <w:jc w:val="right"/>
              <w:rPr>
                <w:rFonts w:ascii="Arial" w:hAnsi="Arial" w:cs="Arial"/>
                <w:sz w:val="24"/>
                <w:szCs w:val="24"/>
              </w:rPr>
            </w:pPr>
            <w:r w:rsidRPr="000D756E">
              <w:rPr>
                <w:rFonts w:ascii="Arial" w:hAnsi="Arial" w:cs="Arial"/>
                <w:sz w:val="24"/>
                <w:szCs w:val="24"/>
              </w:rPr>
              <w:t>219</w:t>
            </w:r>
          </w:p>
        </w:tc>
        <w:tc>
          <w:tcPr>
            <w:tcW w:w="1185" w:type="dxa"/>
          </w:tcPr>
          <w:p w14:paraId="2D38E4DA" w14:textId="77777777" w:rsidR="00B86685" w:rsidRDefault="00B86685" w:rsidP="00B86685">
            <w:pPr>
              <w:jc w:val="right"/>
              <w:rPr>
                <w:rFonts w:ascii="Arial" w:hAnsi="Arial" w:cs="Arial"/>
                <w:sz w:val="24"/>
                <w:szCs w:val="24"/>
              </w:rPr>
            </w:pPr>
          </w:p>
          <w:p w14:paraId="6021EF9C" w14:textId="7AB04F24" w:rsidR="00827BE9" w:rsidRPr="000D756E" w:rsidRDefault="00827BE9" w:rsidP="00B86685">
            <w:pPr>
              <w:jc w:val="right"/>
              <w:rPr>
                <w:rFonts w:ascii="Arial" w:hAnsi="Arial" w:cs="Arial"/>
                <w:sz w:val="24"/>
                <w:szCs w:val="24"/>
              </w:rPr>
            </w:pPr>
            <w:r>
              <w:rPr>
                <w:rFonts w:ascii="Arial" w:hAnsi="Arial" w:cs="Arial"/>
                <w:sz w:val="24"/>
                <w:szCs w:val="24"/>
              </w:rPr>
              <w:t>0</w:t>
            </w:r>
          </w:p>
        </w:tc>
        <w:tc>
          <w:tcPr>
            <w:tcW w:w="1125" w:type="dxa"/>
          </w:tcPr>
          <w:p w14:paraId="6ADCE7E5" w14:textId="77777777" w:rsidR="00B86685" w:rsidRDefault="00B86685" w:rsidP="00B86685">
            <w:pPr>
              <w:jc w:val="right"/>
              <w:rPr>
                <w:rFonts w:ascii="Arial" w:hAnsi="Arial" w:cs="Arial"/>
                <w:sz w:val="24"/>
                <w:szCs w:val="24"/>
              </w:rPr>
            </w:pPr>
          </w:p>
          <w:p w14:paraId="3475644D" w14:textId="605B6605" w:rsidR="00FE7759" w:rsidRPr="000D756E" w:rsidRDefault="00FE7759" w:rsidP="00B86685">
            <w:pPr>
              <w:jc w:val="right"/>
              <w:rPr>
                <w:rFonts w:ascii="Arial" w:hAnsi="Arial" w:cs="Arial"/>
                <w:sz w:val="24"/>
                <w:szCs w:val="24"/>
              </w:rPr>
            </w:pPr>
            <w:r>
              <w:rPr>
                <w:rFonts w:ascii="Arial" w:hAnsi="Arial" w:cs="Arial"/>
                <w:sz w:val="24"/>
                <w:szCs w:val="24"/>
              </w:rPr>
              <w:t>181</w:t>
            </w:r>
          </w:p>
        </w:tc>
        <w:tc>
          <w:tcPr>
            <w:tcW w:w="1092" w:type="dxa"/>
          </w:tcPr>
          <w:p w14:paraId="059F52EB" w14:textId="77777777" w:rsidR="00B86685" w:rsidRDefault="00B86685" w:rsidP="00B86685">
            <w:pPr>
              <w:jc w:val="right"/>
              <w:rPr>
                <w:rFonts w:ascii="Arial" w:hAnsi="Arial" w:cs="Arial"/>
                <w:sz w:val="24"/>
                <w:szCs w:val="24"/>
              </w:rPr>
            </w:pPr>
          </w:p>
          <w:p w14:paraId="078BA5D1" w14:textId="6F814757" w:rsidR="00EE3789" w:rsidRPr="000D756E" w:rsidRDefault="00EE3789" w:rsidP="00B86685">
            <w:pPr>
              <w:jc w:val="right"/>
              <w:rPr>
                <w:rFonts w:ascii="Arial" w:hAnsi="Arial" w:cs="Arial"/>
                <w:sz w:val="24"/>
                <w:szCs w:val="24"/>
              </w:rPr>
            </w:pPr>
            <w:r>
              <w:rPr>
                <w:rFonts w:ascii="Arial" w:hAnsi="Arial" w:cs="Arial"/>
                <w:sz w:val="24"/>
                <w:szCs w:val="24"/>
              </w:rPr>
              <w:t>1,354</w:t>
            </w:r>
          </w:p>
        </w:tc>
        <w:tc>
          <w:tcPr>
            <w:tcW w:w="1185" w:type="dxa"/>
          </w:tcPr>
          <w:p w14:paraId="25B51B70" w14:textId="77777777" w:rsidR="00B86685" w:rsidRDefault="00B86685" w:rsidP="00B86685">
            <w:pPr>
              <w:jc w:val="right"/>
              <w:rPr>
                <w:rFonts w:ascii="Arial" w:hAnsi="Arial" w:cs="Arial"/>
                <w:sz w:val="24"/>
                <w:szCs w:val="24"/>
              </w:rPr>
            </w:pPr>
          </w:p>
          <w:p w14:paraId="24D76D60" w14:textId="669CAFA3" w:rsidR="000F6BB1" w:rsidRPr="000D756E" w:rsidRDefault="000F6BB1" w:rsidP="00B86685">
            <w:pPr>
              <w:jc w:val="right"/>
              <w:rPr>
                <w:rFonts w:ascii="Arial" w:hAnsi="Arial" w:cs="Arial"/>
                <w:sz w:val="24"/>
                <w:szCs w:val="24"/>
              </w:rPr>
            </w:pPr>
            <w:r>
              <w:rPr>
                <w:rFonts w:ascii="Arial" w:hAnsi="Arial" w:cs="Arial"/>
                <w:sz w:val="24"/>
                <w:szCs w:val="24"/>
              </w:rPr>
              <w:t>1,535</w:t>
            </w:r>
          </w:p>
        </w:tc>
        <w:tc>
          <w:tcPr>
            <w:tcW w:w="1196" w:type="dxa"/>
          </w:tcPr>
          <w:p w14:paraId="57828859" w14:textId="77777777" w:rsidR="00B86685" w:rsidRPr="000D756E" w:rsidRDefault="00B86685" w:rsidP="00B86685">
            <w:pPr>
              <w:jc w:val="right"/>
              <w:rPr>
                <w:rFonts w:ascii="Arial" w:hAnsi="Arial" w:cs="Arial"/>
                <w:sz w:val="24"/>
                <w:szCs w:val="24"/>
              </w:rPr>
            </w:pPr>
          </w:p>
          <w:p w14:paraId="46626F64" w14:textId="45B5909A" w:rsidR="00B86685" w:rsidRPr="000D756E" w:rsidRDefault="00B86685" w:rsidP="00B86685">
            <w:pPr>
              <w:jc w:val="right"/>
              <w:rPr>
                <w:rFonts w:ascii="Arial" w:hAnsi="Arial" w:cs="Arial"/>
                <w:sz w:val="24"/>
                <w:szCs w:val="24"/>
              </w:rPr>
            </w:pPr>
            <w:r w:rsidRPr="000D756E">
              <w:rPr>
                <w:rFonts w:ascii="Arial" w:hAnsi="Arial" w:cs="Arial"/>
                <w:sz w:val="24"/>
                <w:szCs w:val="24"/>
              </w:rPr>
              <w:t>1,284</w:t>
            </w:r>
          </w:p>
        </w:tc>
      </w:tr>
      <w:tr w:rsidR="00B86685" w:rsidRPr="000D756E" w14:paraId="59E44A1D" w14:textId="77777777" w:rsidTr="03AF8B75">
        <w:tc>
          <w:tcPr>
            <w:tcW w:w="2263" w:type="dxa"/>
          </w:tcPr>
          <w:p w14:paraId="56866469" w14:textId="77777777" w:rsidR="00B86685" w:rsidRPr="000D756E" w:rsidRDefault="00B86685" w:rsidP="00B86685">
            <w:pPr>
              <w:pStyle w:val="Heading7"/>
              <w:rPr>
                <w:rFonts w:cs="Arial"/>
                <w:b w:val="0"/>
              </w:rPr>
            </w:pPr>
            <w:r w:rsidRPr="000D756E">
              <w:rPr>
                <w:rFonts w:cs="Arial"/>
                <w:b w:val="0"/>
              </w:rPr>
              <w:t>Benefits paid</w:t>
            </w:r>
          </w:p>
        </w:tc>
        <w:tc>
          <w:tcPr>
            <w:tcW w:w="1134" w:type="dxa"/>
          </w:tcPr>
          <w:p w14:paraId="7CC7075A" w14:textId="01ED2839" w:rsidR="00B86685" w:rsidRPr="000D756E" w:rsidRDefault="00BD2257" w:rsidP="00B86685">
            <w:pPr>
              <w:pStyle w:val="Heading7"/>
              <w:jc w:val="right"/>
              <w:rPr>
                <w:rFonts w:cs="Arial"/>
                <w:b w:val="0"/>
              </w:rPr>
            </w:pPr>
            <w:r>
              <w:rPr>
                <w:rFonts w:cs="Arial"/>
                <w:b w:val="0"/>
              </w:rPr>
              <w:t>-938</w:t>
            </w:r>
          </w:p>
        </w:tc>
        <w:tc>
          <w:tcPr>
            <w:tcW w:w="1134" w:type="dxa"/>
          </w:tcPr>
          <w:p w14:paraId="7A720785" w14:textId="552AC335" w:rsidR="00B86685" w:rsidRPr="000D756E" w:rsidRDefault="00B86685" w:rsidP="00B86685">
            <w:pPr>
              <w:pStyle w:val="Heading7"/>
              <w:jc w:val="right"/>
              <w:rPr>
                <w:rFonts w:cs="Arial"/>
                <w:b w:val="0"/>
              </w:rPr>
            </w:pPr>
            <w:r w:rsidRPr="000D756E">
              <w:rPr>
                <w:rFonts w:cs="Arial"/>
                <w:b w:val="0"/>
              </w:rPr>
              <w:t>-549</w:t>
            </w:r>
          </w:p>
        </w:tc>
        <w:tc>
          <w:tcPr>
            <w:tcW w:w="1185" w:type="dxa"/>
          </w:tcPr>
          <w:p w14:paraId="03977507" w14:textId="739EA479" w:rsidR="00B86685" w:rsidRPr="000D756E" w:rsidRDefault="00827BE9" w:rsidP="00B86685">
            <w:pPr>
              <w:pStyle w:val="Heading7"/>
              <w:jc w:val="right"/>
              <w:rPr>
                <w:rFonts w:cs="Arial"/>
                <w:b w:val="0"/>
              </w:rPr>
            </w:pPr>
            <w:r>
              <w:rPr>
                <w:rFonts w:cs="Arial"/>
                <w:b w:val="0"/>
              </w:rPr>
              <w:t>-7,815</w:t>
            </w:r>
          </w:p>
        </w:tc>
        <w:tc>
          <w:tcPr>
            <w:tcW w:w="1125" w:type="dxa"/>
          </w:tcPr>
          <w:p w14:paraId="64713CD2" w14:textId="4AFCB9E2" w:rsidR="00B86685" w:rsidRPr="000D756E" w:rsidRDefault="00FE7759" w:rsidP="00B86685">
            <w:pPr>
              <w:pStyle w:val="Heading7"/>
              <w:jc w:val="right"/>
              <w:rPr>
                <w:rFonts w:cs="Arial"/>
                <w:b w:val="0"/>
              </w:rPr>
            </w:pPr>
            <w:r>
              <w:rPr>
                <w:rFonts w:cs="Arial"/>
                <w:b w:val="0"/>
              </w:rPr>
              <w:t>-425</w:t>
            </w:r>
          </w:p>
        </w:tc>
        <w:tc>
          <w:tcPr>
            <w:tcW w:w="1092" w:type="dxa"/>
          </w:tcPr>
          <w:p w14:paraId="673735BA" w14:textId="5C5B0F27" w:rsidR="00B86685" w:rsidRPr="000D756E" w:rsidRDefault="00EE3789" w:rsidP="00B86685">
            <w:pPr>
              <w:pStyle w:val="Heading7"/>
              <w:jc w:val="right"/>
              <w:rPr>
                <w:rFonts w:cs="Arial"/>
                <w:b w:val="0"/>
              </w:rPr>
            </w:pPr>
            <w:r>
              <w:rPr>
                <w:rFonts w:cs="Arial"/>
                <w:b w:val="0"/>
              </w:rPr>
              <w:t>-3</w:t>
            </w:r>
          </w:p>
        </w:tc>
        <w:tc>
          <w:tcPr>
            <w:tcW w:w="1185" w:type="dxa"/>
          </w:tcPr>
          <w:p w14:paraId="4C1520EC" w14:textId="1FCCC569" w:rsidR="00B86685" w:rsidRPr="000D756E" w:rsidRDefault="000F6BB1" w:rsidP="00B86685">
            <w:pPr>
              <w:pStyle w:val="Heading7"/>
              <w:jc w:val="right"/>
              <w:rPr>
                <w:rFonts w:cs="Arial"/>
                <w:b w:val="0"/>
              </w:rPr>
            </w:pPr>
            <w:r>
              <w:rPr>
                <w:rFonts w:cs="Arial"/>
                <w:b w:val="0"/>
              </w:rPr>
              <w:t>-8,243</w:t>
            </w:r>
          </w:p>
        </w:tc>
        <w:tc>
          <w:tcPr>
            <w:tcW w:w="1196" w:type="dxa"/>
          </w:tcPr>
          <w:p w14:paraId="619CDD57" w14:textId="05CDBC78" w:rsidR="00B86685" w:rsidRPr="000D756E" w:rsidRDefault="00B86685" w:rsidP="00B86685">
            <w:pPr>
              <w:pStyle w:val="Heading7"/>
              <w:jc w:val="right"/>
              <w:rPr>
                <w:rFonts w:cs="Arial"/>
                <w:b w:val="0"/>
              </w:rPr>
            </w:pPr>
            <w:r w:rsidRPr="000D756E">
              <w:rPr>
                <w:rFonts w:cs="Arial"/>
                <w:b w:val="0"/>
              </w:rPr>
              <w:t>-7,674</w:t>
            </w:r>
          </w:p>
        </w:tc>
      </w:tr>
      <w:tr w:rsidR="00B86685" w:rsidRPr="000D756E" w14:paraId="09CB0126" w14:textId="77777777" w:rsidTr="03AF8B75">
        <w:tc>
          <w:tcPr>
            <w:tcW w:w="2263" w:type="dxa"/>
          </w:tcPr>
          <w:p w14:paraId="25FC2FE0" w14:textId="77777777" w:rsidR="00B86685" w:rsidRPr="000D756E" w:rsidRDefault="00B86685" w:rsidP="00B86685">
            <w:pPr>
              <w:pStyle w:val="Heading7"/>
              <w:rPr>
                <w:rFonts w:cs="Arial"/>
                <w:b w:val="0"/>
              </w:rPr>
            </w:pPr>
            <w:r w:rsidRPr="000D756E">
              <w:rPr>
                <w:rFonts w:cs="Arial"/>
                <w:b w:val="0"/>
              </w:rPr>
              <w:t>Remeasurements (actuarial gains and losses):</w:t>
            </w:r>
          </w:p>
          <w:p w14:paraId="56C56915" w14:textId="0A110D9D" w:rsidR="00B86685" w:rsidRPr="000D756E" w:rsidRDefault="00B86685" w:rsidP="00B86685">
            <w:pPr>
              <w:pStyle w:val="Heading7"/>
              <w:rPr>
                <w:rFonts w:cs="Arial"/>
                <w:b w:val="0"/>
              </w:rPr>
            </w:pPr>
            <w:r w:rsidRPr="000D756E">
              <w:rPr>
                <w:rFonts w:cs="Arial"/>
                <w:b w:val="0"/>
              </w:rPr>
              <w:t>Experience loss</w:t>
            </w:r>
          </w:p>
          <w:p w14:paraId="6E5D3A1F" w14:textId="62F03203" w:rsidR="00B86685" w:rsidRPr="000D756E" w:rsidRDefault="00B86685" w:rsidP="00B86685">
            <w:pPr>
              <w:pStyle w:val="Heading7"/>
              <w:rPr>
                <w:rFonts w:cs="Arial"/>
                <w:b w:val="0"/>
              </w:rPr>
            </w:pPr>
            <w:r w:rsidRPr="000D756E">
              <w:rPr>
                <w:rFonts w:cs="Arial"/>
                <w:b w:val="0"/>
              </w:rPr>
              <w:t>Gain in financial assumptions</w:t>
            </w:r>
          </w:p>
          <w:p w14:paraId="098B9BE5" w14:textId="1C469D3F" w:rsidR="00B86685" w:rsidRPr="000D756E" w:rsidRDefault="00B86685" w:rsidP="00B86685">
            <w:pPr>
              <w:rPr>
                <w:rFonts w:ascii="Arial" w:hAnsi="Arial" w:cs="Arial"/>
                <w:sz w:val="24"/>
                <w:szCs w:val="24"/>
              </w:rPr>
            </w:pPr>
            <w:r w:rsidRPr="000D756E">
              <w:rPr>
                <w:rFonts w:ascii="Arial" w:hAnsi="Arial" w:cs="Arial"/>
                <w:sz w:val="24"/>
                <w:szCs w:val="24"/>
              </w:rPr>
              <w:t>Gain in demographic assumptions</w:t>
            </w:r>
          </w:p>
        </w:tc>
        <w:tc>
          <w:tcPr>
            <w:tcW w:w="1134" w:type="dxa"/>
          </w:tcPr>
          <w:p w14:paraId="09A7D72B" w14:textId="77777777" w:rsidR="00B86685" w:rsidRDefault="00B86685" w:rsidP="00B86685">
            <w:pPr>
              <w:jc w:val="right"/>
              <w:rPr>
                <w:rFonts w:ascii="Arial" w:hAnsi="Arial" w:cs="Arial"/>
                <w:sz w:val="24"/>
                <w:szCs w:val="24"/>
              </w:rPr>
            </w:pPr>
          </w:p>
          <w:p w14:paraId="2F73095D" w14:textId="77777777" w:rsidR="00BD2257" w:rsidRDefault="00BD2257" w:rsidP="00B86685">
            <w:pPr>
              <w:jc w:val="right"/>
              <w:rPr>
                <w:rFonts w:ascii="Arial" w:hAnsi="Arial" w:cs="Arial"/>
                <w:sz w:val="24"/>
                <w:szCs w:val="24"/>
              </w:rPr>
            </w:pPr>
          </w:p>
          <w:p w14:paraId="5226AB55" w14:textId="77777777" w:rsidR="00BD2257" w:rsidRDefault="00BD2257" w:rsidP="00B86685">
            <w:pPr>
              <w:jc w:val="right"/>
              <w:rPr>
                <w:rFonts w:ascii="Arial" w:hAnsi="Arial" w:cs="Arial"/>
                <w:sz w:val="24"/>
                <w:szCs w:val="24"/>
              </w:rPr>
            </w:pPr>
          </w:p>
          <w:p w14:paraId="2FF01EF1" w14:textId="77777777" w:rsidR="00BD2257" w:rsidRDefault="00BD2257" w:rsidP="00B86685">
            <w:pPr>
              <w:jc w:val="right"/>
              <w:rPr>
                <w:rFonts w:ascii="Arial" w:hAnsi="Arial" w:cs="Arial"/>
                <w:sz w:val="24"/>
                <w:szCs w:val="24"/>
              </w:rPr>
            </w:pPr>
            <w:r>
              <w:rPr>
                <w:rFonts w:ascii="Arial" w:hAnsi="Arial" w:cs="Arial"/>
                <w:sz w:val="24"/>
                <w:szCs w:val="24"/>
              </w:rPr>
              <w:t>-5</w:t>
            </w:r>
          </w:p>
          <w:p w14:paraId="0B5CE117" w14:textId="77777777" w:rsidR="00BD2257" w:rsidRDefault="00BD2257" w:rsidP="00B86685">
            <w:pPr>
              <w:jc w:val="right"/>
              <w:rPr>
                <w:rFonts w:ascii="Arial" w:hAnsi="Arial" w:cs="Arial"/>
                <w:sz w:val="24"/>
                <w:szCs w:val="24"/>
              </w:rPr>
            </w:pPr>
          </w:p>
          <w:p w14:paraId="7134816B" w14:textId="77777777" w:rsidR="00BD2257" w:rsidRDefault="00BD2257" w:rsidP="00B86685">
            <w:pPr>
              <w:jc w:val="right"/>
              <w:rPr>
                <w:rFonts w:ascii="Arial" w:hAnsi="Arial" w:cs="Arial"/>
                <w:sz w:val="24"/>
                <w:szCs w:val="24"/>
              </w:rPr>
            </w:pPr>
            <w:r>
              <w:rPr>
                <w:rFonts w:ascii="Arial" w:hAnsi="Arial" w:cs="Arial"/>
                <w:sz w:val="24"/>
                <w:szCs w:val="24"/>
              </w:rPr>
              <w:t>-3,321</w:t>
            </w:r>
          </w:p>
          <w:p w14:paraId="2873B822" w14:textId="77777777" w:rsidR="00BD2257" w:rsidRDefault="00BD2257" w:rsidP="00B86685">
            <w:pPr>
              <w:jc w:val="right"/>
              <w:rPr>
                <w:rFonts w:ascii="Arial" w:hAnsi="Arial" w:cs="Arial"/>
                <w:sz w:val="24"/>
                <w:szCs w:val="24"/>
              </w:rPr>
            </w:pPr>
          </w:p>
          <w:p w14:paraId="2BFEAB76" w14:textId="60EF99DB" w:rsidR="00BD2257" w:rsidRDefault="00BD2257" w:rsidP="00B86685">
            <w:pPr>
              <w:jc w:val="right"/>
              <w:rPr>
                <w:rFonts w:ascii="Arial" w:hAnsi="Arial" w:cs="Arial"/>
                <w:sz w:val="24"/>
                <w:szCs w:val="24"/>
              </w:rPr>
            </w:pPr>
            <w:r>
              <w:rPr>
                <w:rFonts w:ascii="Arial" w:hAnsi="Arial" w:cs="Arial"/>
                <w:sz w:val="24"/>
                <w:szCs w:val="24"/>
              </w:rPr>
              <w:t>-66</w:t>
            </w:r>
          </w:p>
          <w:p w14:paraId="70ACB043" w14:textId="35D8829C" w:rsidR="00BD2257" w:rsidRPr="000D756E" w:rsidRDefault="00BD2257" w:rsidP="00B86685">
            <w:pPr>
              <w:jc w:val="right"/>
              <w:rPr>
                <w:rFonts w:ascii="Arial" w:hAnsi="Arial" w:cs="Arial"/>
                <w:sz w:val="24"/>
                <w:szCs w:val="24"/>
              </w:rPr>
            </w:pPr>
          </w:p>
        </w:tc>
        <w:tc>
          <w:tcPr>
            <w:tcW w:w="1134" w:type="dxa"/>
          </w:tcPr>
          <w:p w14:paraId="7943D69B" w14:textId="77777777" w:rsidR="00B86685" w:rsidRPr="000D756E" w:rsidRDefault="00B86685" w:rsidP="00B86685">
            <w:pPr>
              <w:jc w:val="right"/>
              <w:rPr>
                <w:rFonts w:ascii="Arial" w:hAnsi="Arial" w:cs="Arial"/>
                <w:sz w:val="24"/>
                <w:szCs w:val="24"/>
              </w:rPr>
            </w:pPr>
          </w:p>
          <w:p w14:paraId="3A8CF703" w14:textId="77777777" w:rsidR="00B86685" w:rsidRPr="000D756E" w:rsidRDefault="00B86685" w:rsidP="00B86685">
            <w:pPr>
              <w:jc w:val="right"/>
              <w:rPr>
                <w:rFonts w:ascii="Arial" w:hAnsi="Arial" w:cs="Arial"/>
                <w:sz w:val="24"/>
                <w:szCs w:val="24"/>
              </w:rPr>
            </w:pPr>
          </w:p>
          <w:p w14:paraId="4CED0DEC" w14:textId="77777777" w:rsidR="00B86685" w:rsidRPr="000D756E" w:rsidRDefault="00B86685" w:rsidP="00B86685">
            <w:pPr>
              <w:jc w:val="right"/>
              <w:rPr>
                <w:rFonts w:ascii="Arial" w:hAnsi="Arial" w:cs="Arial"/>
                <w:sz w:val="24"/>
                <w:szCs w:val="24"/>
              </w:rPr>
            </w:pPr>
          </w:p>
          <w:p w14:paraId="3D3BFCCA" w14:textId="77777777" w:rsidR="00B86685" w:rsidRPr="000D756E" w:rsidRDefault="00B86685" w:rsidP="00B86685">
            <w:pPr>
              <w:jc w:val="right"/>
              <w:rPr>
                <w:rFonts w:ascii="Arial" w:hAnsi="Arial" w:cs="Arial"/>
                <w:sz w:val="24"/>
                <w:szCs w:val="24"/>
              </w:rPr>
            </w:pPr>
            <w:r w:rsidRPr="000D756E">
              <w:rPr>
                <w:rFonts w:ascii="Arial" w:hAnsi="Arial" w:cs="Arial"/>
                <w:sz w:val="24"/>
                <w:szCs w:val="24"/>
              </w:rPr>
              <w:t>142</w:t>
            </w:r>
          </w:p>
          <w:p w14:paraId="415D93FF" w14:textId="77777777" w:rsidR="00B86685" w:rsidRPr="000D756E" w:rsidRDefault="00B86685" w:rsidP="00B86685">
            <w:pPr>
              <w:jc w:val="right"/>
              <w:rPr>
                <w:rFonts w:ascii="Arial" w:hAnsi="Arial" w:cs="Arial"/>
                <w:sz w:val="24"/>
                <w:szCs w:val="24"/>
              </w:rPr>
            </w:pPr>
          </w:p>
          <w:p w14:paraId="3E036378" w14:textId="77777777" w:rsidR="00B86685" w:rsidRPr="000D756E" w:rsidRDefault="00B86685" w:rsidP="00B86685">
            <w:pPr>
              <w:jc w:val="right"/>
              <w:rPr>
                <w:rFonts w:ascii="Arial" w:hAnsi="Arial" w:cs="Arial"/>
                <w:sz w:val="24"/>
                <w:szCs w:val="24"/>
              </w:rPr>
            </w:pPr>
            <w:r w:rsidRPr="000D756E">
              <w:rPr>
                <w:rFonts w:ascii="Arial" w:hAnsi="Arial" w:cs="Arial"/>
                <w:sz w:val="24"/>
                <w:szCs w:val="24"/>
              </w:rPr>
              <w:t>-739</w:t>
            </w:r>
          </w:p>
          <w:p w14:paraId="230BD786" w14:textId="77777777" w:rsidR="00B86685" w:rsidRPr="000D756E" w:rsidRDefault="00B86685" w:rsidP="00B86685">
            <w:pPr>
              <w:jc w:val="right"/>
              <w:rPr>
                <w:rFonts w:ascii="Arial" w:hAnsi="Arial" w:cs="Arial"/>
                <w:sz w:val="24"/>
                <w:szCs w:val="24"/>
              </w:rPr>
            </w:pPr>
          </w:p>
          <w:p w14:paraId="5655D8D4" w14:textId="028C3AD9" w:rsidR="00B86685" w:rsidRPr="000D756E" w:rsidRDefault="00B86685" w:rsidP="00B86685">
            <w:pPr>
              <w:jc w:val="right"/>
              <w:rPr>
                <w:rFonts w:ascii="Arial" w:hAnsi="Arial" w:cs="Arial"/>
                <w:sz w:val="24"/>
                <w:szCs w:val="24"/>
              </w:rPr>
            </w:pPr>
            <w:r w:rsidRPr="000D756E">
              <w:rPr>
                <w:rFonts w:ascii="Arial" w:hAnsi="Arial" w:cs="Arial"/>
                <w:sz w:val="24"/>
                <w:szCs w:val="24"/>
              </w:rPr>
              <w:t>-250</w:t>
            </w:r>
          </w:p>
        </w:tc>
        <w:tc>
          <w:tcPr>
            <w:tcW w:w="1185" w:type="dxa"/>
          </w:tcPr>
          <w:p w14:paraId="53793E06" w14:textId="77777777" w:rsidR="00B86685" w:rsidRDefault="00B86685" w:rsidP="00B86685">
            <w:pPr>
              <w:jc w:val="right"/>
              <w:rPr>
                <w:rFonts w:ascii="Arial" w:hAnsi="Arial" w:cs="Arial"/>
                <w:sz w:val="24"/>
                <w:szCs w:val="24"/>
              </w:rPr>
            </w:pPr>
          </w:p>
          <w:p w14:paraId="4BA5FB68" w14:textId="77777777" w:rsidR="00827BE9" w:rsidRDefault="00827BE9" w:rsidP="00B86685">
            <w:pPr>
              <w:jc w:val="right"/>
              <w:rPr>
                <w:rFonts w:ascii="Arial" w:hAnsi="Arial" w:cs="Arial"/>
                <w:sz w:val="24"/>
                <w:szCs w:val="24"/>
              </w:rPr>
            </w:pPr>
          </w:p>
          <w:p w14:paraId="61B0CA23" w14:textId="77777777" w:rsidR="00827BE9" w:rsidRDefault="00827BE9" w:rsidP="00B86685">
            <w:pPr>
              <w:jc w:val="right"/>
              <w:rPr>
                <w:rFonts w:ascii="Arial" w:hAnsi="Arial" w:cs="Arial"/>
                <w:sz w:val="24"/>
                <w:szCs w:val="24"/>
              </w:rPr>
            </w:pPr>
          </w:p>
          <w:p w14:paraId="70FF02AD" w14:textId="77777777" w:rsidR="00827BE9" w:rsidRDefault="00827BE9" w:rsidP="00B86685">
            <w:pPr>
              <w:jc w:val="right"/>
              <w:rPr>
                <w:rFonts w:ascii="Arial" w:hAnsi="Arial" w:cs="Arial"/>
                <w:sz w:val="24"/>
                <w:szCs w:val="24"/>
              </w:rPr>
            </w:pPr>
            <w:r>
              <w:rPr>
                <w:rFonts w:ascii="Arial" w:hAnsi="Arial" w:cs="Arial"/>
                <w:sz w:val="24"/>
                <w:szCs w:val="24"/>
              </w:rPr>
              <w:t>-152</w:t>
            </w:r>
          </w:p>
          <w:p w14:paraId="3A472D24" w14:textId="77777777" w:rsidR="00827BE9" w:rsidRDefault="00827BE9" w:rsidP="00B86685">
            <w:pPr>
              <w:jc w:val="right"/>
              <w:rPr>
                <w:rFonts w:ascii="Arial" w:hAnsi="Arial" w:cs="Arial"/>
                <w:sz w:val="24"/>
                <w:szCs w:val="24"/>
              </w:rPr>
            </w:pPr>
          </w:p>
          <w:p w14:paraId="1C7B9426" w14:textId="77777777" w:rsidR="00827BE9" w:rsidRDefault="00827BE9" w:rsidP="00B86685">
            <w:pPr>
              <w:jc w:val="right"/>
              <w:rPr>
                <w:rFonts w:ascii="Arial" w:hAnsi="Arial" w:cs="Arial"/>
                <w:sz w:val="24"/>
                <w:szCs w:val="24"/>
              </w:rPr>
            </w:pPr>
            <w:r>
              <w:rPr>
                <w:rFonts w:ascii="Arial" w:hAnsi="Arial" w:cs="Arial"/>
                <w:sz w:val="24"/>
                <w:szCs w:val="24"/>
              </w:rPr>
              <w:t>-18,360</w:t>
            </w:r>
          </w:p>
          <w:p w14:paraId="350BF2EB" w14:textId="77777777" w:rsidR="00827BE9" w:rsidRDefault="00827BE9" w:rsidP="00B86685">
            <w:pPr>
              <w:jc w:val="right"/>
              <w:rPr>
                <w:rFonts w:ascii="Arial" w:hAnsi="Arial" w:cs="Arial"/>
                <w:sz w:val="24"/>
                <w:szCs w:val="24"/>
              </w:rPr>
            </w:pPr>
          </w:p>
          <w:p w14:paraId="7B940D53" w14:textId="08D4D473" w:rsidR="00827BE9" w:rsidRPr="000D756E" w:rsidRDefault="00827BE9" w:rsidP="00B86685">
            <w:pPr>
              <w:jc w:val="right"/>
              <w:rPr>
                <w:rFonts w:ascii="Arial" w:hAnsi="Arial" w:cs="Arial"/>
                <w:sz w:val="24"/>
                <w:szCs w:val="24"/>
              </w:rPr>
            </w:pPr>
            <w:r>
              <w:rPr>
                <w:rFonts w:ascii="Arial" w:hAnsi="Arial" w:cs="Arial"/>
                <w:sz w:val="24"/>
                <w:szCs w:val="24"/>
              </w:rPr>
              <w:t>-251</w:t>
            </w:r>
          </w:p>
        </w:tc>
        <w:tc>
          <w:tcPr>
            <w:tcW w:w="1125" w:type="dxa"/>
          </w:tcPr>
          <w:p w14:paraId="6524F8EE" w14:textId="77777777" w:rsidR="00B86685" w:rsidRDefault="00B86685" w:rsidP="00B86685">
            <w:pPr>
              <w:jc w:val="right"/>
              <w:rPr>
                <w:rFonts w:ascii="Arial" w:hAnsi="Arial" w:cs="Arial"/>
                <w:sz w:val="24"/>
                <w:szCs w:val="24"/>
              </w:rPr>
            </w:pPr>
          </w:p>
          <w:p w14:paraId="6E96EED0" w14:textId="77777777" w:rsidR="00FE7759" w:rsidRDefault="00FE7759" w:rsidP="00B86685">
            <w:pPr>
              <w:jc w:val="right"/>
              <w:rPr>
                <w:rFonts w:ascii="Arial" w:hAnsi="Arial" w:cs="Arial"/>
                <w:sz w:val="24"/>
                <w:szCs w:val="24"/>
              </w:rPr>
            </w:pPr>
          </w:p>
          <w:p w14:paraId="5925981C" w14:textId="77777777" w:rsidR="00FE7759" w:rsidRDefault="00FE7759" w:rsidP="00B86685">
            <w:pPr>
              <w:jc w:val="right"/>
              <w:rPr>
                <w:rFonts w:ascii="Arial" w:hAnsi="Arial" w:cs="Arial"/>
                <w:sz w:val="24"/>
                <w:szCs w:val="24"/>
              </w:rPr>
            </w:pPr>
          </w:p>
          <w:p w14:paraId="61214B53" w14:textId="77777777" w:rsidR="00FE7759" w:rsidRDefault="00FE7759" w:rsidP="00B86685">
            <w:pPr>
              <w:jc w:val="right"/>
              <w:rPr>
                <w:rFonts w:ascii="Arial" w:hAnsi="Arial" w:cs="Arial"/>
                <w:sz w:val="24"/>
                <w:szCs w:val="24"/>
              </w:rPr>
            </w:pPr>
            <w:r>
              <w:rPr>
                <w:rFonts w:ascii="Arial" w:hAnsi="Arial" w:cs="Arial"/>
                <w:sz w:val="24"/>
                <w:szCs w:val="24"/>
              </w:rPr>
              <w:t>-8</w:t>
            </w:r>
          </w:p>
          <w:p w14:paraId="04EB79B6" w14:textId="77777777" w:rsidR="00FE7759" w:rsidRDefault="00FE7759" w:rsidP="00B86685">
            <w:pPr>
              <w:jc w:val="right"/>
              <w:rPr>
                <w:rFonts w:ascii="Arial" w:hAnsi="Arial" w:cs="Arial"/>
                <w:sz w:val="24"/>
                <w:szCs w:val="24"/>
              </w:rPr>
            </w:pPr>
          </w:p>
          <w:p w14:paraId="6336463A" w14:textId="77777777" w:rsidR="00FE7759" w:rsidRDefault="00FE7759" w:rsidP="00B86685">
            <w:pPr>
              <w:jc w:val="right"/>
              <w:rPr>
                <w:rFonts w:ascii="Arial" w:hAnsi="Arial" w:cs="Arial"/>
                <w:sz w:val="24"/>
                <w:szCs w:val="24"/>
              </w:rPr>
            </w:pPr>
            <w:r>
              <w:rPr>
                <w:rFonts w:ascii="Arial" w:hAnsi="Arial" w:cs="Arial"/>
                <w:sz w:val="24"/>
                <w:szCs w:val="24"/>
              </w:rPr>
              <w:t>-4,232</w:t>
            </w:r>
          </w:p>
          <w:p w14:paraId="5AFF984F" w14:textId="77777777" w:rsidR="00FE7759" w:rsidRDefault="00FE7759" w:rsidP="00B86685">
            <w:pPr>
              <w:jc w:val="right"/>
              <w:rPr>
                <w:rFonts w:ascii="Arial" w:hAnsi="Arial" w:cs="Arial"/>
                <w:sz w:val="24"/>
                <w:szCs w:val="24"/>
              </w:rPr>
            </w:pPr>
          </w:p>
          <w:p w14:paraId="688D1E8A" w14:textId="5D9B9F22" w:rsidR="00FE7759" w:rsidRPr="000D756E" w:rsidRDefault="00FE7759" w:rsidP="00B86685">
            <w:pPr>
              <w:jc w:val="right"/>
              <w:rPr>
                <w:rFonts w:ascii="Arial" w:hAnsi="Arial" w:cs="Arial"/>
                <w:sz w:val="24"/>
                <w:szCs w:val="24"/>
              </w:rPr>
            </w:pPr>
            <w:r>
              <w:rPr>
                <w:rFonts w:ascii="Arial" w:hAnsi="Arial" w:cs="Arial"/>
                <w:sz w:val="24"/>
                <w:szCs w:val="24"/>
              </w:rPr>
              <w:t>-43</w:t>
            </w:r>
          </w:p>
        </w:tc>
        <w:tc>
          <w:tcPr>
            <w:tcW w:w="1092" w:type="dxa"/>
          </w:tcPr>
          <w:p w14:paraId="2A227DDE" w14:textId="77777777" w:rsidR="00B86685" w:rsidRDefault="00B86685" w:rsidP="00B86685">
            <w:pPr>
              <w:jc w:val="right"/>
              <w:rPr>
                <w:rFonts w:ascii="Arial" w:hAnsi="Arial" w:cs="Arial"/>
                <w:sz w:val="24"/>
                <w:szCs w:val="24"/>
              </w:rPr>
            </w:pPr>
          </w:p>
          <w:p w14:paraId="20CE824D" w14:textId="77777777" w:rsidR="00EE3789" w:rsidRDefault="00EE3789" w:rsidP="00B86685">
            <w:pPr>
              <w:jc w:val="right"/>
              <w:rPr>
                <w:rFonts w:ascii="Arial" w:hAnsi="Arial" w:cs="Arial"/>
                <w:sz w:val="24"/>
                <w:szCs w:val="24"/>
              </w:rPr>
            </w:pPr>
          </w:p>
          <w:p w14:paraId="44D2C906" w14:textId="77777777" w:rsidR="00EE3789" w:rsidRDefault="00EE3789" w:rsidP="00B86685">
            <w:pPr>
              <w:jc w:val="right"/>
              <w:rPr>
                <w:rFonts w:ascii="Arial" w:hAnsi="Arial" w:cs="Arial"/>
                <w:sz w:val="24"/>
                <w:szCs w:val="24"/>
              </w:rPr>
            </w:pPr>
          </w:p>
          <w:p w14:paraId="539E8802" w14:textId="77777777" w:rsidR="00EE3789" w:rsidRDefault="00EE3789" w:rsidP="00B86685">
            <w:pPr>
              <w:jc w:val="right"/>
              <w:rPr>
                <w:rFonts w:ascii="Arial" w:hAnsi="Arial" w:cs="Arial"/>
                <w:sz w:val="24"/>
                <w:szCs w:val="24"/>
              </w:rPr>
            </w:pPr>
            <w:r>
              <w:rPr>
                <w:rFonts w:ascii="Arial" w:hAnsi="Arial" w:cs="Arial"/>
                <w:sz w:val="24"/>
                <w:szCs w:val="24"/>
              </w:rPr>
              <w:t>-24</w:t>
            </w:r>
          </w:p>
          <w:p w14:paraId="0E510CA0" w14:textId="77777777" w:rsidR="00EE3789" w:rsidRDefault="00EE3789" w:rsidP="00B86685">
            <w:pPr>
              <w:jc w:val="right"/>
              <w:rPr>
                <w:rFonts w:ascii="Arial" w:hAnsi="Arial" w:cs="Arial"/>
                <w:sz w:val="24"/>
                <w:szCs w:val="24"/>
              </w:rPr>
            </w:pPr>
          </w:p>
          <w:p w14:paraId="266810B7" w14:textId="77777777" w:rsidR="00EE3789" w:rsidRDefault="00EE3789" w:rsidP="00B86685">
            <w:pPr>
              <w:jc w:val="right"/>
              <w:rPr>
                <w:rFonts w:ascii="Arial" w:hAnsi="Arial" w:cs="Arial"/>
                <w:sz w:val="24"/>
                <w:szCs w:val="24"/>
              </w:rPr>
            </w:pPr>
            <w:r>
              <w:rPr>
                <w:rFonts w:ascii="Arial" w:hAnsi="Arial" w:cs="Arial"/>
                <w:sz w:val="24"/>
                <w:szCs w:val="24"/>
              </w:rPr>
              <w:t>-3,662</w:t>
            </w:r>
          </w:p>
          <w:p w14:paraId="5E2D3EC3" w14:textId="77777777" w:rsidR="00EE3789" w:rsidRDefault="00EE3789" w:rsidP="00B86685">
            <w:pPr>
              <w:jc w:val="right"/>
              <w:rPr>
                <w:rFonts w:ascii="Arial" w:hAnsi="Arial" w:cs="Arial"/>
                <w:sz w:val="24"/>
                <w:szCs w:val="24"/>
              </w:rPr>
            </w:pPr>
          </w:p>
          <w:p w14:paraId="7240FF17" w14:textId="77777777" w:rsidR="00EE3789" w:rsidRDefault="00EE3789" w:rsidP="00B86685">
            <w:pPr>
              <w:jc w:val="right"/>
              <w:rPr>
                <w:rFonts w:ascii="Arial" w:hAnsi="Arial" w:cs="Arial"/>
                <w:sz w:val="24"/>
                <w:szCs w:val="24"/>
              </w:rPr>
            </w:pPr>
            <w:r>
              <w:rPr>
                <w:rFonts w:ascii="Arial" w:hAnsi="Arial" w:cs="Arial"/>
                <w:sz w:val="24"/>
                <w:szCs w:val="24"/>
              </w:rPr>
              <w:t>-30</w:t>
            </w:r>
          </w:p>
          <w:p w14:paraId="5FA84ACA" w14:textId="6FCCD3BA" w:rsidR="00EE3789" w:rsidRPr="000D756E" w:rsidRDefault="00EE3789" w:rsidP="00B86685">
            <w:pPr>
              <w:jc w:val="right"/>
              <w:rPr>
                <w:rFonts w:ascii="Arial" w:hAnsi="Arial" w:cs="Arial"/>
                <w:sz w:val="24"/>
                <w:szCs w:val="24"/>
              </w:rPr>
            </w:pPr>
          </w:p>
        </w:tc>
        <w:tc>
          <w:tcPr>
            <w:tcW w:w="1185" w:type="dxa"/>
          </w:tcPr>
          <w:p w14:paraId="51078472" w14:textId="77777777" w:rsidR="00B86685" w:rsidRDefault="00B86685" w:rsidP="00B86685">
            <w:pPr>
              <w:jc w:val="right"/>
              <w:rPr>
                <w:rFonts w:ascii="Arial" w:hAnsi="Arial" w:cs="Arial"/>
                <w:sz w:val="24"/>
                <w:szCs w:val="24"/>
              </w:rPr>
            </w:pPr>
          </w:p>
          <w:p w14:paraId="1030BAB7" w14:textId="77777777" w:rsidR="000F6BB1" w:rsidRDefault="000F6BB1" w:rsidP="00B86685">
            <w:pPr>
              <w:jc w:val="right"/>
              <w:rPr>
                <w:rFonts w:ascii="Arial" w:hAnsi="Arial" w:cs="Arial"/>
                <w:sz w:val="24"/>
                <w:szCs w:val="24"/>
              </w:rPr>
            </w:pPr>
          </w:p>
          <w:p w14:paraId="63C78C1B" w14:textId="77777777" w:rsidR="000F6BB1" w:rsidRDefault="000F6BB1" w:rsidP="00B86685">
            <w:pPr>
              <w:jc w:val="right"/>
              <w:rPr>
                <w:rFonts w:ascii="Arial" w:hAnsi="Arial" w:cs="Arial"/>
                <w:sz w:val="24"/>
                <w:szCs w:val="24"/>
              </w:rPr>
            </w:pPr>
          </w:p>
          <w:p w14:paraId="5C52BDF5" w14:textId="77777777" w:rsidR="000F6BB1" w:rsidRDefault="000F6BB1" w:rsidP="00B86685">
            <w:pPr>
              <w:jc w:val="right"/>
              <w:rPr>
                <w:rFonts w:ascii="Arial" w:hAnsi="Arial" w:cs="Arial"/>
                <w:sz w:val="24"/>
                <w:szCs w:val="24"/>
              </w:rPr>
            </w:pPr>
            <w:r>
              <w:rPr>
                <w:rFonts w:ascii="Arial" w:hAnsi="Arial" w:cs="Arial"/>
                <w:sz w:val="24"/>
                <w:szCs w:val="24"/>
              </w:rPr>
              <w:t>-184</w:t>
            </w:r>
          </w:p>
          <w:p w14:paraId="716EF2B3" w14:textId="77777777" w:rsidR="000F6BB1" w:rsidRDefault="000F6BB1" w:rsidP="00B86685">
            <w:pPr>
              <w:jc w:val="right"/>
              <w:rPr>
                <w:rFonts w:ascii="Arial" w:hAnsi="Arial" w:cs="Arial"/>
                <w:sz w:val="24"/>
                <w:szCs w:val="24"/>
              </w:rPr>
            </w:pPr>
          </w:p>
          <w:p w14:paraId="45249D4A" w14:textId="77777777" w:rsidR="000F6BB1" w:rsidRDefault="000F6BB1" w:rsidP="00B86685">
            <w:pPr>
              <w:jc w:val="right"/>
              <w:rPr>
                <w:rFonts w:ascii="Arial" w:hAnsi="Arial" w:cs="Arial"/>
                <w:sz w:val="24"/>
                <w:szCs w:val="24"/>
              </w:rPr>
            </w:pPr>
            <w:r>
              <w:rPr>
                <w:rFonts w:ascii="Arial" w:hAnsi="Arial" w:cs="Arial"/>
                <w:sz w:val="24"/>
                <w:szCs w:val="24"/>
              </w:rPr>
              <w:t>-26,</w:t>
            </w:r>
            <w:r w:rsidR="00723173">
              <w:rPr>
                <w:rFonts w:ascii="Arial" w:hAnsi="Arial" w:cs="Arial"/>
                <w:sz w:val="24"/>
                <w:szCs w:val="24"/>
              </w:rPr>
              <w:t>254</w:t>
            </w:r>
          </w:p>
          <w:p w14:paraId="7300D873" w14:textId="77777777" w:rsidR="00723173" w:rsidRDefault="00723173" w:rsidP="00B86685">
            <w:pPr>
              <w:jc w:val="right"/>
              <w:rPr>
                <w:rFonts w:ascii="Arial" w:hAnsi="Arial" w:cs="Arial"/>
                <w:sz w:val="24"/>
                <w:szCs w:val="24"/>
              </w:rPr>
            </w:pPr>
          </w:p>
          <w:p w14:paraId="479A44FF" w14:textId="618FD9F0" w:rsidR="00723173" w:rsidRPr="000D756E" w:rsidRDefault="00723173" w:rsidP="00B86685">
            <w:pPr>
              <w:jc w:val="right"/>
              <w:rPr>
                <w:rFonts w:ascii="Arial" w:hAnsi="Arial" w:cs="Arial"/>
                <w:sz w:val="24"/>
                <w:szCs w:val="24"/>
              </w:rPr>
            </w:pPr>
            <w:r>
              <w:rPr>
                <w:rFonts w:ascii="Arial" w:hAnsi="Arial" w:cs="Arial"/>
                <w:sz w:val="24"/>
                <w:szCs w:val="24"/>
              </w:rPr>
              <w:t>-324</w:t>
            </w:r>
          </w:p>
        </w:tc>
        <w:tc>
          <w:tcPr>
            <w:tcW w:w="1196" w:type="dxa"/>
          </w:tcPr>
          <w:p w14:paraId="37DA465A" w14:textId="77777777" w:rsidR="00B86685" w:rsidRPr="000D756E" w:rsidRDefault="00B86685" w:rsidP="00B86685">
            <w:pPr>
              <w:jc w:val="right"/>
              <w:rPr>
                <w:rFonts w:ascii="Arial" w:hAnsi="Arial" w:cs="Arial"/>
                <w:sz w:val="24"/>
                <w:szCs w:val="24"/>
              </w:rPr>
            </w:pPr>
          </w:p>
          <w:p w14:paraId="4BC9C030" w14:textId="77777777" w:rsidR="00B86685" w:rsidRPr="000D756E" w:rsidRDefault="00B86685" w:rsidP="00B86685">
            <w:pPr>
              <w:jc w:val="right"/>
              <w:rPr>
                <w:rFonts w:ascii="Arial" w:hAnsi="Arial" w:cs="Arial"/>
                <w:sz w:val="24"/>
                <w:szCs w:val="24"/>
              </w:rPr>
            </w:pPr>
          </w:p>
          <w:p w14:paraId="15DED4F2" w14:textId="77777777" w:rsidR="00B86685" w:rsidRPr="000D756E" w:rsidRDefault="00B86685" w:rsidP="00B86685">
            <w:pPr>
              <w:jc w:val="right"/>
              <w:rPr>
                <w:rFonts w:ascii="Arial" w:hAnsi="Arial" w:cs="Arial"/>
                <w:sz w:val="24"/>
                <w:szCs w:val="24"/>
              </w:rPr>
            </w:pPr>
          </w:p>
          <w:p w14:paraId="209C03C9" w14:textId="77777777" w:rsidR="00B86685" w:rsidRPr="000D756E" w:rsidRDefault="00B86685" w:rsidP="00B86685">
            <w:pPr>
              <w:jc w:val="right"/>
              <w:rPr>
                <w:rFonts w:ascii="Arial" w:hAnsi="Arial" w:cs="Arial"/>
                <w:sz w:val="24"/>
                <w:szCs w:val="24"/>
              </w:rPr>
            </w:pPr>
            <w:r w:rsidRPr="000D756E">
              <w:rPr>
                <w:rFonts w:ascii="Arial" w:hAnsi="Arial" w:cs="Arial"/>
                <w:sz w:val="24"/>
                <w:szCs w:val="24"/>
              </w:rPr>
              <w:t>1,035</w:t>
            </w:r>
          </w:p>
          <w:p w14:paraId="1C49EE85" w14:textId="77777777" w:rsidR="00B86685" w:rsidRPr="000D756E" w:rsidRDefault="00B86685" w:rsidP="00B86685">
            <w:pPr>
              <w:jc w:val="right"/>
              <w:rPr>
                <w:rFonts w:ascii="Arial" w:hAnsi="Arial" w:cs="Arial"/>
                <w:sz w:val="24"/>
                <w:szCs w:val="24"/>
              </w:rPr>
            </w:pPr>
          </w:p>
          <w:p w14:paraId="5B501624" w14:textId="77777777" w:rsidR="00B86685" w:rsidRPr="000D756E" w:rsidRDefault="00B86685" w:rsidP="00B86685">
            <w:pPr>
              <w:jc w:val="right"/>
              <w:rPr>
                <w:rFonts w:ascii="Arial" w:hAnsi="Arial" w:cs="Arial"/>
                <w:sz w:val="24"/>
                <w:szCs w:val="24"/>
              </w:rPr>
            </w:pPr>
            <w:r w:rsidRPr="000D756E">
              <w:rPr>
                <w:rFonts w:ascii="Arial" w:hAnsi="Arial" w:cs="Arial"/>
                <w:sz w:val="24"/>
                <w:szCs w:val="24"/>
              </w:rPr>
              <w:t>-3,027</w:t>
            </w:r>
          </w:p>
          <w:p w14:paraId="2A6E5B44" w14:textId="77777777" w:rsidR="00B86685" w:rsidRPr="000D756E" w:rsidRDefault="00B86685" w:rsidP="00B86685">
            <w:pPr>
              <w:jc w:val="right"/>
              <w:rPr>
                <w:rFonts w:ascii="Arial" w:hAnsi="Arial" w:cs="Arial"/>
                <w:sz w:val="24"/>
                <w:szCs w:val="24"/>
              </w:rPr>
            </w:pPr>
          </w:p>
          <w:p w14:paraId="66B000AA" w14:textId="77777777" w:rsidR="00B86685" w:rsidRPr="000D756E" w:rsidRDefault="00B86685" w:rsidP="00B86685">
            <w:pPr>
              <w:jc w:val="right"/>
              <w:rPr>
                <w:rFonts w:ascii="Arial" w:hAnsi="Arial" w:cs="Arial"/>
                <w:sz w:val="24"/>
                <w:szCs w:val="24"/>
              </w:rPr>
            </w:pPr>
          </w:p>
          <w:p w14:paraId="2664F300" w14:textId="0916661C" w:rsidR="00B86685" w:rsidRPr="000D756E" w:rsidRDefault="00B86685" w:rsidP="00B86685">
            <w:pPr>
              <w:jc w:val="right"/>
              <w:rPr>
                <w:rFonts w:ascii="Arial" w:hAnsi="Arial" w:cs="Arial"/>
                <w:sz w:val="24"/>
                <w:szCs w:val="24"/>
              </w:rPr>
            </w:pPr>
            <w:r w:rsidRPr="000D756E">
              <w:rPr>
                <w:rFonts w:ascii="Arial" w:hAnsi="Arial" w:cs="Arial"/>
                <w:sz w:val="24"/>
                <w:szCs w:val="24"/>
              </w:rPr>
              <w:t>-3,502</w:t>
            </w:r>
          </w:p>
        </w:tc>
      </w:tr>
      <w:tr w:rsidR="00B86685" w:rsidRPr="000D756E" w14:paraId="0A2242D6" w14:textId="77777777" w:rsidTr="03AF8B75">
        <w:tc>
          <w:tcPr>
            <w:tcW w:w="2263" w:type="dxa"/>
          </w:tcPr>
          <w:p w14:paraId="4BF7C07B" w14:textId="77777777" w:rsidR="00B86685" w:rsidRPr="000D756E" w:rsidRDefault="00B86685" w:rsidP="00B86685">
            <w:pPr>
              <w:pStyle w:val="Heading7"/>
              <w:rPr>
                <w:rFonts w:cs="Arial"/>
                <w:b w:val="0"/>
              </w:rPr>
            </w:pPr>
            <w:r w:rsidRPr="000D756E">
              <w:rPr>
                <w:rFonts w:cs="Arial"/>
                <w:b w:val="0"/>
              </w:rPr>
              <w:t>Past service costs</w:t>
            </w:r>
          </w:p>
        </w:tc>
        <w:tc>
          <w:tcPr>
            <w:tcW w:w="1134" w:type="dxa"/>
          </w:tcPr>
          <w:p w14:paraId="7AA018EE" w14:textId="62EE4E8F" w:rsidR="00B86685" w:rsidRPr="000D756E" w:rsidRDefault="00BD2257" w:rsidP="00B86685">
            <w:pPr>
              <w:pStyle w:val="Heading7"/>
              <w:jc w:val="right"/>
              <w:rPr>
                <w:rFonts w:cs="Arial"/>
                <w:b w:val="0"/>
                <w:szCs w:val="24"/>
              </w:rPr>
            </w:pPr>
            <w:r>
              <w:rPr>
                <w:rFonts w:cs="Arial"/>
                <w:b w:val="0"/>
                <w:szCs w:val="24"/>
              </w:rPr>
              <w:t>0</w:t>
            </w:r>
          </w:p>
        </w:tc>
        <w:tc>
          <w:tcPr>
            <w:tcW w:w="1134" w:type="dxa"/>
          </w:tcPr>
          <w:p w14:paraId="6AE95207" w14:textId="7E9360EE" w:rsidR="00B86685" w:rsidRPr="000D756E" w:rsidRDefault="00B86685" w:rsidP="00B86685">
            <w:pPr>
              <w:pStyle w:val="Heading7"/>
              <w:jc w:val="right"/>
              <w:rPr>
                <w:rFonts w:cs="Arial"/>
                <w:b w:val="0"/>
                <w:szCs w:val="24"/>
              </w:rPr>
            </w:pPr>
            <w:r w:rsidRPr="000D756E">
              <w:rPr>
                <w:rFonts w:cs="Arial"/>
                <w:b w:val="0"/>
                <w:szCs w:val="24"/>
              </w:rPr>
              <w:t>0</w:t>
            </w:r>
          </w:p>
        </w:tc>
        <w:tc>
          <w:tcPr>
            <w:tcW w:w="1185" w:type="dxa"/>
          </w:tcPr>
          <w:p w14:paraId="13FCC238" w14:textId="67E7071B" w:rsidR="00B86685" w:rsidRPr="000D756E" w:rsidRDefault="00827BE9" w:rsidP="00B86685">
            <w:pPr>
              <w:pStyle w:val="Heading7"/>
              <w:jc w:val="right"/>
              <w:rPr>
                <w:rFonts w:cs="Arial"/>
                <w:b w:val="0"/>
                <w:szCs w:val="24"/>
              </w:rPr>
            </w:pPr>
            <w:r>
              <w:rPr>
                <w:rFonts w:cs="Arial"/>
                <w:b w:val="0"/>
                <w:szCs w:val="24"/>
              </w:rPr>
              <w:t>0</w:t>
            </w:r>
          </w:p>
        </w:tc>
        <w:tc>
          <w:tcPr>
            <w:tcW w:w="1125" w:type="dxa"/>
          </w:tcPr>
          <w:p w14:paraId="62B39291" w14:textId="6B934ACF" w:rsidR="00B86685" w:rsidRPr="000D756E" w:rsidRDefault="00EE3789" w:rsidP="00B86685">
            <w:pPr>
              <w:pStyle w:val="Heading7"/>
              <w:jc w:val="right"/>
              <w:rPr>
                <w:rFonts w:cs="Arial"/>
                <w:b w:val="0"/>
                <w:szCs w:val="24"/>
              </w:rPr>
            </w:pPr>
            <w:r>
              <w:rPr>
                <w:rFonts w:cs="Arial"/>
                <w:b w:val="0"/>
                <w:szCs w:val="24"/>
              </w:rPr>
              <w:t>713</w:t>
            </w:r>
          </w:p>
        </w:tc>
        <w:tc>
          <w:tcPr>
            <w:tcW w:w="1092" w:type="dxa"/>
          </w:tcPr>
          <w:p w14:paraId="1E0AB5AC" w14:textId="4287157C" w:rsidR="00B86685" w:rsidRPr="000D756E" w:rsidRDefault="00EE3789" w:rsidP="00B86685">
            <w:pPr>
              <w:pStyle w:val="Heading7"/>
              <w:jc w:val="right"/>
              <w:rPr>
                <w:rFonts w:cs="Arial"/>
                <w:b w:val="0"/>
                <w:szCs w:val="24"/>
              </w:rPr>
            </w:pPr>
            <w:r>
              <w:rPr>
                <w:rFonts w:cs="Arial"/>
                <w:b w:val="0"/>
                <w:szCs w:val="24"/>
              </w:rPr>
              <w:t>0</w:t>
            </w:r>
          </w:p>
        </w:tc>
        <w:tc>
          <w:tcPr>
            <w:tcW w:w="1185" w:type="dxa"/>
          </w:tcPr>
          <w:p w14:paraId="1BE837AA" w14:textId="049F8B35" w:rsidR="00B86685" w:rsidRPr="000D756E" w:rsidRDefault="00723173" w:rsidP="00B86685">
            <w:pPr>
              <w:pStyle w:val="Heading7"/>
              <w:jc w:val="right"/>
              <w:rPr>
                <w:rFonts w:cs="Arial"/>
                <w:b w:val="0"/>
                <w:szCs w:val="24"/>
              </w:rPr>
            </w:pPr>
            <w:r>
              <w:rPr>
                <w:rFonts w:cs="Arial"/>
                <w:b w:val="0"/>
                <w:szCs w:val="24"/>
              </w:rPr>
              <w:t>713</w:t>
            </w:r>
          </w:p>
        </w:tc>
        <w:tc>
          <w:tcPr>
            <w:tcW w:w="1196" w:type="dxa"/>
          </w:tcPr>
          <w:p w14:paraId="36AC46BB" w14:textId="362B4FFF" w:rsidR="00B86685" w:rsidRPr="000D756E" w:rsidRDefault="00B86685" w:rsidP="00B86685">
            <w:pPr>
              <w:pStyle w:val="Heading7"/>
              <w:jc w:val="right"/>
              <w:rPr>
                <w:rFonts w:cs="Arial"/>
                <w:b w:val="0"/>
                <w:szCs w:val="24"/>
              </w:rPr>
            </w:pPr>
            <w:r w:rsidRPr="000D756E">
              <w:rPr>
                <w:rFonts w:cs="Arial"/>
                <w:b w:val="0"/>
                <w:szCs w:val="24"/>
              </w:rPr>
              <w:t>65</w:t>
            </w:r>
          </w:p>
        </w:tc>
      </w:tr>
      <w:tr w:rsidR="00B86685" w:rsidRPr="000D756E" w14:paraId="01A8E310" w14:textId="77777777" w:rsidTr="10B6B0DB">
        <w:trPr>
          <w:trHeight w:val="690"/>
        </w:trPr>
        <w:tc>
          <w:tcPr>
            <w:tcW w:w="2263" w:type="dxa"/>
            <w:vAlign w:val="bottom"/>
          </w:tcPr>
          <w:p w14:paraId="5F6AC97B" w14:textId="77777777" w:rsidR="00B86685" w:rsidRPr="000D756E" w:rsidRDefault="00B86685" w:rsidP="00B86685">
            <w:pPr>
              <w:pStyle w:val="Heading7"/>
              <w:rPr>
                <w:rFonts w:cs="Arial"/>
                <w:b w:val="0"/>
              </w:rPr>
            </w:pPr>
            <w:r w:rsidRPr="000D756E">
              <w:rPr>
                <w:rFonts w:cs="Arial"/>
                <w:b w:val="0"/>
              </w:rPr>
              <w:t>Closing balance 31 March</w:t>
            </w:r>
          </w:p>
        </w:tc>
        <w:tc>
          <w:tcPr>
            <w:tcW w:w="1134" w:type="dxa"/>
            <w:vAlign w:val="center"/>
          </w:tcPr>
          <w:p w14:paraId="1EC0674D" w14:textId="0B52AFE2" w:rsidR="00B86685" w:rsidRPr="000D756E" w:rsidRDefault="00BD2257" w:rsidP="00B86685">
            <w:pPr>
              <w:pStyle w:val="Heading7"/>
              <w:jc w:val="right"/>
              <w:rPr>
                <w:rFonts w:cs="Arial"/>
              </w:rPr>
            </w:pPr>
            <w:r>
              <w:rPr>
                <w:rFonts w:cs="Arial"/>
              </w:rPr>
              <w:t>19,213</w:t>
            </w:r>
          </w:p>
        </w:tc>
        <w:tc>
          <w:tcPr>
            <w:tcW w:w="1134" w:type="dxa"/>
            <w:vAlign w:val="center"/>
          </w:tcPr>
          <w:p w14:paraId="5647B2DD" w14:textId="0330BE52" w:rsidR="00B86685" w:rsidRPr="000D756E" w:rsidRDefault="00B86685" w:rsidP="00B86685">
            <w:pPr>
              <w:pStyle w:val="Heading7"/>
              <w:jc w:val="right"/>
              <w:rPr>
                <w:rFonts w:cs="Arial"/>
              </w:rPr>
            </w:pPr>
            <w:r w:rsidRPr="000D756E">
              <w:rPr>
                <w:rFonts w:cs="Arial"/>
              </w:rPr>
              <w:t>21,670</w:t>
            </w:r>
          </w:p>
        </w:tc>
        <w:tc>
          <w:tcPr>
            <w:tcW w:w="1185" w:type="dxa"/>
            <w:vAlign w:val="center"/>
          </w:tcPr>
          <w:p w14:paraId="487D34F8" w14:textId="61AD3182" w:rsidR="00B86685" w:rsidRPr="000D756E" w:rsidRDefault="00827BE9" w:rsidP="00B86685">
            <w:pPr>
              <w:jc w:val="right"/>
              <w:rPr>
                <w:rFonts w:ascii="Arial" w:hAnsi="Arial" w:cs="Arial"/>
                <w:b/>
                <w:bCs/>
                <w:sz w:val="24"/>
                <w:szCs w:val="24"/>
              </w:rPr>
            </w:pPr>
            <w:r>
              <w:rPr>
                <w:rFonts w:ascii="Arial" w:hAnsi="Arial" w:cs="Arial"/>
                <w:b/>
                <w:bCs/>
                <w:sz w:val="24"/>
                <w:szCs w:val="24"/>
              </w:rPr>
              <w:t>132,873</w:t>
            </w:r>
          </w:p>
        </w:tc>
        <w:tc>
          <w:tcPr>
            <w:tcW w:w="1125" w:type="dxa"/>
            <w:vAlign w:val="center"/>
          </w:tcPr>
          <w:p w14:paraId="0ED009E1" w14:textId="6276ABE5" w:rsidR="00B86685" w:rsidRPr="000D756E" w:rsidRDefault="00EE3789" w:rsidP="00B86685">
            <w:pPr>
              <w:jc w:val="right"/>
              <w:rPr>
                <w:rFonts w:ascii="Arial" w:hAnsi="Arial" w:cs="Arial"/>
                <w:b/>
                <w:bCs/>
                <w:sz w:val="24"/>
                <w:szCs w:val="24"/>
              </w:rPr>
            </w:pPr>
            <w:r>
              <w:rPr>
                <w:rFonts w:ascii="Arial" w:hAnsi="Arial" w:cs="Arial"/>
                <w:b/>
                <w:bCs/>
                <w:sz w:val="24"/>
                <w:szCs w:val="24"/>
              </w:rPr>
              <w:t>17,039</w:t>
            </w:r>
          </w:p>
        </w:tc>
        <w:tc>
          <w:tcPr>
            <w:tcW w:w="1092" w:type="dxa"/>
            <w:vAlign w:val="center"/>
          </w:tcPr>
          <w:p w14:paraId="4DB340F2" w14:textId="05EE1F70" w:rsidR="00B86685" w:rsidRPr="000D756E" w:rsidRDefault="00EE3789" w:rsidP="00B86685">
            <w:pPr>
              <w:jc w:val="right"/>
              <w:rPr>
                <w:rFonts w:ascii="Arial" w:hAnsi="Arial" w:cs="Arial"/>
                <w:b/>
                <w:bCs/>
                <w:sz w:val="24"/>
                <w:szCs w:val="24"/>
              </w:rPr>
            </w:pPr>
            <w:r>
              <w:rPr>
                <w:rFonts w:ascii="Arial" w:hAnsi="Arial" w:cs="Arial"/>
                <w:b/>
                <w:bCs/>
                <w:sz w:val="24"/>
                <w:szCs w:val="24"/>
              </w:rPr>
              <w:t>11,192</w:t>
            </w:r>
          </w:p>
        </w:tc>
        <w:tc>
          <w:tcPr>
            <w:tcW w:w="1185" w:type="dxa"/>
            <w:vAlign w:val="center"/>
          </w:tcPr>
          <w:p w14:paraId="70CF6026" w14:textId="31DD055B" w:rsidR="00B86685" w:rsidRPr="000D756E" w:rsidRDefault="00723173" w:rsidP="00B86685">
            <w:pPr>
              <w:pStyle w:val="Heading7"/>
              <w:jc w:val="right"/>
              <w:rPr>
                <w:rFonts w:cs="Arial"/>
              </w:rPr>
            </w:pPr>
            <w:r>
              <w:rPr>
                <w:rFonts w:cs="Arial"/>
              </w:rPr>
              <w:t>161,104</w:t>
            </w:r>
          </w:p>
        </w:tc>
        <w:tc>
          <w:tcPr>
            <w:tcW w:w="1196" w:type="dxa"/>
            <w:vAlign w:val="center"/>
          </w:tcPr>
          <w:p w14:paraId="5EA882A5" w14:textId="0400E9C1" w:rsidR="00B86685" w:rsidRPr="000D756E" w:rsidRDefault="00B86685" w:rsidP="00B86685">
            <w:pPr>
              <w:pStyle w:val="Heading7"/>
              <w:jc w:val="right"/>
              <w:rPr>
                <w:rFonts w:cs="Arial"/>
              </w:rPr>
            </w:pPr>
            <w:r w:rsidRPr="000D756E">
              <w:rPr>
                <w:rFonts w:cs="Arial"/>
              </w:rPr>
              <w:t>182,586</w:t>
            </w:r>
          </w:p>
        </w:tc>
      </w:tr>
    </w:tbl>
    <w:p w14:paraId="471B9E99" w14:textId="77777777" w:rsidR="004D4099" w:rsidRPr="000D756E" w:rsidRDefault="004D4099" w:rsidP="002A7C01">
      <w:pPr>
        <w:pStyle w:val="Heading7"/>
        <w:rPr>
          <w:rFonts w:cs="Arial"/>
          <w:i/>
        </w:rPr>
      </w:pPr>
      <w:r w:rsidRPr="000D756E">
        <w:rPr>
          <w:rFonts w:cs="Arial"/>
          <w:i/>
        </w:rPr>
        <w:tab/>
      </w:r>
    </w:p>
    <w:p w14:paraId="63BE858E" w14:textId="5978C7BE" w:rsidR="004D4099" w:rsidRPr="000D756E" w:rsidRDefault="004D4099" w:rsidP="00B24200">
      <w:pPr>
        <w:pStyle w:val="Heading7"/>
        <w:rPr>
          <w:rFonts w:cs="Arial"/>
        </w:rPr>
      </w:pPr>
      <w:r w:rsidRPr="000D756E">
        <w:rPr>
          <w:rFonts w:cs="Arial"/>
          <w:b w:val="0"/>
        </w:rPr>
        <w:t xml:space="preserve">Reconciliation of </w:t>
      </w:r>
      <w:r w:rsidR="00257F91" w:rsidRPr="000D756E">
        <w:rPr>
          <w:rFonts w:cs="Arial"/>
          <w:b w:val="0"/>
        </w:rPr>
        <w:t>present value of the scheme assets (defined benefit obligation):</w:t>
      </w:r>
    </w:p>
    <w:p w14:paraId="1F167FFD" w14:textId="77777777" w:rsidR="004D4099" w:rsidRPr="000D756E" w:rsidRDefault="004D4099" w:rsidP="002A7C01">
      <w:pPr>
        <w:pStyle w:val="Heading7"/>
        <w:rPr>
          <w:rFonts w:cs="Arial"/>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701"/>
        <w:gridCol w:w="1417"/>
      </w:tblGrid>
      <w:tr w:rsidR="006329E6" w:rsidRPr="000D756E" w14:paraId="4649A0EC" w14:textId="77777777" w:rsidTr="00495D59">
        <w:trPr>
          <w:trHeight w:val="800"/>
        </w:trPr>
        <w:tc>
          <w:tcPr>
            <w:tcW w:w="4248" w:type="dxa"/>
          </w:tcPr>
          <w:p w14:paraId="3D38D9DD" w14:textId="77777777" w:rsidR="009559F5" w:rsidRPr="000D756E" w:rsidRDefault="009559F5" w:rsidP="002A7C01"/>
        </w:tc>
        <w:tc>
          <w:tcPr>
            <w:tcW w:w="3118" w:type="dxa"/>
            <w:gridSpan w:val="2"/>
          </w:tcPr>
          <w:p w14:paraId="490ABBAA" w14:textId="77777777" w:rsidR="009559F5" w:rsidRPr="000D756E" w:rsidRDefault="009559F5" w:rsidP="00495D59">
            <w:pPr>
              <w:jc w:val="center"/>
              <w:rPr>
                <w:rFonts w:ascii="Arial" w:hAnsi="Arial" w:cs="Arial"/>
                <w:b/>
                <w:sz w:val="22"/>
                <w:szCs w:val="22"/>
              </w:rPr>
            </w:pPr>
          </w:p>
          <w:p w14:paraId="3BCE546E" w14:textId="77777777" w:rsidR="009559F5" w:rsidRPr="000D756E" w:rsidRDefault="009559F5" w:rsidP="00495D59">
            <w:pPr>
              <w:jc w:val="center"/>
              <w:rPr>
                <w:rFonts w:ascii="Arial" w:hAnsi="Arial" w:cs="Arial"/>
                <w:b/>
                <w:sz w:val="22"/>
                <w:szCs w:val="22"/>
              </w:rPr>
            </w:pPr>
            <w:r w:rsidRPr="000D756E">
              <w:rPr>
                <w:rFonts w:ascii="Arial" w:hAnsi="Arial" w:cs="Arial"/>
                <w:b/>
                <w:sz w:val="22"/>
                <w:szCs w:val="22"/>
              </w:rPr>
              <w:t>Shropshire County Pension Fund</w:t>
            </w:r>
          </w:p>
        </w:tc>
      </w:tr>
      <w:tr w:rsidR="006329E6" w:rsidRPr="000D756E" w14:paraId="0230BBF5" w14:textId="77777777" w:rsidTr="00495D59">
        <w:tc>
          <w:tcPr>
            <w:tcW w:w="4248" w:type="dxa"/>
          </w:tcPr>
          <w:p w14:paraId="11AF564E" w14:textId="77777777" w:rsidR="009734D1" w:rsidRPr="000D756E" w:rsidRDefault="009734D1" w:rsidP="009734D1">
            <w:pPr>
              <w:rPr>
                <w:rFonts w:ascii="Arial" w:hAnsi="Arial" w:cs="Arial"/>
                <w:sz w:val="22"/>
                <w:szCs w:val="22"/>
              </w:rPr>
            </w:pPr>
          </w:p>
        </w:tc>
        <w:tc>
          <w:tcPr>
            <w:tcW w:w="1701" w:type="dxa"/>
          </w:tcPr>
          <w:p w14:paraId="60F07B73" w14:textId="77777777" w:rsidR="009734D1" w:rsidRPr="000D756E" w:rsidRDefault="009734D1" w:rsidP="009734D1">
            <w:pPr>
              <w:pStyle w:val="Heading7"/>
              <w:jc w:val="right"/>
              <w:rPr>
                <w:rFonts w:cs="Arial"/>
                <w:szCs w:val="24"/>
              </w:rPr>
            </w:pPr>
          </w:p>
          <w:p w14:paraId="0E8E9647" w14:textId="7B2A9144" w:rsidR="009734D1" w:rsidRPr="000D756E" w:rsidRDefault="009734D1" w:rsidP="009734D1">
            <w:pPr>
              <w:pStyle w:val="Heading7"/>
              <w:jc w:val="right"/>
              <w:rPr>
                <w:rFonts w:cs="Arial"/>
                <w:szCs w:val="24"/>
              </w:rPr>
            </w:pPr>
            <w:r w:rsidRPr="000D756E">
              <w:rPr>
                <w:rFonts w:cs="Arial"/>
                <w:szCs w:val="24"/>
              </w:rPr>
              <w:t>202</w:t>
            </w:r>
            <w:r w:rsidR="00353906">
              <w:rPr>
                <w:rFonts w:cs="Arial"/>
                <w:szCs w:val="24"/>
              </w:rPr>
              <w:t>4/25</w:t>
            </w:r>
          </w:p>
          <w:p w14:paraId="0F27CE27" w14:textId="77777777" w:rsidR="009734D1" w:rsidRPr="000D756E" w:rsidRDefault="009734D1" w:rsidP="009734D1">
            <w:pPr>
              <w:jc w:val="right"/>
              <w:rPr>
                <w:rFonts w:ascii="Arial" w:hAnsi="Arial" w:cs="Arial"/>
                <w:b/>
                <w:sz w:val="24"/>
                <w:szCs w:val="24"/>
              </w:rPr>
            </w:pPr>
            <w:r w:rsidRPr="000D756E">
              <w:rPr>
                <w:rFonts w:ascii="Arial" w:hAnsi="Arial" w:cs="Arial"/>
                <w:b/>
                <w:sz w:val="24"/>
                <w:szCs w:val="24"/>
              </w:rPr>
              <w:t>£’000</w:t>
            </w:r>
          </w:p>
        </w:tc>
        <w:tc>
          <w:tcPr>
            <w:tcW w:w="1417" w:type="dxa"/>
          </w:tcPr>
          <w:p w14:paraId="3BF24D6B" w14:textId="77777777" w:rsidR="009734D1" w:rsidRPr="000D756E" w:rsidRDefault="009734D1" w:rsidP="009734D1">
            <w:pPr>
              <w:pStyle w:val="Heading7"/>
              <w:jc w:val="right"/>
              <w:rPr>
                <w:rFonts w:cs="Arial"/>
                <w:szCs w:val="24"/>
              </w:rPr>
            </w:pPr>
          </w:p>
          <w:p w14:paraId="5990D125" w14:textId="59AEC5D8" w:rsidR="009734D1" w:rsidRPr="000D756E" w:rsidRDefault="009734D1" w:rsidP="009734D1">
            <w:pPr>
              <w:pStyle w:val="Heading7"/>
              <w:jc w:val="right"/>
              <w:rPr>
                <w:rFonts w:cs="Arial"/>
                <w:szCs w:val="24"/>
              </w:rPr>
            </w:pPr>
            <w:r w:rsidRPr="000D756E">
              <w:rPr>
                <w:rFonts w:cs="Arial"/>
                <w:szCs w:val="24"/>
              </w:rPr>
              <w:t>202</w:t>
            </w:r>
            <w:r w:rsidR="00353906">
              <w:rPr>
                <w:rFonts w:cs="Arial"/>
                <w:szCs w:val="24"/>
              </w:rPr>
              <w:t>3/24</w:t>
            </w:r>
          </w:p>
          <w:p w14:paraId="2FE8A570" w14:textId="23B45907" w:rsidR="009734D1" w:rsidRPr="000D756E" w:rsidRDefault="009734D1" w:rsidP="009734D1">
            <w:pPr>
              <w:jc w:val="right"/>
              <w:rPr>
                <w:rFonts w:ascii="Arial" w:hAnsi="Arial" w:cs="Arial"/>
                <w:b/>
                <w:sz w:val="24"/>
                <w:szCs w:val="24"/>
              </w:rPr>
            </w:pPr>
            <w:r w:rsidRPr="000D756E">
              <w:rPr>
                <w:rFonts w:ascii="Arial" w:hAnsi="Arial" w:cs="Arial"/>
                <w:b/>
                <w:sz w:val="24"/>
                <w:szCs w:val="24"/>
              </w:rPr>
              <w:t>£’000</w:t>
            </w:r>
          </w:p>
        </w:tc>
      </w:tr>
      <w:tr w:rsidR="00353906" w:rsidRPr="000D756E" w14:paraId="76042BE6" w14:textId="77777777" w:rsidTr="00495D59">
        <w:tc>
          <w:tcPr>
            <w:tcW w:w="4248" w:type="dxa"/>
          </w:tcPr>
          <w:p w14:paraId="22A755E3" w14:textId="77777777" w:rsidR="00353906" w:rsidRPr="000D756E" w:rsidRDefault="00353906" w:rsidP="00353906">
            <w:pPr>
              <w:rPr>
                <w:rFonts w:ascii="Arial" w:hAnsi="Arial" w:cs="Arial"/>
                <w:sz w:val="24"/>
                <w:szCs w:val="24"/>
              </w:rPr>
            </w:pPr>
            <w:r w:rsidRPr="000D756E">
              <w:rPr>
                <w:rFonts w:ascii="Arial" w:hAnsi="Arial" w:cs="Arial"/>
                <w:sz w:val="24"/>
                <w:szCs w:val="24"/>
              </w:rPr>
              <w:t>Opening balance 1 April</w:t>
            </w:r>
          </w:p>
        </w:tc>
        <w:tc>
          <w:tcPr>
            <w:tcW w:w="1701" w:type="dxa"/>
          </w:tcPr>
          <w:p w14:paraId="08969B92" w14:textId="017E4FDE" w:rsidR="00353906" w:rsidRPr="000D756E" w:rsidRDefault="00723173" w:rsidP="00353906">
            <w:pPr>
              <w:jc w:val="right"/>
              <w:rPr>
                <w:rFonts w:ascii="Arial" w:hAnsi="Arial" w:cs="Arial"/>
                <w:sz w:val="24"/>
                <w:szCs w:val="24"/>
              </w:rPr>
            </w:pPr>
            <w:r>
              <w:rPr>
                <w:rFonts w:ascii="Arial" w:hAnsi="Arial" w:cs="Arial"/>
                <w:sz w:val="24"/>
                <w:szCs w:val="24"/>
              </w:rPr>
              <w:t>22,000</w:t>
            </w:r>
          </w:p>
        </w:tc>
        <w:tc>
          <w:tcPr>
            <w:tcW w:w="1417" w:type="dxa"/>
          </w:tcPr>
          <w:p w14:paraId="14DAD9B4" w14:textId="79234DAB" w:rsidR="00353906" w:rsidRPr="000D756E" w:rsidRDefault="00353906" w:rsidP="00353906">
            <w:pPr>
              <w:jc w:val="right"/>
              <w:rPr>
                <w:rFonts w:ascii="Arial" w:hAnsi="Arial" w:cs="Arial"/>
                <w:sz w:val="24"/>
                <w:szCs w:val="24"/>
              </w:rPr>
            </w:pPr>
            <w:r w:rsidRPr="000D756E">
              <w:rPr>
                <w:rFonts w:ascii="Arial" w:hAnsi="Arial" w:cs="Arial"/>
                <w:sz w:val="24"/>
                <w:szCs w:val="24"/>
              </w:rPr>
              <w:t>19,424</w:t>
            </w:r>
          </w:p>
        </w:tc>
      </w:tr>
      <w:tr w:rsidR="00353906" w:rsidRPr="000D756E" w14:paraId="5C34E0D9" w14:textId="77777777" w:rsidTr="00495D59">
        <w:tc>
          <w:tcPr>
            <w:tcW w:w="4248" w:type="dxa"/>
          </w:tcPr>
          <w:p w14:paraId="1915164F" w14:textId="77777777" w:rsidR="00353906" w:rsidRPr="000D756E" w:rsidRDefault="00353906" w:rsidP="00353906">
            <w:pPr>
              <w:rPr>
                <w:rFonts w:ascii="Arial" w:hAnsi="Arial" w:cs="Arial"/>
                <w:sz w:val="24"/>
                <w:szCs w:val="24"/>
              </w:rPr>
            </w:pPr>
            <w:r w:rsidRPr="000D756E">
              <w:rPr>
                <w:rFonts w:ascii="Arial" w:hAnsi="Arial" w:cs="Arial"/>
                <w:sz w:val="24"/>
                <w:szCs w:val="24"/>
              </w:rPr>
              <w:t>Interest income</w:t>
            </w:r>
          </w:p>
          <w:p w14:paraId="5905A300" w14:textId="77777777" w:rsidR="00353906" w:rsidRPr="000D756E" w:rsidRDefault="00353906" w:rsidP="00353906">
            <w:pPr>
              <w:rPr>
                <w:rFonts w:ascii="Arial" w:hAnsi="Arial" w:cs="Arial"/>
                <w:sz w:val="24"/>
                <w:szCs w:val="24"/>
              </w:rPr>
            </w:pPr>
            <w:r w:rsidRPr="000D756E">
              <w:rPr>
                <w:rFonts w:ascii="Arial" w:hAnsi="Arial" w:cs="Arial"/>
                <w:sz w:val="24"/>
                <w:szCs w:val="24"/>
              </w:rPr>
              <w:t>Administration cost</w:t>
            </w:r>
          </w:p>
        </w:tc>
        <w:tc>
          <w:tcPr>
            <w:tcW w:w="1701" w:type="dxa"/>
          </w:tcPr>
          <w:p w14:paraId="5025777E" w14:textId="77777777" w:rsidR="00353906" w:rsidRDefault="00723173" w:rsidP="00353906">
            <w:pPr>
              <w:jc w:val="right"/>
              <w:rPr>
                <w:rFonts w:ascii="Arial" w:hAnsi="Arial" w:cs="Arial"/>
                <w:sz w:val="24"/>
                <w:szCs w:val="24"/>
              </w:rPr>
            </w:pPr>
            <w:r>
              <w:rPr>
                <w:rFonts w:ascii="Arial" w:hAnsi="Arial" w:cs="Arial"/>
                <w:sz w:val="24"/>
                <w:szCs w:val="24"/>
              </w:rPr>
              <w:t>1,077</w:t>
            </w:r>
          </w:p>
          <w:p w14:paraId="01C0C611" w14:textId="02F2F8DF" w:rsidR="00723173" w:rsidRPr="000D756E" w:rsidRDefault="00723173" w:rsidP="00353906">
            <w:pPr>
              <w:jc w:val="right"/>
              <w:rPr>
                <w:rFonts w:ascii="Arial" w:hAnsi="Arial" w:cs="Arial"/>
                <w:sz w:val="24"/>
                <w:szCs w:val="24"/>
              </w:rPr>
            </w:pPr>
            <w:r>
              <w:rPr>
                <w:rFonts w:ascii="Arial" w:hAnsi="Arial" w:cs="Arial"/>
                <w:sz w:val="24"/>
                <w:szCs w:val="24"/>
              </w:rPr>
              <w:t>-29</w:t>
            </w:r>
          </w:p>
        </w:tc>
        <w:tc>
          <w:tcPr>
            <w:tcW w:w="1417" w:type="dxa"/>
          </w:tcPr>
          <w:p w14:paraId="5457CC8D" w14:textId="77777777" w:rsidR="00353906" w:rsidRPr="000D756E" w:rsidRDefault="00353906" w:rsidP="00353906">
            <w:pPr>
              <w:jc w:val="right"/>
              <w:rPr>
                <w:rFonts w:ascii="Arial" w:hAnsi="Arial" w:cs="Arial"/>
                <w:sz w:val="24"/>
                <w:szCs w:val="24"/>
              </w:rPr>
            </w:pPr>
            <w:r w:rsidRPr="000D756E">
              <w:rPr>
                <w:rFonts w:ascii="Arial" w:hAnsi="Arial" w:cs="Arial"/>
                <w:sz w:val="24"/>
                <w:szCs w:val="24"/>
              </w:rPr>
              <w:t>939</w:t>
            </w:r>
          </w:p>
          <w:p w14:paraId="20AFC48B" w14:textId="474F2D2A" w:rsidR="00353906" w:rsidRPr="000D756E" w:rsidRDefault="00353906" w:rsidP="00353906">
            <w:pPr>
              <w:jc w:val="right"/>
              <w:rPr>
                <w:rFonts w:ascii="Arial" w:hAnsi="Arial" w:cs="Arial"/>
                <w:sz w:val="24"/>
                <w:szCs w:val="24"/>
              </w:rPr>
            </w:pPr>
            <w:r w:rsidRPr="000D756E">
              <w:rPr>
                <w:rFonts w:ascii="Arial" w:hAnsi="Arial" w:cs="Arial"/>
                <w:sz w:val="24"/>
                <w:szCs w:val="24"/>
              </w:rPr>
              <w:t>-27</w:t>
            </w:r>
          </w:p>
        </w:tc>
      </w:tr>
      <w:tr w:rsidR="00353906" w:rsidRPr="000D756E" w14:paraId="3015BFBB" w14:textId="77777777" w:rsidTr="00495D59">
        <w:tc>
          <w:tcPr>
            <w:tcW w:w="4248" w:type="dxa"/>
          </w:tcPr>
          <w:p w14:paraId="73A2DF1D" w14:textId="77777777" w:rsidR="00353906" w:rsidRPr="000D756E" w:rsidRDefault="00353906" w:rsidP="00353906">
            <w:pPr>
              <w:rPr>
                <w:rFonts w:ascii="Arial" w:hAnsi="Arial" w:cs="Arial"/>
                <w:sz w:val="24"/>
                <w:szCs w:val="24"/>
              </w:rPr>
            </w:pPr>
            <w:r w:rsidRPr="000D756E">
              <w:rPr>
                <w:rFonts w:ascii="Arial" w:hAnsi="Arial" w:cs="Arial"/>
                <w:sz w:val="24"/>
                <w:szCs w:val="24"/>
              </w:rPr>
              <w:t>Remeasurements (assets)</w:t>
            </w:r>
          </w:p>
        </w:tc>
        <w:tc>
          <w:tcPr>
            <w:tcW w:w="1701" w:type="dxa"/>
          </w:tcPr>
          <w:p w14:paraId="4A564628" w14:textId="0AFAE491" w:rsidR="00353906" w:rsidRPr="000D756E" w:rsidRDefault="00723173" w:rsidP="00353906">
            <w:pPr>
              <w:jc w:val="right"/>
              <w:rPr>
                <w:rFonts w:ascii="Arial" w:hAnsi="Arial" w:cs="Arial"/>
                <w:sz w:val="24"/>
                <w:szCs w:val="24"/>
              </w:rPr>
            </w:pPr>
            <w:r>
              <w:rPr>
                <w:rFonts w:ascii="Arial" w:hAnsi="Arial" w:cs="Arial"/>
                <w:sz w:val="24"/>
                <w:szCs w:val="24"/>
              </w:rPr>
              <w:t>75</w:t>
            </w:r>
          </w:p>
        </w:tc>
        <w:tc>
          <w:tcPr>
            <w:tcW w:w="1417" w:type="dxa"/>
          </w:tcPr>
          <w:p w14:paraId="6ACE58A7" w14:textId="4F087E2E" w:rsidR="00353906" w:rsidRPr="000D756E" w:rsidRDefault="00353906" w:rsidP="00353906">
            <w:pPr>
              <w:jc w:val="right"/>
              <w:rPr>
                <w:rFonts w:ascii="Arial" w:hAnsi="Arial" w:cs="Arial"/>
                <w:sz w:val="24"/>
                <w:szCs w:val="24"/>
              </w:rPr>
            </w:pPr>
            <w:r w:rsidRPr="000D756E">
              <w:rPr>
                <w:rFonts w:ascii="Arial" w:hAnsi="Arial" w:cs="Arial"/>
                <w:sz w:val="24"/>
                <w:szCs w:val="24"/>
              </w:rPr>
              <w:t>1,394</w:t>
            </w:r>
          </w:p>
        </w:tc>
      </w:tr>
      <w:tr w:rsidR="00353906" w:rsidRPr="000D756E" w14:paraId="17640474" w14:textId="77777777" w:rsidTr="00495D59">
        <w:tc>
          <w:tcPr>
            <w:tcW w:w="4248" w:type="dxa"/>
          </w:tcPr>
          <w:p w14:paraId="4D693BA7" w14:textId="77777777" w:rsidR="00353906" w:rsidRPr="000D756E" w:rsidRDefault="00353906" w:rsidP="00353906">
            <w:pPr>
              <w:rPr>
                <w:rFonts w:ascii="Arial" w:hAnsi="Arial" w:cs="Arial"/>
                <w:sz w:val="24"/>
                <w:szCs w:val="24"/>
              </w:rPr>
            </w:pPr>
            <w:r w:rsidRPr="000D756E">
              <w:rPr>
                <w:rFonts w:ascii="Arial" w:hAnsi="Arial" w:cs="Arial"/>
                <w:sz w:val="24"/>
                <w:szCs w:val="24"/>
              </w:rPr>
              <w:t>Employer contributions</w:t>
            </w:r>
          </w:p>
        </w:tc>
        <w:tc>
          <w:tcPr>
            <w:tcW w:w="1701" w:type="dxa"/>
          </w:tcPr>
          <w:p w14:paraId="592263E3" w14:textId="031A567E" w:rsidR="00353906" w:rsidRPr="000D756E" w:rsidRDefault="00723173" w:rsidP="00353906">
            <w:pPr>
              <w:jc w:val="right"/>
              <w:rPr>
                <w:rFonts w:ascii="Arial" w:hAnsi="Arial" w:cs="Arial"/>
                <w:sz w:val="24"/>
                <w:szCs w:val="24"/>
              </w:rPr>
            </w:pPr>
            <w:r>
              <w:rPr>
                <w:rFonts w:ascii="Arial" w:hAnsi="Arial" w:cs="Arial"/>
                <w:sz w:val="24"/>
                <w:szCs w:val="24"/>
              </w:rPr>
              <w:t>641</w:t>
            </w:r>
          </w:p>
        </w:tc>
        <w:tc>
          <w:tcPr>
            <w:tcW w:w="1417" w:type="dxa"/>
          </w:tcPr>
          <w:p w14:paraId="175EDCB9" w14:textId="3785C09D" w:rsidR="00353906" w:rsidRPr="000D756E" w:rsidRDefault="00353906" w:rsidP="00353906">
            <w:pPr>
              <w:jc w:val="right"/>
              <w:rPr>
                <w:rFonts w:ascii="Arial" w:hAnsi="Arial" w:cs="Arial"/>
                <w:sz w:val="24"/>
                <w:szCs w:val="24"/>
              </w:rPr>
            </w:pPr>
            <w:r w:rsidRPr="000D756E">
              <w:rPr>
                <w:rFonts w:ascii="Arial" w:hAnsi="Arial" w:cs="Arial"/>
                <w:sz w:val="24"/>
                <w:szCs w:val="24"/>
              </w:rPr>
              <w:t>600</w:t>
            </w:r>
          </w:p>
        </w:tc>
      </w:tr>
      <w:tr w:rsidR="00353906" w:rsidRPr="000D756E" w14:paraId="273DD679" w14:textId="77777777" w:rsidTr="00495D59">
        <w:tc>
          <w:tcPr>
            <w:tcW w:w="4248" w:type="dxa"/>
          </w:tcPr>
          <w:p w14:paraId="730B9AB2" w14:textId="77777777" w:rsidR="00353906" w:rsidRPr="000D756E" w:rsidRDefault="00353906" w:rsidP="00353906">
            <w:pPr>
              <w:rPr>
                <w:rFonts w:ascii="Arial" w:hAnsi="Arial" w:cs="Arial"/>
                <w:sz w:val="24"/>
                <w:szCs w:val="24"/>
              </w:rPr>
            </w:pPr>
            <w:r w:rsidRPr="000D756E">
              <w:rPr>
                <w:rFonts w:ascii="Arial" w:hAnsi="Arial" w:cs="Arial"/>
                <w:sz w:val="24"/>
                <w:szCs w:val="24"/>
              </w:rPr>
              <w:t>Contributions by scheme participants</w:t>
            </w:r>
          </w:p>
        </w:tc>
        <w:tc>
          <w:tcPr>
            <w:tcW w:w="1701" w:type="dxa"/>
          </w:tcPr>
          <w:p w14:paraId="1F3AA696" w14:textId="37417A17" w:rsidR="00353906" w:rsidRPr="000D756E" w:rsidRDefault="00723173" w:rsidP="00353906">
            <w:pPr>
              <w:jc w:val="right"/>
              <w:rPr>
                <w:rFonts w:ascii="Arial" w:hAnsi="Arial" w:cs="Arial"/>
                <w:sz w:val="24"/>
                <w:szCs w:val="24"/>
              </w:rPr>
            </w:pPr>
            <w:r>
              <w:rPr>
                <w:rFonts w:ascii="Arial" w:hAnsi="Arial" w:cs="Arial"/>
                <w:sz w:val="24"/>
                <w:szCs w:val="24"/>
              </w:rPr>
              <w:t>236</w:t>
            </w:r>
          </w:p>
        </w:tc>
        <w:tc>
          <w:tcPr>
            <w:tcW w:w="1417" w:type="dxa"/>
          </w:tcPr>
          <w:p w14:paraId="28158F27" w14:textId="7582B65F" w:rsidR="00353906" w:rsidRPr="000D756E" w:rsidRDefault="00353906" w:rsidP="00353906">
            <w:pPr>
              <w:jc w:val="right"/>
              <w:rPr>
                <w:rFonts w:ascii="Arial" w:hAnsi="Arial" w:cs="Arial"/>
                <w:sz w:val="24"/>
                <w:szCs w:val="24"/>
              </w:rPr>
            </w:pPr>
            <w:r w:rsidRPr="000D756E">
              <w:rPr>
                <w:rFonts w:ascii="Arial" w:hAnsi="Arial" w:cs="Arial"/>
                <w:sz w:val="24"/>
                <w:szCs w:val="24"/>
              </w:rPr>
              <w:t>219</w:t>
            </w:r>
          </w:p>
        </w:tc>
      </w:tr>
      <w:tr w:rsidR="00353906" w:rsidRPr="000D756E" w14:paraId="23AB2977" w14:textId="77777777" w:rsidTr="00495D59">
        <w:tc>
          <w:tcPr>
            <w:tcW w:w="4248" w:type="dxa"/>
          </w:tcPr>
          <w:p w14:paraId="0A599948" w14:textId="77777777" w:rsidR="00353906" w:rsidRPr="000D756E" w:rsidRDefault="00353906" w:rsidP="00353906">
            <w:pPr>
              <w:rPr>
                <w:rFonts w:ascii="Arial" w:hAnsi="Arial" w:cs="Arial"/>
                <w:sz w:val="24"/>
                <w:szCs w:val="24"/>
              </w:rPr>
            </w:pPr>
            <w:r w:rsidRPr="000D756E">
              <w:rPr>
                <w:rFonts w:ascii="Arial" w:hAnsi="Arial" w:cs="Arial"/>
                <w:sz w:val="24"/>
                <w:szCs w:val="24"/>
              </w:rPr>
              <w:t>Benefits paid</w:t>
            </w:r>
          </w:p>
        </w:tc>
        <w:tc>
          <w:tcPr>
            <w:tcW w:w="1701" w:type="dxa"/>
          </w:tcPr>
          <w:p w14:paraId="2A5A10E9" w14:textId="7391D325" w:rsidR="00353906" w:rsidRPr="000D756E" w:rsidRDefault="00723173" w:rsidP="00353906">
            <w:pPr>
              <w:jc w:val="right"/>
              <w:rPr>
                <w:rFonts w:ascii="Arial" w:hAnsi="Arial" w:cs="Arial"/>
                <w:sz w:val="24"/>
                <w:szCs w:val="24"/>
              </w:rPr>
            </w:pPr>
            <w:r>
              <w:rPr>
                <w:rFonts w:ascii="Arial" w:hAnsi="Arial" w:cs="Arial"/>
                <w:sz w:val="24"/>
                <w:szCs w:val="24"/>
              </w:rPr>
              <w:t>-938</w:t>
            </w:r>
          </w:p>
        </w:tc>
        <w:tc>
          <w:tcPr>
            <w:tcW w:w="1417" w:type="dxa"/>
          </w:tcPr>
          <w:p w14:paraId="5C47857F" w14:textId="09DA93ED" w:rsidR="00353906" w:rsidRPr="000D756E" w:rsidRDefault="00353906" w:rsidP="00353906">
            <w:pPr>
              <w:jc w:val="right"/>
              <w:rPr>
                <w:rFonts w:ascii="Arial" w:hAnsi="Arial" w:cs="Arial"/>
                <w:sz w:val="24"/>
                <w:szCs w:val="24"/>
              </w:rPr>
            </w:pPr>
            <w:r w:rsidRPr="000D756E">
              <w:rPr>
                <w:rFonts w:ascii="Arial" w:hAnsi="Arial" w:cs="Arial"/>
                <w:sz w:val="24"/>
                <w:szCs w:val="24"/>
              </w:rPr>
              <w:t>-549</w:t>
            </w:r>
          </w:p>
        </w:tc>
      </w:tr>
      <w:tr w:rsidR="00353906" w:rsidRPr="000D756E" w14:paraId="15350030" w14:textId="77777777" w:rsidTr="00495D59">
        <w:tc>
          <w:tcPr>
            <w:tcW w:w="4248" w:type="dxa"/>
          </w:tcPr>
          <w:p w14:paraId="786286F4" w14:textId="7CE440D7" w:rsidR="00353906" w:rsidRPr="000D756E" w:rsidRDefault="00353906" w:rsidP="00353906">
            <w:pPr>
              <w:rPr>
                <w:rFonts w:ascii="Arial" w:hAnsi="Arial" w:cs="Arial"/>
                <w:sz w:val="24"/>
                <w:szCs w:val="24"/>
              </w:rPr>
            </w:pPr>
          </w:p>
        </w:tc>
        <w:tc>
          <w:tcPr>
            <w:tcW w:w="1701" w:type="dxa"/>
          </w:tcPr>
          <w:p w14:paraId="76E03ED7" w14:textId="79928FAC" w:rsidR="00353906" w:rsidRPr="000D756E" w:rsidRDefault="00723173" w:rsidP="00353906">
            <w:pPr>
              <w:jc w:val="right"/>
              <w:rPr>
                <w:rFonts w:ascii="Arial" w:hAnsi="Arial" w:cs="Arial"/>
                <w:b/>
                <w:sz w:val="24"/>
                <w:szCs w:val="24"/>
              </w:rPr>
            </w:pPr>
            <w:r>
              <w:rPr>
                <w:rFonts w:ascii="Arial" w:hAnsi="Arial" w:cs="Arial"/>
                <w:b/>
                <w:sz w:val="24"/>
                <w:szCs w:val="24"/>
              </w:rPr>
              <w:t>23,062</w:t>
            </w:r>
          </w:p>
        </w:tc>
        <w:tc>
          <w:tcPr>
            <w:tcW w:w="1417" w:type="dxa"/>
          </w:tcPr>
          <w:p w14:paraId="13D7B638" w14:textId="6AE9EB19" w:rsidR="00353906" w:rsidRPr="000D756E" w:rsidRDefault="00353906" w:rsidP="00353906">
            <w:pPr>
              <w:jc w:val="right"/>
              <w:rPr>
                <w:rFonts w:ascii="Arial" w:hAnsi="Arial" w:cs="Arial"/>
                <w:b/>
                <w:sz w:val="24"/>
                <w:szCs w:val="24"/>
              </w:rPr>
            </w:pPr>
            <w:r w:rsidRPr="000D756E">
              <w:rPr>
                <w:rFonts w:ascii="Arial" w:hAnsi="Arial" w:cs="Arial"/>
                <w:b/>
                <w:sz w:val="24"/>
                <w:szCs w:val="24"/>
              </w:rPr>
              <w:t>22,000</w:t>
            </w:r>
          </w:p>
        </w:tc>
      </w:tr>
      <w:tr w:rsidR="00353906" w:rsidRPr="000D756E" w14:paraId="294B1ED4" w14:textId="77777777" w:rsidTr="00495D59">
        <w:tc>
          <w:tcPr>
            <w:tcW w:w="4248" w:type="dxa"/>
          </w:tcPr>
          <w:p w14:paraId="03E4F56B" w14:textId="208865A2" w:rsidR="00353906" w:rsidRPr="000D756E" w:rsidRDefault="00353906" w:rsidP="00353906">
            <w:pPr>
              <w:rPr>
                <w:rFonts w:ascii="Arial" w:hAnsi="Arial" w:cs="Arial"/>
                <w:sz w:val="24"/>
                <w:szCs w:val="24"/>
              </w:rPr>
            </w:pPr>
            <w:r w:rsidRPr="000D756E">
              <w:rPr>
                <w:rFonts w:ascii="Arial" w:hAnsi="Arial" w:cs="Arial"/>
                <w:sz w:val="24"/>
                <w:szCs w:val="24"/>
              </w:rPr>
              <w:t>Impact of asset ceiling</w:t>
            </w:r>
          </w:p>
        </w:tc>
        <w:tc>
          <w:tcPr>
            <w:tcW w:w="1701" w:type="dxa"/>
          </w:tcPr>
          <w:p w14:paraId="01A7B256" w14:textId="0B07B100" w:rsidR="00353906" w:rsidRPr="000D756E" w:rsidRDefault="00723173" w:rsidP="00353906">
            <w:pPr>
              <w:jc w:val="right"/>
              <w:rPr>
                <w:rFonts w:ascii="Arial" w:hAnsi="Arial" w:cs="Arial"/>
                <w:bCs/>
                <w:sz w:val="24"/>
                <w:szCs w:val="24"/>
              </w:rPr>
            </w:pPr>
            <w:r>
              <w:rPr>
                <w:rFonts w:ascii="Arial" w:hAnsi="Arial" w:cs="Arial"/>
                <w:bCs/>
                <w:sz w:val="24"/>
                <w:szCs w:val="24"/>
              </w:rPr>
              <w:t>-3,849</w:t>
            </w:r>
          </w:p>
        </w:tc>
        <w:tc>
          <w:tcPr>
            <w:tcW w:w="1417" w:type="dxa"/>
          </w:tcPr>
          <w:p w14:paraId="19714404" w14:textId="6590099D" w:rsidR="00353906" w:rsidRPr="000D756E" w:rsidRDefault="00353906" w:rsidP="00353906">
            <w:pPr>
              <w:jc w:val="right"/>
              <w:rPr>
                <w:rFonts w:ascii="Arial" w:hAnsi="Arial" w:cs="Arial"/>
                <w:bCs/>
                <w:sz w:val="24"/>
                <w:szCs w:val="24"/>
              </w:rPr>
            </w:pPr>
            <w:r w:rsidRPr="000D756E">
              <w:rPr>
                <w:rFonts w:ascii="Arial" w:hAnsi="Arial" w:cs="Arial"/>
                <w:bCs/>
                <w:sz w:val="24"/>
                <w:szCs w:val="24"/>
              </w:rPr>
              <w:t>-330</w:t>
            </w:r>
          </w:p>
        </w:tc>
      </w:tr>
      <w:tr w:rsidR="00353906" w:rsidRPr="000D756E" w14:paraId="2CB94D09" w14:textId="77777777" w:rsidTr="00495D59">
        <w:tc>
          <w:tcPr>
            <w:tcW w:w="4248" w:type="dxa"/>
          </w:tcPr>
          <w:p w14:paraId="77A0266B" w14:textId="5B986546" w:rsidR="00353906" w:rsidRPr="000D756E" w:rsidRDefault="00353906" w:rsidP="00353906">
            <w:pPr>
              <w:rPr>
                <w:rFonts w:ascii="Arial" w:hAnsi="Arial" w:cs="Arial"/>
                <w:sz w:val="24"/>
                <w:szCs w:val="24"/>
              </w:rPr>
            </w:pPr>
            <w:r w:rsidRPr="000D756E">
              <w:rPr>
                <w:rFonts w:ascii="Arial" w:hAnsi="Arial" w:cs="Arial"/>
                <w:sz w:val="24"/>
                <w:szCs w:val="24"/>
              </w:rPr>
              <w:t>Closing balance 31 March</w:t>
            </w:r>
          </w:p>
        </w:tc>
        <w:tc>
          <w:tcPr>
            <w:tcW w:w="1701" w:type="dxa"/>
          </w:tcPr>
          <w:p w14:paraId="55EECF48" w14:textId="24748A82" w:rsidR="00353906" w:rsidRPr="000D756E" w:rsidRDefault="00541472" w:rsidP="00353906">
            <w:pPr>
              <w:jc w:val="right"/>
              <w:rPr>
                <w:rFonts w:ascii="Arial" w:hAnsi="Arial" w:cs="Arial"/>
                <w:b/>
                <w:sz w:val="24"/>
                <w:szCs w:val="24"/>
              </w:rPr>
            </w:pPr>
            <w:r>
              <w:rPr>
                <w:rFonts w:ascii="Arial" w:hAnsi="Arial" w:cs="Arial"/>
                <w:b/>
                <w:sz w:val="24"/>
                <w:szCs w:val="24"/>
              </w:rPr>
              <w:t>19,213</w:t>
            </w:r>
          </w:p>
        </w:tc>
        <w:tc>
          <w:tcPr>
            <w:tcW w:w="1417" w:type="dxa"/>
          </w:tcPr>
          <w:p w14:paraId="4592D319" w14:textId="2A5B68CC" w:rsidR="00353906" w:rsidRPr="000D756E" w:rsidRDefault="00353906" w:rsidP="00353906">
            <w:pPr>
              <w:jc w:val="right"/>
              <w:rPr>
                <w:rFonts w:ascii="Arial" w:hAnsi="Arial" w:cs="Arial"/>
                <w:b/>
                <w:sz w:val="24"/>
                <w:szCs w:val="24"/>
              </w:rPr>
            </w:pPr>
            <w:r w:rsidRPr="000D756E">
              <w:rPr>
                <w:rFonts w:ascii="Arial" w:hAnsi="Arial" w:cs="Arial"/>
                <w:b/>
                <w:sz w:val="24"/>
                <w:szCs w:val="24"/>
              </w:rPr>
              <w:t>21,670</w:t>
            </w:r>
          </w:p>
        </w:tc>
      </w:tr>
    </w:tbl>
    <w:p w14:paraId="2D54F759" w14:textId="6CB11F85" w:rsidR="004D4099" w:rsidRPr="000D756E" w:rsidRDefault="004D4099" w:rsidP="002A7C01">
      <w:pPr>
        <w:rPr>
          <w:rFonts w:ascii="Arial" w:hAnsi="Arial" w:cs="Arial"/>
          <w:i/>
          <w:sz w:val="24"/>
          <w:szCs w:val="24"/>
        </w:rPr>
      </w:pPr>
    </w:p>
    <w:p w14:paraId="62131A84" w14:textId="35D0D7FE" w:rsidR="009559F5" w:rsidRPr="000D756E" w:rsidRDefault="009559F5" w:rsidP="002A7C01">
      <w:pPr>
        <w:rPr>
          <w:rFonts w:ascii="Arial" w:hAnsi="Arial" w:cs="Arial"/>
          <w:iCs/>
          <w:sz w:val="24"/>
          <w:szCs w:val="24"/>
        </w:rPr>
      </w:pPr>
      <w:r w:rsidRPr="000D756E">
        <w:rPr>
          <w:rFonts w:ascii="Arial" w:hAnsi="Arial" w:cs="Arial"/>
          <w:iCs/>
          <w:sz w:val="24"/>
          <w:szCs w:val="24"/>
        </w:rPr>
        <w:t>The firefighter schemes are unfunded with no assets held, and so are not included in the reconciliation of assets.</w:t>
      </w:r>
    </w:p>
    <w:p w14:paraId="2FA1D6DE" w14:textId="77777777" w:rsidR="009C0E60" w:rsidRPr="000D756E" w:rsidRDefault="009C0E60" w:rsidP="002A7C01">
      <w:pPr>
        <w:rPr>
          <w:rFonts w:ascii="Arial" w:hAnsi="Arial" w:cs="Arial"/>
          <w:i/>
          <w:sz w:val="24"/>
          <w:szCs w:val="24"/>
        </w:rPr>
      </w:pPr>
    </w:p>
    <w:p w14:paraId="6EBCCBB3" w14:textId="77777777" w:rsidR="0099411B" w:rsidRPr="000D756E" w:rsidRDefault="0099411B" w:rsidP="002A7C01">
      <w:pPr>
        <w:rPr>
          <w:iCs/>
        </w:rPr>
      </w:pPr>
      <w:r w:rsidRPr="000D756E">
        <w:rPr>
          <w:rFonts w:ascii="Arial" w:hAnsi="Arial" w:cs="Arial"/>
          <w:b/>
          <w:sz w:val="24"/>
          <w:szCs w:val="24"/>
        </w:rPr>
        <w:t>Top up grant</w:t>
      </w:r>
      <w:r w:rsidRPr="000D756E">
        <w:rPr>
          <w:rFonts w:ascii="Arial" w:hAnsi="Arial" w:cs="Arial"/>
          <w:sz w:val="24"/>
          <w:szCs w:val="24"/>
        </w:rPr>
        <w:t xml:space="preserve"> - </w:t>
      </w:r>
      <w:r w:rsidRPr="000D756E">
        <w:rPr>
          <w:rFonts w:ascii="Arial" w:hAnsi="Arial" w:cs="Arial"/>
          <w:iCs/>
          <w:sz w:val="24"/>
          <w:szCs w:val="24"/>
        </w:rPr>
        <w:t>these are grants payable by government, to those fire authorities whose Pension Fund Accounts are in a deficit position. The grant assists employers with management of benefit payments under the Fire pension schemes.</w:t>
      </w:r>
    </w:p>
    <w:p w14:paraId="5BDF960D" w14:textId="77777777" w:rsidR="0099411B" w:rsidRPr="000D756E" w:rsidRDefault="0099411B" w:rsidP="002A7C01">
      <w:pPr>
        <w:rPr>
          <w:iCs/>
        </w:rPr>
      </w:pPr>
    </w:p>
    <w:p w14:paraId="2B8C4CA9" w14:textId="2A7CF860" w:rsidR="004D4099" w:rsidRPr="000D756E" w:rsidRDefault="0099411B" w:rsidP="002A7C01">
      <w:pPr>
        <w:rPr>
          <w:rFonts w:ascii="Arial" w:hAnsi="Arial" w:cs="Arial"/>
          <w:iCs/>
          <w:sz w:val="24"/>
          <w:szCs w:val="24"/>
        </w:rPr>
      </w:pPr>
      <w:r w:rsidRPr="000D756E">
        <w:rPr>
          <w:rFonts w:ascii="Arial" w:hAnsi="Arial" w:cs="Arial"/>
          <w:iCs/>
          <w:sz w:val="24"/>
          <w:szCs w:val="24"/>
        </w:rPr>
        <w:t xml:space="preserve">Top up grant has been included </w:t>
      </w:r>
      <w:r w:rsidR="0013360A" w:rsidRPr="000D756E">
        <w:rPr>
          <w:rFonts w:ascii="Arial" w:hAnsi="Arial" w:cs="Arial"/>
          <w:iCs/>
          <w:sz w:val="24"/>
          <w:szCs w:val="24"/>
        </w:rPr>
        <w:t>within employer</w:t>
      </w:r>
      <w:r w:rsidRPr="000D756E">
        <w:rPr>
          <w:rFonts w:ascii="Arial" w:hAnsi="Arial" w:cs="Arial"/>
          <w:iCs/>
          <w:sz w:val="24"/>
          <w:szCs w:val="24"/>
        </w:rPr>
        <w:t xml:space="preserve"> contributions as income into the schemes. Disclosures in the statement reflect top up grant of £</w:t>
      </w:r>
      <w:r w:rsidR="00541472">
        <w:rPr>
          <w:rFonts w:ascii="Arial" w:hAnsi="Arial" w:cs="Arial"/>
          <w:iCs/>
          <w:sz w:val="24"/>
          <w:szCs w:val="24"/>
        </w:rPr>
        <w:t>2.373</w:t>
      </w:r>
      <w:r w:rsidR="00E46061" w:rsidRPr="000D756E">
        <w:rPr>
          <w:rFonts w:ascii="Arial" w:hAnsi="Arial" w:cs="Arial"/>
          <w:iCs/>
          <w:sz w:val="24"/>
          <w:szCs w:val="24"/>
        </w:rPr>
        <w:t>m</w:t>
      </w:r>
      <w:r w:rsidRPr="000D756E">
        <w:rPr>
          <w:rFonts w:ascii="Arial" w:hAnsi="Arial" w:cs="Arial"/>
          <w:iCs/>
          <w:sz w:val="24"/>
          <w:szCs w:val="24"/>
        </w:rPr>
        <w:t xml:space="preserve"> in 20</w:t>
      </w:r>
      <w:r w:rsidR="008D3A5F" w:rsidRPr="000D756E">
        <w:rPr>
          <w:rFonts w:ascii="Arial" w:hAnsi="Arial" w:cs="Arial"/>
          <w:iCs/>
          <w:sz w:val="24"/>
          <w:szCs w:val="24"/>
        </w:rPr>
        <w:t>2</w:t>
      </w:r>
      <w:r w:rsidR="005A7E20">
        <w:rPr>
          <w:rFonts w:ascii="Arial" w:hAnsi="Arial" w:cs="Arial"/>
          <w:iCs/>
          <w:sz w:val="24"/>
          <w:szCs w:val="24"/>
        </w:rPr>
        <w:t>4/25</w:t>
      </w:r>
      <w:r w:rsidRPr="000D756E">
        <w:rPr>
          <w:rFonts w:ascii="Arial" w:hAnsi="Arial" w:cs="Arial"/>
          <w:iCs/>
          <w:sz w:val="24"/>
          <w:szCs w:val="24"/>
        </w:rPr>
        <w:t>, and £</w:t>
      </w:r>
      <w:r w:rsidR="00022231" w:rsidRPr="000D756E">
        <w:rPr>
          <w:rFonts w:ascii="Arial" w:hAnsi="Arial" w:cs="Arial"/>
          <w:iCs/>
          <w:sz w:val="24"/>
          <w:szCs w:val="24"/>
        </w:rPr>
        <w:t>3.</w:t>
      </w:r>
      <w:r w:rsidR="005A7E20">
        <w:rPr>
          <w:rFonts w:ascii="Arial" w:hAnsi="Arial" w:cs="Arial"/>
          <w:iCs/>
          <w:sz w:val="24"/>
          <w:szCs w:val="24"/>
        </w:rPr>
        <w:t>233m</w:t>
      </w:r>
      <w:r w:rsidRPr="000D756E">
        <w:rPr>
          <w:rFonts w:ascii="Arial" w:hAnsi="Arial" w:cs="Arial"/>
          <w:iCs/>
          <w:sz w:val="24"/>
          <w:szCs w:val="24"/>
        </w:rPr>
        <w:t xml:space="preserve"> in 20</w:t>
      </w:r>
      <w:r w:rsidR="007942A3" w:rsidRPr="000D756E">
        <w:rPr>
          <w:rFonts w:ascii="Arial" w:hAnsi="Arial" w:cs="Arial"/>
          <w:iCs/>
          <w:sz w:val="24"/>
          <w:szCs w:val="24"/>
        </w:rPr>
        <w:t>2</w:t>
      </w:r>
      <w:r w:rsidR="005A7E20">
        <w:rPr>
          <w:rFonts w:ascii="Arial" w:hAnsi="Arial" w:cs="Arial"/>
          <w:iCs/>
          <w:sz w:val="24"/>
          <w:szCs w:val="24"/>
        </w:rPr>
        <w:t>3/24</w:t>
      </w:r>
      <w:r w:rsidR="008D3A5F" w:rsidRPr="000D756E">
        <w:rPr>
          <w:rFonts w:ascii="Arial" w:hAnsi="Arial" w:cs="Arial"/>
          <w:iCs/>
          <w:sz w:val="24"/>
          <w:szCs w:val="24"/>
        </w:rPr>
        <w:t>.</w:t>
      </w:r>
    </w:p>
    <w:p w14:paraId="24B13C0D" w14:textId="3E59878E" w:rsidR="000D4207" w:rsidRPr="000D756E" w:rsidRDefault="000D4207" w:rsidP="002A7C01">
      <w:pPr>
        <w:rPr>
          <w:rFonts w:ascii="Arial" w:hAnsi="Arial" w:cs="Arial"/>
          <w:iCs/>
          <w:sz w:val="24"/>
          <w:szCs w:val="24"/>
        </w:rPr>
      </w:pPr>
    </w:p>
    <w:p w14:paraId="1B2AFCE1" w14:textId="77777777" w:rsidR="004D4099" w:rsidRPr="000D756E" w:rsidRDefault="004D4099" w:rsidP="002A7C01">
      <w:pPr>
        <w:rPr>
          <w:rFonts w:ascii="Arial" w:hAnsi="Arial" w:cs="Arial"/>
          <w:b/>
          <w:sz w:val="24"/>
          <w:szCs w:val="24"/>
        </w:rPr>
      </w:pPr>
      <w:r w:rsidRPr="000D756E">
        <w:rPr>
          <w:rFonts w:ascii="Arial" w:hAnsi="Arial" w:cs="Arial"/>
          <w:b/>
          <w:sz w:val="24"/>
          <w:szCs w:val="24"/>
        </w:rPr>
        <w:t>Basis for Estimating Assets and Liabilities</w:t>
      </w:r>
    </w:p>
    <w:p w14:paraId="5B33F617" w14:textId="77777777" w:rsidR="004D4099" w:rsidRPr="000D756E" w:rsidRDefault="004D4099" w:rsidP="002A7C01">
      <w:pPr>
        <w:ind w:left="720"/>
        <w:rPr>
          <w:rFonts w:ascii="Arial" w:hAnsi="Arial" w:cs="Arial"/>
          <w:sz w:val="24"/>
          <w:szCs w:val="24"/>
        </w:rPr>
      </w:pPr>
    </w:p>
    <w:p w14:paraId="7374AC97" w14:textId="7A3372BA" w:rsidR="004D4099" w:rsidRPr="000D756E" w:rsidRDefault="004D4099" w:rsidP="002A7C01">
      <w:pPr>
        <w:rPr>
          <w:rFonts w:ascii="Arial" w:hAnsi="Arial" w:cs="Arial"/>
          <w:sz w:val="24"/>
          <w:szCs w:val="24"/>
        </w:rPr>
      </w:pPr>
      <w:r w:rsidRPr="000D756E">
        <w:rPr>
          <w:rFonts w:ascii="Arial" w:hAnsi="Arial" w:cs="Arial"/>
          <w:sz w:val="24"/>
          <w:szCs w:val="24"/>
        </w:rPr>
        <w:t xml:space="preserve">Liabilities have been assessed on an actuarial basis using the projected unit method, an estimate of the pensions that will be payable in future years dependent on assumptions about mortality rates, salary levels, etc. Both the Fire Schemes and the Shropshire County Pension Fund liabilities have been assessed by Mercers, an independent firm of actuaries, </w:t>
      </w:r>
      <w:r w:rsidR="007D76ED" w:rsidRPr="000D756E">
        <w:rPr>
          <w:rFonts w:ascii="Arial" w:hAnsi="Arial" w:cs="Arial"/>
          <w:sz w:val="24"/>
          <w:szCs w:val="24"/>
        </w:rPr>
        <w:t xml:space="preserve">with </w:t>
      </w:r>
      <w:r w:rsidRPr="000D756E">
        <w:rPr>
          <w:rFonts w:ascii="Arial" w:hAnsi="Arial" w:cs="Arial"/>
          <w:sz w:val="24"/>
          <w:szCs w:val="24"/>
        </w:rPr>
        <w:t xml:space="preserve">estimates for the Shropshire County Pension Fund </w:t>
      </w:r>
      <w:r w:rsidR="007D76ED" w:rsidRPr="000D756E">
        <w:rPr>
          <w:rFonts w:ascii="Arial" w:hAnsi="Arial" w:cs="Arial"/>
          <w:sz w:val="24"/>
          <w:szCs w:val="24"/>
        </w:rPr>
        <w:t>incorporating the outcomes of the 2016 actuarial valuation.</w:t>
      </w:r>
      <w:r w:rsidR="00CB50CB" w:rsidRPr="000D756E">
        <w:rPr>
          <w:rFonts w:ascii="Arial" w:hAnsi="Arial" w:cs="Arial"/>
          <w:sz w:val="24"/>
          <w:szCs w:val="24"/>
        </w:rPr>
        <w:t xml:space="preserve"> </w:t>
      </w:r>
    </w:p>
    <w:p w14:paraId="7FF1C18B" w14:textId="77777777" w:rsidR="00B24200" w:rsidRPr="000D756E" w:rsidRDefault="00B24200" w:rsidP="002A7C01">
      <w:pPr>
        <w:rPr>
          <w:rFonts w:ascii="Arial" w:hAnsi="Arial" w:cs="Arial"/>
          <w:sz w:val="24"/>
          <w:szCs w:val="24"/>
        </w:rPr>
      </w:pPr>
    </w:p>
    <w:p w14:paraId="5C3054C8" w14:textId="4526E37B" w:rsidR="004D4099" w:rsidRPr="000D756E" w:rsidRDefault="004D4099" w:rsidP="002A7C01">
      <w:pPr>
        <w:rPr>
          <w:rFonts w:ascii="Arial" w:hAnsi="Arial" w:cs="Arial"/>
          <w:sz w:val="24"/>
          <w:szCs w:val="24"/>
        </w:rPr>
      </w:pPr>
      <w:r w:rsidRPr="000D756E">
        <w:rPr>
          <w:rFonts w:ascii="Arial" w:hAnsi="Arial" w:cs="Arial"/>
          <w:sz w:val="24"/>
          <w:szCs w:val="24"/>
        </w:rPr>
        <w:t>The principal assumptions used by the actuary have been:</w:t>
      </w:r>
    </w:p>
    <w:p w14:paraId="453164CE" w14:textId="77777777" w:rsidR="00E46222" w:rsidRPr="000D756E" w:rsidRDefault="00E46222" w:rsidP="002A7C01">
      <w:pPr>
        <w:rPr>
          <w:rFonts w:ascii="Arial" w:hAnsi="Arial" w:cs="Arial"/>
          <w:sz w:val="24"/>
          <w:szCs w:val="24"/>
        </w:rPr>
      </w:pPr>
    </w:p>
    <w:tbl>
      <w:tblPr>
        <w:tblW w:w="0" w:type="auto"/>
        <w:tblLook w:val="01E0" w:firstRow="1" w:lastRow="1" w:firstColumn="1" w:lastColumn="1" w:noHBand="0" w:noVBand="0"/>
      </w:tblPr>
      <w:tblGrid>
        <w:gridCol w:w="3749"/>
        <w:gridCol w:w="1293"/>
        <w:gridCol w:w="1422"/>
        <w:gridCol w:w="1250"/>
        <w:gridCol w:w="1305"/>
      </w:tblGrid>
      <w:tr w:rsidR="006329E6" w:rsidRPr="000D756E" w14:paraId="346C4EEB" w14:textId="77777777" w:rsidTr="007F11E4">
        <w:tc>
          <w:tcPr>
            <w:tcW w:w="3749" w:type="dxa"/>
            <w:tcBorders>
              <w:top w:val="single" w:sz="4" w:space="0" w:color="auto"/>
              <w:left w:val="single" w:sz="4" w:space="0" w:color="auto"/>
              <w:bottom w:val="single" w:sz="4" w:space="0" w:color="auto"/>
              <w:right w:val="single" w:sz="4" w:space="0" w:color="auto"/>
            </w:tcBorders>
          </w:tcPr>
          <w:p w14:paraId="12F51F1C" w14:textId="77777777" w:rsidR="002B4A70" w:rsidRPr="000D756E" w:rsidRDefault="002B4A70" w:rsidP="002A7C01">
            <w:pPr>
              <w:rPr>
                <w:rFonts w:ascii="Arial" w:hAnsi="Arial" w:cs="Arial"/>
                <w:sz w:val="24"/>
                <w:szCs w:val="24"/>
              </w:rPr>
            </w:pPr>
          </w:p>
        </w:tc>
        <w:tc>
          <w:tcPr>
            <w:tcW w:w="2715" w:type="dxa"/>
            <w:gridSpan w:val="2"/>
            <w:tcBorders>
              <w:top w:val="single" w:sz="4" w:space="0" w:color="auto"/>
              <w:left w:val="single" w:sz="4" w:space="0" w:color="auto"/>
              <w:bottom w:val="single" w:sz="4" w:space="0" w:color="auto"/>
              <w:right w:val="single" w:sz="4" w:space="0" w:color="auto"/>
            </w:tcBorders>
          </w:tcPr>
          <w:p w14:paraId="60B73AB4" w14:textId="77777777" w:rsidR="002B4A70" w:rsidRPr="000D756E" w:rsidRDefault="002B4A70" w:rsidP="002A7C01">
            <w:pPr>
              <w:rPr>
                <w:rFonts w:ascii="Arial" w:hAnsi="Arial" w:cs="Arial"/>
                <w:b/>
                <w:sz w:val="24"/>
                <w:szCs w:val="24"/>
              </w:rPr>
            </w:pPr>
          </w:p>
          <w:p w14:paraId="7053FACE" w14:textId="77777777" w:rsidR="002B4A70" w:rsidRPr="000D756E" w:rsidRDefault="002B4A70" w:rsidP="002A7C01">
            <w:pPr>
              <w:rPr>
                <w:rFonts w:ascii="Arial" w:hAnsi="Arial" w:cs="Arial"/>
                <w:b/>
                <w:sz w:val="24"/>
                <w:szCs w:val="24"/>
              </w:rPr>
            </w:pPr>
            <w:r w:rsidRPr="000D756E">
              <w:rPr>
                <w:rFonts w:ascii="Arial" w:hAnsi="Arial" w:cs="Arial"/>
                <w:b/>
                <w:sz w:val="24"/>
                <w:szCs w:val="24"/>
              </w:rPr>
              <w:t>Shropshire County Pension Fund</w:t>
            </w:r>
          </w:p>
        </w:tc>
        <w:tc>
          <w:tcPr>
            <w:tcW w:w="2555" w:type="dxa"/>
            <w:gridSpan w:val="2"/>
            <w:tcBorders>
              <w:top w:val="single" w:sz="4" w:space="0" w:color="auto"/>
              <w:bottom w:val="single" w:sz="4" w:space="0" w:color="auto"/>
              <w:right w:val="single" w:sz="4" w:space="0" w:color="auto"/>
            </w:tcBorders>
          </w:tcPr>
          <w:p w14:paraId="60C9B4DC" w14:textId="77777777" w:rsidR="002B4A70" w:rsidRPr="000D756E" w:rsidRDefault="002B4A70" w:rsidP="002A7C01">
            <w:pPr>
              <w:rPr>
                <w:rFonts w:ascii="Arial" w:hAnsi="Arial" w:cs="Arial"/>
                <w:b/>
                <w:sz w:val="24"/>
                <w:szCs w:val="24"/>
              </w:rPr>
            </w:pPr>
          </w:p>
          <w:p w14:paraId="352C37DC" w14:textId="77777777" w:rsidR="00A76865" w:rsidRPr="000D756E" w:rsidRDefault="002B4A70" w:rsidP="002A7C01">
            <w:pPr>
              <w:rPr>
                <w:rFonts w:ascii="Arial" w:hAnsi="Arial" w:cs="Arial"/>
                <w:b/>
                <w:sz w:val="24"/>
                <w:szCs w:val="24"/>
              </w:rPr>
            </w:pPr>
            <w:r w:rsidRPr="000D756E">
              <w:rPr>
                <w:rFonts w:ascii="Arial" w:hAnsi="Arial" w:cs="Arial"/>
                <w:b/>
                <w:sz w:val="24"/>
                <w:szCs w:val="24"/>
              </w:rPr>
              <w:t>Fire</w:t>
            </w:r>
            <w:r w:rsidR="00A76865" w:rsidRPr="000D756E">
              <w:rPr>
                <w:rFonts w:ascii="Arial" w:hAnsi="Arial" w:cs="Arial"/>
                <w:b/>
                <w:sz w:val="24"/>
                <w:szCs w:val="24"/>
              </w:rPr>
              <w:t xml:space="preserve"> - All </w:t>
            </w:r>
          </w:p>
          <w:p w14:paraId="7C67C7E3" w14:textId="77777777" w:rsidR="002B4A70" w:rsidRPr="000D756E" w:rsidRDefault="002B4A70" w:rsidP="002A7C01">
            <w:pPr>
              <w:rPr>
                <w:rFonts w:ascii="Arial" w:hAnsi="Arial" w:cs="Arial"/>
                <w:b/>
                <w:sz w:val="24"/>
                <w:szCs w:val="24"/>
              </w:rPr>
            </w:pPr>
            <w:r w:rsidRPr="000D756E">
              <w:rPr>
                <w:rFonts w:ascii="Arial" w:hAnsi="Arial" w:cs="Arial"/>
                <w:b/>
                <w:sz w:val="24"/>
                <w:szCs w:val="24"/>
              </w:rPr>
              <w:t>Pension Schemes</w:t>
            </w:r>
          </w:p>
        </w:tc>
      </w:tr>
      <w:tr w:rsidR="006329E6" w:rsidRPr="000D756E" w14:paraId="5AD8CB11" w14:textId="77777777" w:rsidTr="007F11E4">
        <w:tc>
          <w:tcPr>
            <w:tcW w:w="3749" w:type="dxa"/>
            <w:tcBorders>
              <w:top w:val="single" w:sz="4" w:space="0" w:color="auto"/>
              <w:left w:val="single" w:sz="4" w:space="0" w:color="auto"/>
              <w:bottom w:val="single" w:sz="4" w:space="0" w:color="auto"/>
              <w:right w:val="single" w:sz="4" w:space="0" w:color="auto"/>
            </w:tcBorders>
          </w:tcPr>
          <w:p w14:paraId="3A1C6629" w14:textId="77777777" w:rsidR="008D3A5F" w:rsidRPr="000D756E" w:rsidRDefault="008D3A5F" w:rsidP="008D3A5F">
            <w:pPr>
              <w:rPr>
                <w:rFonts w:ascii="Arial" w:hAnsi="Arial" w:cs="Arial"/>
                <w:sz w:val="24"/>
                <w:szCs w:val="24"/>
              </w:rPr>
            </w:pPr>
          </w:p>
        </w:tc>
        <w:tc>
          <w:tcPr>
            <w:tcW w:w="1293" w:type="dxa"/>
            <w:tcBorders>
              <w:top w:val="single" w:sz="4" w:space="0" w:color="auto"/>
              <w:left w:val="single" w:sz="4" w:space="0" w:color="auto"/>
              <w:bottom w:val="single" w:sz="4" w:space="0" w:color="auto"/>
              <w:right w:val="single" w:sz="4" w:space="0" w:color="auto"/>
            </w:tcBorders>
          </w:tcPr>
          <w:p w14:paraId="6E881619" w14:textId="654FFFFF" w:rsidR="008D3A5F" w:rsidRPr="000D756E" w:rsidRDefault="008D3A5F" w:rsidP="008D3A5F">
            <w:pPr>
              <w:rPr>
                <w:rFonts w:ascii="Arial" w:hAnsi="Arial" w:cs="Arial"/>
                <w:b/>
                <w:sz w:val="24"/>
                <w:szCs w:val="24"/>
              </w:rPr>
            </w:pPr>
            <w:r w:rsidRPr="000D756E">
              <w:rPr>
                <w:rFonts w:ascii="Arial" w:hAnsi="Arial" w:cs="Arial"/>
                <w:b/>
                <w:sz w:val="24"/>
                <w:szCs w:val="24"/>
              </w:rPr>
              <w:t>20</w:t>
            </w:r>
            <w:r w:rsidR="005110C6" w:rsidRPr="000D756E">
              <w:rPr>
                <w:rFonts w:ascii="Arial" w:hAnsi="Arial" w:cs="Arial"/>
                <w:b/>
                <w:sz w:val="24"/>
                <w:szCs w:val="24"/>
              </w:rPr>
              <w:t>2</w:t>
            </w:r>
            <w:r w:rsidR="005A7E20">
              <w:rPr>
                <w:rFonts w:ascii="Arial" w:hAnsi="Arial" w:cs="Arial"/>
                <w:b/>
                <w:sz w:val="24"/>
                <w:szCs w:val="24"/>
              </w:rPr>
              <w:t>4/25</w:t>
            </w:r>
          </w:p>
        </w:tc>
        <w:tc>
          <w:tcPr>
            <w:tcW w:w="1422" w:type="dxa"/>
            <w:tcBorders>
              <w:top w:val="single" w:sz="4" w:space="0" w:color="auto"/>
              <w:left w:val="single" w:sz="4" w:space="0" w:color="auto"/>
              <w:bottom w:val="single" w:sz="4" w:space="0" w:color="auto"/>
              <w:right w:val="single" w:sz="4" w:space="0" w:color="auto"/>
            </w:tcBorders>
          </w:tcPr>
          <w:p w14:paraId="75C4A9CD" w14:textId="04F9B6D9" w:rsidR="008D3A5F" w:rsidRPr="000D756E" w:rsidRDefault="008D3A5F" w:rsidP="008D3A5F">
            <w:pPr>
              <w:rPr>
                <w:rFonts w:ascii="Arial" w:hAnsi="Arial" w:cs="Arial"/>
                <w:b/>
                <w:sz w:val="24"/>
                <w:szCs w:val="24"/>
              </w:rPr>
            </w:pPr>
            <w:r w:rsidRPr="000D756E">
              <w:rPr>
                <w:rFonts w:ascii="Arial" w:hAnsi="Arial" w:cs="Arial"/>
                <w:b/>
                <w:sz w:val="24"/>
                <w:szCs w:val="24"/>
              </w:rPr>
              <w:t>20</w:t>
            </w:r>
            <w:r w:rsidR="005110C6" w:rsidRPr="000D756E">
              <w:rPr>
                <w:rFonts w:ascii="Arial" w:hAnsi="Arial" w:cs="Arial"/>
                <w:b/>
                <w:sz w:val="24"/>
                <w:szCs w:val="24"/>
              </w:rPr>
              <w:t>2</w:t>
            </w:r>
            <w:r w:rsidR="005A7E20">
              <w:rPr>
                <w:rFonts w:ascii="Arial" w:hAnsi="Arial" w:cs="Arial"/>
                <w:b/>
                <w:sz w:val="24"/>
                <w:szCs w:val="24"/>
              </w:rPr>
              <w:t>3/24</w:t>
            </w:r>
          </w:p>
        </w:tc>
        <w:tc>
          <w:tcPr>
            <w:tcW w:w="1250" w:type="dxa"/>
            <w:tcBorders>
              <w:top w:val="single" w:sz="4" w:space="0" w:color="auto"/>
              <w:left w:val="single" w:sz="4" w:space="0" w:color="auto"/>
              <w:bottom w:val="single" w:sz="4" w:space="0" w:color="auto"/>
              <w:right w:val="single" w:sz="4" w:space="0" w:color="auto"/>
            </w:tcBorders>
          </w:tcPr>
          <w:p w14:paraId="14B30CE5" w14:textId="511A2B66" w:rsidR="008D3A5F" w:rsidRPr="000D756E" w:rsidRDefault="008D3A5F" w:rsidP="008D3A5F">
            <w:pPr>
              <w:rPr>
                <w:rFonts w:ascii="Arial" w:hAnsi="Arial" w:cs="Arial"/>
                <w:b/>
                <w:sz w:val="24"/>
                <w:szCs w:val="24"/>
              </w:rPr>
            </w:pPr>
            <w:r w:rsidRPr="000D756E">
              <w:rPr>
                <w:rFonts w:ascii="Arial" w:hAnsi="Arial" w:cs="Arial"/>
                <w:b/>
                <w:sz w:val="24"/>
                <w:szCs w:val="24"/>
              </w:rPr>
              <w:t>202</w:t>
            </w:r>
            <w:r w:rsidR="005A7E20">
              <w:rPr>
                <w:rFonts w:ascii="Arial" w:hAnsi="Arial" w:cs="Arial"/>
                <w:b/>
                <w:sz w:val="24"/>
                <w:szCs w:val="24"/>
              </w:rPr>
              <w:t>4/25</w:t>
            </w:r>
          </w:p>
        </w:tc>
        <w:tc>
          <w:tcPr>
            <w:tcW w:w="1305" w:type="dxa"/>
            <w:tcBorders>
              <w:top w:val="single" w:sz="4" w:space="0" w:color="auto"/>
              <w:left w:val="single" w:sz="4" w:space="0" w:color="auto"/>
              <w:bottom w:val="single" w:sz="4" w:space="0" w:color="auto"/>
              <w:right w:val="single" w:sz="4" w:space="0" w:color="auto"/>
            </w:tcBorders>
          </w:tcPr>
          <w:p w14:paraId="34026491" w14:textId="6F230E24" w:rsidR="008D3A5F" w:rsidRPr="000D756E" w:rsidRDefault="008D3A5F" w:rsidP="008D3A5F">
            <w:pPr>
              <w:rPr>
                <w:rFonts w:ascii="Arial" w:hAnsi="Arial" w:cs="Arial"/>
                <w:b/>
                <w:sz w:val="24"/>
                <w:szCs w:val="24"/>
              </w:rPr>
            </w:pPr>
            <w:r w:rsidRPr="000D756E">
              <w:rPr>
                <w:rFonts w:ascii="Arial" w:hAnsi="Arial" w:cs="Arial"/>
                <w:b/>
                <w:sz w:val="24"/>
                <w:szCs w:val="24"/>
              </w:rPr>
              <w:t>20</w:t>
            </w:r>
            <w:r w:rsidR="005110C6" w:rsidRPr="000D756E">
              <w:rPr>
                <w:rFonts w:ascii="Arial" w:hAnsi="Arial" w:cs="Arial"/>
                <w:b/>
                <w:sz w:val="24"/>
                <w:szCs w:val="24"/>
              </w:rPr>
              <w:t>2</w:t>
            </w:r>
            <w:r w:rsidR="005A7E20">
              <w:rPr>
                <w:rFonts w:ascii="Arial" w:hAnsi="Arial" w:cs="Arial"/>
                <w:b/>
                <w:sz w:val="24"/>
                <w:szCs w:val="24"/>
              </w:rPr>
              <w:t>3/24</w:t>
            </w:r>
          </w:p>
        </w:tc>
      </w:tr>
      <w:tr w:rsidR="005A7E20" w:rsidRPr="000D756E" w14:paraId="31CE44F0" w14:textId="77777777" w:rsidTr="007F11E4">
        <w:tc>
          <w:tcPr>
            <w:tcW w:w="3749" w:type="dxa"/>
            <w:tcBorders>
              <w:top w:val="single" w:sz="4" w:space="0" w:color="auto"/>
              <w:left w:val="single" w:sz="4" w:space="0" w:color="auto"/>
              <w:bottom w:val="single" w:sz="4" w:space="0" w:color="auto"/>
              <w:right w:val="single" w:sz="4" w:space="0" w:color="auto"/>
            </w:tcBorders>
          </w:tcPr>
          <w:p w14:paraId="49F33473" w14:textId="77777777" w:rsidR="005A7E20" w:rsidRPr="000D756E" w:rsidRDefault="005A7E20" w:rsidP="005A7E20">
            <w:pPr>
              <w:rPr>
                <w:rFonts w:ascii="Arial" w:hAnsi="Arial" w:cs="Arial"/>
                <w:b/>
                <w:sz w:val="24"/>
                <w:szCs w:val="24"/>
              </w:rPr>
            </w:pPr>
            <w:r w:rsidRPr="000D756E">
              <w:rPr>
                <w:rFonts w:ascii="Arial" w:hAnsi="Arial" w:cs="Arial"/>
                <w:b/>
                <w:sz w:val="24"/>
                <w:szCs w:val="24"/>
              </w:rPr>
              <w:t>Mortality Assumptions:</w:t>
            </w:r>
          </w:p>
          <w:p w14:paraId="1230017D" w14:textId="77777777" w:rsidR="005A7E20" w:rsidRPr="000D756E" w:rsidRDefault="005A7E20" w:rsidP="005A7E20">
            <w:pPr>
              <w:rPr>
                <w:rFonts w:ascii="Arial" w:hAnsi="Arial" w:cs="Arial"/>
                <w:sz w:val="24"/>
                <w:szCs w:val="24"/>
              </w:rPr>
            </w:pPr>
            <w:r w:rsidRPr="000D756E">
              <w:rPr>
                <w:rFonts w:ascii="Arial" w:hAnsi="Arial" w:cs="Arial"/>
                <w:sz w:val="24"/>
                <w:szCs w:val="24"/>
              </w:rPr>
              <w:t>Longevity at 60 (65 County) for future pensioners: Men</w:t>
            </w:r>
          </w:p>
          <w:p w14:paraId="56B5C67D" w14:textId="77777777" w:rsidR="005A7E20" w:rsidRPr="000D756E" w:rsidRDefault="005A7E20" w:rsidP="005A7E20">
            <w:pPr>
              <w:rPr>
                <w:rFonts w:ascii="Arial" w:hAnsi="Arial" w:cs="Arial"/>
                <w:sz w:val="24"/>
                <w:szCs w:val="24"/>
              </w:rPr>
            </w:pPr>
            <w:r w:rsidRPr="000D756E">
              <w:rPr>
                <w:rFonts w:ascii="Arial" w:hAnsi="Arial" w:cs="Arial"/>
                <w:sz w:val="24"/>
                <w:szCs w:val="24"/>
              </w:rPr>
              <w:t xml:space="preserve">                              Women</w:t>
            </w:r>
          </w:p>
          <w:p w14:paraId="168C9E73" w14:textId="77777777" w:rsidR="005A7E20" w:rsidRPr="000D756E" w:rsidRDefault="005A7E20" w:rsidP="005A7E20">
            <w:pPr>
              <w:rPr>
                <w:rFonts w:ascii="Arial" w:hAnsi="Arial" w:cs="Arial"/>
                <w:sz w:val="24"/>
                <w:szCs w:val="24"/>
              </w:rPr>
            </w:pPr>
          </w:p>
        </w:tc>
        <w:tc>
          <w:tcPr>
            <w:tcW w:w="1293" w:type="dxa"/>
            <w:tcBorders>
              <w:top w:val="single" w:sz="4" w:space="0" w:color="auto"/>
              <w:left w:val="single" w:sz="4" w:space="0" w:color="auto"/>
              <w:bottom w:val="single" w:sz="4" w:space="0" w:color="auto"/>
              <w:right w:val="single" w:sz="4" w:space="0" w:color="auto"/>
            </w:tcBorders>
          </w:tcPr>
          <w:p w14:paraId="2BA770FA" w14:textId="77777777" w:rsidR="005A7E20" w:rsidRPr="000D756E" w:rsidRDefault="005A7E20" w:rsidP="005A7E20">
            <w:pPr>
              <w:jc w:val="center"/>
              <w:rPr>
                <w:rFonts w:ascii="Arial" w:hAnsi="Arial" w:cs="Arial"/>
                <w:sz w:val="24"/>
                <w:szCs w:val="24"/>
              </w:rPr>
            </w:pPr>
          </w:p>
          <w:p w14:paraId="51A6006F" w14:textId="77777777" w:rsidR="005A7E20" w:rsidRPr="000D756E" w:rsidRDefault="005A7E20" w:rsidP="005A7E20">
            <w:pPr>
              <w:jc w:val="center"/>
              <w:rPr>
                <w:rFonts w:ascii="Arial" w:hAnsi="Arial" w:cs="Arial"/>
                <w:sz w:val="24"/>
                <w:szCs w:val="24"/>
              </w:rPr>
            </w:pPr>
          </w:p>
          <w:p w14:paraId="686B8574" w14:textId="15AA86AC" w:rsidR="005A7E20" w:rsidRPr="000D756E" w:rsidRDefault="00B6545D" w:rsidP="00B6545D">
            <w:pPr>
              <w:jc w:val="center"/>
              <w:rPr>
                <w:rFonts w:ascii="Arial" w:hAnsi="Arial" w:cs="Arial"/>
                <w:sz w:val="24"/>
                <w:szCs w:val="24"/>
              </w:rPr>
            </w:pPr>
            <w:r>
              <w:rPr>
                <w:rFonts w:ascii="Arial" w:hAnsi="Arial" w:cs="Arial"/>
                <w:sz w:val="24"/>
                <w:szCs w:val="24"/>
              </w:rPr>
              <w:t>21.8</w:t>
            </w:r>
            <w:r w:rsidR="005A7E20" w:rsidRPr="000D756E">
              <w:rPr>
                <w:rFonts w:ascii="Arial" w:hAnsi="Arial" w:cs="Arial"/>
                <w:sz w:val="24"/>
                <w:szCs w:val="24"/>
              </w:rPr>
              <w:t>yrs</w:t>
            </w:r>
          </w:p>
          <w:p w14:paraId="7FEB98E4" w14:textId="51B3F840" w:rsidR="005A7E20" w:rsidRPr="000D756E" w:rsidRDefault="00B6545D" w:rsidP="005A7E20">
            <w:pPr>
              <w:jc w:val="center"/>
              <w:rPr>
                <w:rFonts w:ascii="Arial" w:hAnsi="Arial" w:cs="Arial"/>
                <w:sz w:val="24"/>
                <w:szCs w:val="24"/>
              </w:rPr>
            </w:pPr>
            <w:r>
              <w:rPr>
                <w:rFonts w:ascii="Arial" w:hAnsi="Arial" w:cs="Arial"/>
                <w:sz w:val="24"/>
                <w:szCs w:val="24"/>
              </w:rPr>
              <w:t>24.3</w:t>
            </w:r>
            <w:r w:rsidR="005A7E20" w:rsidRPr="000D756E">
              <w:rPr>
                <w:rFonts w:ascii="Arial" w:hAnsi="Arial" w:cs="Arial"/>
                <w:sz w:val="24"/>
                <w:szCs w:val="24"/>
              </w:rPr>
              <w:t>yrs</w:t>
            </w:r>
          </w:p>
        </w:tc>
        <w:tc>
          <w:tcPr>
            <w:tcW w:w="1422" w:type="dxa"/>
            <w:tcBorders>
              <w:top w:val="single" w:sz="4" w:space="0" w:color="auto"/>
              <w:left w:val="single" w:sz="4" w:space="0" w:color="auto"/>
              <w:bottom w:val="single" w:sz="4" w:space="0" w:color="auto"/>
              <w:right w:val="single" w:sz="4" w:space="0" w:color="auto"/>
            </w:tcBorders>
          </w:tcPr>
          <w:p w14:paraId="0FCA9CD8" w14:textId="77777777" w:rsidR="005A7E20" w:rsidRPr="000D756E" w:rsidRDefault="005A7E20" w:rsidP="005A7E20">
            <w:pPr>
              <w:jc w:val="center"/>
              <w:rPr>
                <w:rFonts w:ascii="Arial" w:hAnsi="Arial" w:cs="Arial"/>
                <w:sz w:val="24"/>
                <w:szCs w:val="24"/>
              </w:rPr>
            </w:pPr>
          </w:p>
          <w:p w14:paraId="6AEFC656" w14:textId="77777777" w:rsidR="005A7E20" w:rsidRPr="000D756E" w:rsidRDefault="005A7E20" w:rsidP="005A7E20">
            <w:pPr>
              <w:jc w:val="center"/>
              <w:rPr>
                <w:rFonts w:ascii="Arial" w:hAnsi="Arial" w:cs="Arial"/>
                <w:sz w:val="24"/>
                <w:szCs w:val="24"/>
              </w:rPr>
            </w:pPr>
          </w:p>
          <w:p w14:paraId="0B98B01B" w14:textId="77777777" w:rsidR="005A7E20" w:rsidRPr="000D756E" w:rsidRDefault="005A7E20" w:rsidP="005A7E20">
            <w:pPr>
              <w:jc w:val="center"/>
              <w:rPr>
                <w:rFonts w:ascii="Arial" w:hAnsi="Arial" w:cs="Arial"/>
                <w:sz w:val="24"/>
                <w:szCs w:val="24"/>
              </w:rPr>
            </w:pPr>
            <w:r w:rsidRPr="000D756E">
              <w:rPr>
                <w:rFonts w:ascii="Arial" w:hAnsi="Arial" w:cs="Arial"/>
                <w:sz w:val="24"/>
                <w:szCs w:val="24"/>
              </w:rPr>
              <w:t>23.1yrs</w:t>
            </w:r>
          </w:p>
          <w:p w14:paraId="0667922E" w14:textId="7BA8ADC8" w:rsidR="005A7E20" w:rsidRPr="000D756E" w:rsidRDefault="005A7E20" w:rsidP="005A7E20">
            <w:pPr>
              <w:jc w:val="center"/>
              <w:rPr>
                <w:rFonts w:ascii="Arial" w:hAnsi="Arial" w:cs="Arial"/>
                <w:sz w:val="24"/>
                <w:szCs w:val="24"/>
              </w:rPr>
            </w:pPr>
            <w:r w:rsidRPr="000D756E">
              <w:rPr>
                <w:rFonts w:ascii="Arial" w:hAnsi="Arial" w:cs="Arial"/>
                <w:sz w:val="24"/>
                <w:szCs w:val="24"/>
              </w:rPr>
              <w:t>26.0yrs</w:t>
            </w:r>
          </w:p>
        </w:tc>
        <w:tc>
          <w:tcPr>
            <w:tcW w:w="1250" w:type="dxa"/>
            <w:tcBorders>
              <w:top w:val="single" w:sz="4" w:space="0" w:color="auto"/>
              <w:left w:val="single" w:sz="4" w:space="0" w:color="auto"/>
              <w:bottom w:val="single" w:sz="4" w:space="0" w:color="auto"/>
              <w:right w:val="single" w:sz="4" w:space="0" w:color="auto"/>
            </w:tcBorders>
          </w:tcPr>
          <w:p w14:paraId="4E5FABB4" w14:textId="77777777" w:rsidR="005A7E20" w:rsidRPr="000D756E" w:rsidRDefault="005A7E20" w:rsidP="005A7E20">
            <w:pPr>
              <w:jc w:val="center"/>
              <w:rPr>
                <w:rFonts w:ascii="Arial" w:hAnsi="Arial" w:cs="Arial"/>
                <w:sz w:val="24"/>
                <w:szCs w:val="24"/>
              </w:rPr>
            </w:pPr>
          </w:p>
          <w:p w14:paraId="474AECAF" w14:textId="77777777" w:rsidR="005A7E20" w:rsidRPr="000D756E" w:rsidRDefault="005A7E20" w:rsidP="005A7E20">
            <w:pPr>
              <w:jc w:val="center"/>
              <w:rPr>
                <w:rFonts w:ascii="Arial" w:hAnsi="Arial" w:cs="Arial"/>
                <w:sz w:val="24"/>
                <w:szCs w:val="24"/>
              </w:rPr>
            </w:pPr>
          </w:p>
          <w:p w14:paraId="2066DCAE" w14:textId="549E8BA4" w:rsidR="005A7E20" w:rsidRPr="000D756E" w:rsidRDefault="00B6545D" w:rsidP="005A7E20">
            <w:pPr>
              <w:jc w:val="center"/>
              <w:rPr>
                <w:rFonts w:ascii="Arial" w:hAnsi="Arial" w:cs="Arial"/>
                <w:sz w:val="24"/>
                <w:szCs w:val="24"/>
              </w:rPr>
            </w:pPr>
            <w:r>
              <w:rPr>
                <w:rFonts w:ascii="Arial" w:hAnsi="Arial" w:cs="Arial"/>
                <w:sz w:val="24"/>
                <w:szCs w:val="24"/>
              </w:rPr>
              <w:t>27.3</w:t>
            </w:r>
            <w:r w:rsidR="005A7E20" w:rsidRPr="000D756E">
              <w:rPr>
                <w:rFonts w:ascii="Arial" w:hAnsi="Arial" w:cs="Arial"/>
                <w:sz w:val="24"/>
                <w:szCs w:val="24"/>
              </w:rPr>
              <w:t>yrs</w:t>
            </w:r>
          </w:p>
          <w:p w14:paraId="252CB04A" w14:textId="2D55B294" w:rsidR="005A7E20" w:rsidRPr="000D756E" w:rsidRDefault="00B6545D" w:rsidP="005A7E20">
            <w:pPr>
              <w:jc w:val="center"/>
              <w:rPr>
                <w:rFonts w:ascii="Arial" w:hAnsi="Arial" w:cs="Arial"/>
                <w:sz w:val="24"/>
                <w:szCs w:val="24"/>
              </w:rPr>
            </w:pPr>
            <w:r>
              <w:rPr>
                <w:rFonts w:ascii="Arial" w:hAnsi="Arial" w:cs="Arial"/>
                <w:sz w:val="24"/>
                <w:szCs w:val="24"/>
              </w:rPr>
              <w:t>27.3</w:t>
            </w:r>
            <w:r w:rsidR="005A7E20" w:rsidRPr="000D756E">
              <w:rPr>
                <w:rFonts w:ascii="Arial" w:hAnsi="Arial" w:cs="Arial"/>
                <w:sz w:val="24"/>
                <w:szCs w:val="24"/>
              </w:rPr>
              <w:t>yrs</w:t>
            </w:r>
          </w:p>
        </w:tc>
        <w:tc>
          <w:tcPr>
            <w:tcW w:w="1305" w:type="dxa"/>
            <w:tcBorders>
              <w:top w:val="single" w:sz="4" w:space="0" w:color="auto"/>
              <w:left w:val="single" w:sz="4" w:space="0" w:color="auto"/>
              <w:bottom w:val="single" w:sz="4" w:space="0" w:color="auto"/>
              <w:right w:val="single" w:sz="4" w:space="0" w:color="auto"/>
            </w:tcBorders>
          </w:tcPr>
          <w:p w14:paraId="08CA8688" w14:textId="77777777" w:rsidR="005A7E20" w:rsidRPr="000D756E" w:rsidRDefault="005A7E20" w:rsidP="005A7E20">
            <w:pPr>
              <w:jc w:val="center"/>
              <w:rPr>
                <w:rFonts w:ascii="Arial" w:hAnsi="Arial" w:cs="Arial"/>
                <w:sz w:val="24"/>
                <w:szCs w:val="24"/>
              </w:rPr>
            </w:pPr>
          </w:p>
          <w:p w14:paraId="5C97BB3D" w14:textId="77777777" w:rsidR="005A7E20" w:rsidRPr="000D756E" w:rsidRDefault="005A7E20" w:rsidP="005A7E20">
            <w:pPr>
              <w:jc w:val="center"/>
              <w:rPr>
                <w:rFonts w:ascii="Arial" w:hAnsi="Arial" w:cs="Arial"/>
                <w:sz w:val="24"/>
                <w:szCs w:val="24"/>
              </w:rPr>
            </w:pPr>
          </w:p>
          <w:p w14:paraId="43F6F6F7" w14:textId="77777777" w:rsidR="005A7E20" w:rsidRPr="000D756E" w:rsidRDefault="005A7E20" w:rsidP="005A7E20">
            <w:pPr>
              <w:jc w:val="center"/>
              <w:rPr>
                <w:rFonts w:ascii="Arial" w:hAnsi="Arial" w:cs="Arial"/>
                <w:sz w:val="24"/>
                <w:szCs w:val="24"/>
              </w:rPr>
            </w:pPr>
            <w:r w:rsidRPr="000D756E">
              <w:rPr>
                <w:rFonts w:ascii="Arial" w:hAnsi="Arial" w:cs="Arial"/>
                <w:sz w:val="24"/>
                <w:szCs w:val="24"/>
              </w:rPr>
              <w:t>27.3yrs</w:t>
            </w:r>
          </w:p>
          <w:p w14:paraId="4F9C1494" w14:textId="746D3978" w:rsidR="005A7E20" w:rsidRPr="000D756E" w:rsidRDefault="005A7E20" w:rsidP="005A7E20">
            <w:pPr>
              <w:jc w:val="center"/>
              <w:rPr>
                <w:rFonts w:ascii="Arial" w:hAnsi="Arial" w:cs="Arial"/>
                <w:sz w:val="24"/>
                <w:szCs w:val="24"/>
              </w:rPr>
            </w:pPr>
            <w:r w:rsidRPr="000D756E">
              <w:rPr>
                <w:rFonts w:ascii="Arial" w:hAnsi="Arial" w:cs="Arial"/>
                <w:sz w:val="24"/>
                <w:szCs w:val="24"/>
              </w:rPr>
              <w:t>27.3yrs</w:t>
            </w:r>
          </w:p>
        </w:tc>
      </w:tr>
      <w:tr w:rsidR="005A7E20" w:rsidRPr="000D756E" w14:paraId="27B68CA3" w14:textId="77777777" w:rsidTr="007F11E4">
        <w:tc>
          <w:tcPr>
            <w:tcW w:w="3749" w:type="dxa"/>
            <w:tcBorders>
              <w:top w:val="single" w:sz="4" w:space="0" w:color="auto"/>
              <w:left w:val="single" w:sz="4" w:space="0" w:color="auto"/>
              <w:bottom w:val="single" w:sz="4" w:space="0" w:color="auto"/>
              <w:right w:val="single" w:sz="4" w:space="0" w:color="auto"/>
            </w:tcBorders>
          </w:tcPr>
          <w:p w14:paraId="5137767D" w14:textId="77777777" w:rsidR="005A7E20" w:rsidRPr="000D756E" w:rsidRDefault="005A7E20" w:rsidP="005A7E20">
            <w:pPr>
              <w:rPr>
                <w:rFonts w:ascii="Arial" w:hAnsi="Arial" w:cs="Arial"/>
                <w:sz w:val="24"/>
                <w:szCs w:val="24"/>
              </w:rPr>
            </w:pPr>
            <w:r w:rsidRPr="000D756E">
              <w:rPr>
                <w:rFonts w:ascii="Arial" w:hAnsi="Arial" w:cs="Arial"/>
                <w:sz w:val="24"/>
                <w:szCs w:val="24"/>
              </w:rPr>
              <w:t>Rate of inflation CPI</w:t>
            </w:r>
          </w:p>
        </w:tc>
        <w:tc>
          <w:tcPr>
            <w:tcW w:w="1293" w:type="dxa"/>
            <w:tcBorders>
              <w:top w:val="single" w:sz="4" w:space="0" w:color="auto"/>
              <w:left w:val="single" w:sz="4" w:space="0" w:color="auto"/>
              <w:bottom w:val="single" w:sz="4" w:space="0" w:color="auto"/>
              <w:right w:val="single" w:sz="4" w:space="0" w:color="auto"/>
            </w:tcBorders>
          </w:tcPr>
          <w:p w14:paraId="57C9884E" w14:textId="6F5C86C6" w:rsidR="005A7E20" w:rsidRPr="000D756E" w:rsidRDefault="00B6545D" w:rsidP="005A7E20">
            <w:pPr>
              <w:jc w:val="center"/>
              <w:rPr>
                <w:rFonts w:ascii="Arial" w:hAnsi="Arial" w:cs="Arial"/>
                <w:sz w:val="24"/>
                <w:szCs w:val="24"/>
              </w:rPr>
            </w:pPr>
            <w:r>
              <w:rPr>
                <w:rFonts w:ascii="Arial" w:hAnsi="Arial" w:cs="Arial"/>
                <w:sz w:val="24"/>
                <w:szCs w:val="24"/>
              </w:rPr>
              <w:t>2.6</w:t>
            </w:r>
            <w:r w:rsidR="005A7E20" w:rsidRPr="000D756E">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697EEB94" w14:textId="0DA5CC88" w:rsidR="005A7E20" w:rsidRPr="000D756E" w:rsidRDefault="005A7E20" w:rsidP="005A7E20">
            <w:pPr>
              <w:jc w:val="center"/>
              <w:rPr>
                <w:rFonts w:ascii="Arial" w:hAnsi="Arial" w:cs="Arial"/>
                <w:sz w:val="24"/>
                <w:szCs w:val="24"/>
              </w:rPr>
            </w:pPr>
            <w:r w:rsidRPr="000D756E">
              <w:rPr>
                <w:rFonts w:ascii="Arial" w:hAnsi="Arial" w:cs="Arial"/>
                <w:sz w:val="24"/>
                <w:szCs w:val="24"/>
              </w:rPr>
              <w:t>2.6%</w:t>
            </w:r>
          </w:p>
        </w:tc>
        <w:tc>
          <w:tcPr>
            <w:tcW w:w="1250" w:type="dxa"/>
            <w:tcBorders>
              <w:top w:val="single" w:sz="4" w:space="0" w:color="auto"/>
              <w:left w:val="single" w:sz="4" w:space="0" w:color="auto"/>
              <w:bottom w:val="single" w:sz="4" w:space="0" w:color="auto"/>
              <w:right w:val="single" w:sz="4" w:space="0" w:color="auto"/>
            </w:tcBorders>
          </w:tcPr>
          <w:p w14:paraId="45208566" w14:textId="0FCF4020" w:rsidR="005A7E20" w:rsidRPr="000D756E" w:rsidRDefault="00B6545D" w:rsidP="005A7E20">
            <w:pPr>
              <w:jc w:val="center"/>
              <w:rPr>
                <w:rFonts w:ascii="Arial" w:hAnsi="Arial" w:cs="Arial"/>
                <w:sz w:val="24"/>
                <w:szCs w:val="24"/>
              </w:rPr>
            </w:pPr>
            <w:r>
              <w:rPr>
                <w:rFonts w:ascii="Arial" w:hAnsi="Arial" w:cs="Arial"/>
                <w:sz w:val="24"/>
                <w:szCs w:val="24"/>
              </w:rPr>
              <w:t>2.6</w:t>
            </w:r>
            <w:r w:rsidR="005A7E20" w:rsidRPr="000D756E">
              <w:rPr>
                <w:rFonts w:ascii="Arial" w:hAnsi="Arial" w:cs="Arial"/>
                <w:sz w:val="24"/>
                <w:szCs w:val="24"/>
              </w:rPr>
              <w:t>%</w:t>
            </w:r>
          </w:p>
        </w:tc>
        <w:tc>
          <w:tcPr>
            <w:tcW w:w="1305" w:type="dxa"/>
            <w:tcBorders>
              <w:top w:val="single" w:sz="4" w:space="0" w:color="auto"/>
              <w:left w:val="single" w:sz="4" w:space="0" w:color="auto"/>
              <w:bottom w:val="single" w:sz="4" w:space="0" w:color="auto"/>
              <w:right w:val="single" w:sz="4" w:space="0" w:color="auto"/>
            </w:tcBorders>
          </w:tcPr>
          <w:p w14:paraId="0BAA84D5" w14:textId="20CD87B8" w:rsidR="005A7E20" w:rsidRPr="000D756E" w:rsidRDefault="005A7E20" w:rsidP="005A7E20">
            <w:pPr>
              <w:jc w:val="center"/>
              <w:rPr>
                <w:rFonts w:ascii="Arial" w:hAnsi="Arial" w:cs="Arial"/>
                <w:sz w:val="24"/>
                <w:szCs w:val="24"/>
              </w:rPr>
            </w:pPr>
            <w:r w:rsidRPr="000D756E">
              <w:rPr>
                <w:rFonts w:ascii="Arial" w:hAnsi="Arial" w:cs="Arial"/>
                <w:sz w:val="24"/>
                <w:szCs w:val="24"/>
              </w:rPr>
              <w:t>2.7%</w:t>
            </w:r>
          </w:p>
        </w:tc>
      </w:tr>
      <w:tr w:rsidR="005A7E20" w:rsidRPr="000D756E" w14:paraId="4C0602D0" w14:textId="77777777" w:rsidTr="007F11E4">
        <w:tc>
          <w:tcPr>
            <w:tcW w:w="3749" w:type="dxa"/>
            <w:tcBorders>
              <w:top w:val="single" w:sz="4" w:space="0" w:color="auto"/>
              <w:left w:val="single" w:sz="4" w:space="0" w:color="auto"/>
              <w:bottom w:val="single" w:sz="4" w:space="0" w:color="auto"/>
              <w:right w:val="single" w:sz="4" w:space="0" w:color="auto"/>
            </w:tcBorders>
          </w:tcPr>
          <w:p w14:paraId="213E17F7" w14:textId="77777777" w:rsidR="005A7E20" w:rsidRPr="000D756E" w:rsidRDefault="005A7E20" w:rsidP="005A7E20">
            <w:pPr>
              <w:rPr>
                <w:rFonts w:ascii="Arial" w:hAnsi="Arial" w:cs="Arial"/>
                <w:sz w:val="24"/>
                <w:szCs w:val="24"/>
              </w:rPr>
            </w:pPr>
            <w:r w:rsidRPr="000D756E">
              <w:rPr>
                <w:rFonts w:ascii="Arial" w:hAnsi="Arial" w:cs="Arial"/>
                <w:sz w:val="24"/>
                <w:szCs w:val="24"/>
              </w:rPr>
              <w:t>Rate of increase in salaries - 2015</w:t>
            </w:r>
          </w:p>
        </w:tc>
        <w:tc>
          <w:tcPr>
            <w:tcW w:w="1293" w:type="dxa"/>
            <w:tcBorders>
              <w:top w:val="single" w:sz="4" w:space="0" w:color="auto"/>
              <w:left w:val="single" w:sz="4" w:space="0" w:color="auto"/>
              <w:bottom w:val="single" w:sz="4" w:space="0" w:color="auto"/>
              <w:right w:val="single" w:sz="4" w:space="0" w:color="auto"/>
            </w:tcBorders>
          </w:tcPr>
          <w:p w14:paraId="662A34E5" w14:textId="0E9D9BB5" w:rsidR="005A7E20" w:rsidRPr="000D756E" w:rsidRDefault="005A7E20" w:rsidP="005A7E20">
            <w:pPr>
              <w:jc w:val="center"/>
              <w:rPr>
                <w:rFonts w:ascii="Arial" w:hAnsi="Arial" w:cs="Arial"/>
                <w:sz w:val="24"/>
                <w:szCs w:val="24"/>
              </w:rPr>
            </w:pPr>
            <w:r w:rsidRPr="000D756E">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7C3C310B" w14:textId="312DC8B3" w:rsidR="005A7E20" w:rsidRPr="000D756E" w:rsidRDefault="005A7E20" w:rsidP="005A7E20">
            <w:pPr>
              <w:jc w:val="center"/>
              <w:rPr>
                <w:rFonts w:ascii="Arial" w:hAnsi="Arial" w:cs="Arial"/>
                <w:sz w:val="24"/>
                <w:szCs w:val="24"/>
              </w:rPr>
            </w:pPr>
            <w:r w:rsidRPr="000D756E">
              <w:rPr>
                <w:rFonts w:ascii="Arial" w:hAnsi="Arial" w:cs="Arial"/>
                <w:sz w:val="24"/>
                <w:szCs w:val="24"/>
              </w:rPr>
              <w:t>-</w:t>
            </w:r>
          </w:p>
        </w:tc>
        <w:tc>
          <w:tcPr>
            <w:tcW w:w="1250" w:type="dxa"/>
            <w:tcBorders>
              <w:top w:val="single" w:sz="4" w:space="0" w:color="auto"/>
              <w:left w:val="single" w:sz="4" w:space="0" w:color="auto"/>
              <w:bottom w:val="single" w:sz="4" w:space="0" w:color="auto"/>
              <w:right w:val="single" w:sz="4" w:space="0" w:color="auto"/>
            </w:tcBorders>
          </w:tcPr>
          <w:p w14:paraId="2C327CDE" w14:textId="371C15B1" w:rsidR="005A7E20" w:rsidRPr="000D756E" w:rsidRDefault="00B6545D" w:rsidP="005A7E20">
            <w:pPr>
              <w:jc w:val="center"/>
              <w:rPr>
                <w:rFonts w:ascii="Arial" w:hAnsi="Arial" w:cs="Arial"/>
                <w:sz w:val="24"/>
                <w:szCs w:val="24"/>
              </w:rPr>
            </w:pPr>
            <w:r>
              <w:rPr>
                <w:rFonts w:ascii="Arial" w:hAnsi="Arial" w:cs="Arial"/>
                <w:sz w:val="24"/>
                <w:szCs w:val="24"/>
              </w:rPr>
              <w:t>3.85</w:t>
            </w:r>
            <w:r w:rsidR="005A7E20" w:rsidRPr="000D756E">
              <w:rPr>
                <w:rFonts w:ascii="Arial" w:hAnsi="Arial" w:cs="Arial"/>
                <w:sz w:val="24"/>
                <w:szCs w:val="24"/>
              </w:rPr>
              <w:t>%</w:t>
            </w:r>
          </w:p>
        </w:tc>
        <w:tc>
          <w:tcPr>
            <w:tcW w:w="1305" w:type="dxa"/>
            <w:tcBorders>
              <w:top w:val="single" w:sz="4" w:space="0" w:color="auto"/>
              <w:left w:val="single" w:sz="4" w:space="0" w:color="auto"/>
              <w:bottom w:val="single" w:sz="4" w:space="0" w:color="auto"/>
              <w:right w:val="single" w:sz="4" w:space="0" w:color="auto"/>
            </w:tcBorders>
          </w:tcPr>
          <w:p w14:paraId="27ED0C85" w14:textId="2EAEF458" w:rsidR="005A7E20" w:rsidRPr="000D756E" w:rsidRDefault="005A7E20" w:rsidP="005A7E20">
            <w:pPr>
              <w:jc w:val="center"/>
              <w:rPr>
                <w:rFonts w:ascii="Arial" w:hAnsi="Arial" w:cs="Arial"/>
                <w:sz w:val="24"/>
                <w:szCs w:val="24"/>
              </w:rPr>
            </w:pPr>
            <w:r w:rsidRPr="000D756E">
              <w:rPr>
                <w:rFonts w:ascii="Arial" w:hAnsi="Arial" w:cs="Arial"/>
                <w:sz w:val="24"/>
                <w:szCs w:val="24"/>
              </w:rPr>
              <w:t>3.95%</w:t>
            </w:r>
          </w:p>
        </w:tc>
      </w:tr>
      <w:tr w:rsidR="005A7E20" w:rsidRPr="000D756E" w14:paraId="4B830B7E" w14:textId="77777777" w:rsidTr="007F11E4">
        <w:tc>
          <w:tcPr>
            <w:tcW w:w="3749" w:type="dxa"/>
            <w:tcBorders>
              <w:top w:val="single" w:sz="4" w:space="0" w:color="auto"/>
              <w:left w:val="single" w:sz="4" w:space="0" w:color="auto"/>
              <w:bottom w:val="single" w:sz="4" w:space="0" w:color="auto"/>
              <w:right w:val="single" w:sz="4" w:space="0" w:color="auto"/>
            </w:tcBorders>
          </w:tcPr>
          <w:p w14:paraId="1DA6BDC1" w14:textId="77777777" w:rsidR="005A7E20" w:rsidRPr="000D756E" w:rsidRDefault="005A7E20" w:rsidP="005A7E20">
            <w:pPr>
              <w:rPr>
                <w:rFonts w:ascii="Arial" w:hAnsi="Arial" w:cs="Arial"/>
                <w:sz w:val="24"/>
                <w:szCs w:val="24"/>
              </w:rPr>
            </w:pPr>
            <w:r w:rsidRPr="000D756E">
              <w:rPr>
                <w:rFonts w:ascii="Arial" w:hAnsi="Arial" w:cs="Arial"/>
                <w:sz w:val="24"/>
                <w:szCs w:val="24"/>
              </w:rPr>
              <w:t>Rate of increase in salaries - other</w:t>
            </w:r>
          </w:p>
        </w:tc>
        <w:tc>
          <w:tcPr>
            <w:tcW w:w="1293" w:type="dxa"/>
            <w:tcBorders>
              <w:top w:val="single" w:sz="4" w:space="0" w:color="auto"/>
              <w:left w:val="single" w:sz="4" w:space="0" w:color="auto"/>
              <w:bottom w:val="single" w:sz="4" w:space="0" w:color="auto"/>
              <w:right w:val="single" w:sz="4" w:space="0" w:color="auto"/>
            </w:tcBorders>
          </w:tcPr>
          <w:p w14:paraId="20CA66F0" w14:textId="11F1A239" w:rsidR="005A7E20" w:rsidRPr="000D756E" w:rsidRDefault="00B6545D" w:rsidP="005A7E20">
            <w:pPr>
              <w:jc w:val="center"/>
              <w:rPr>
                <w:rFonts w:ascii="Arial" w:hAnsi="Arial" w:cs="Arial"/>
                <w:sz w:val="24"/>
                <w:szCs w:val="24"/>
              </w:rPr>
            </w:pPr>
            <w:r>
              <w:rPr>
                <w:rFonts w:ascii="Arial" w:hAnsi="Arial" w:cs="Arial"/>
                <w:sz w:val="24"/>
                <w:szCs w:val="24"/>
              </w:rPr>
              <w:t>3.85</w:t>
            </w:r>
            <w:r w:rsidR="005A7E20" w:rsidRPr="000D756E">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0FDBC627" w14:textId="7A472205" w:rsidR="005A7E20" w:rsidRPr="000D756E" w:rsidRDefault="005A7E20" w:rsidP="005A7E20">
            <w:pPr>
              <w:jc w:val="center"/>
              <w:rPr>
                <w:rFonts w:ascii="Arial" w:hAnsi="Arial" w:cs="Arial"/>
                <w:sz w:val="24"/>
                <w:szCs w:val="24"/>
              </w:rPr>
            </w:pPr>
            <w:r w:rsidRPr="000D756E">
              <w:rPr>
                <w:rFonts w:ascii="Arial" w:hAnsi="Arial" w:cs="Arial"/>
                <w:sz w:val="24"/>
                <w:szCs w:val="24"/>
              </w:rPr>
              <w:t>3.85%</w:t>
            </w:r>
          </w:p>
        </w:tc>
        <w:tc>
          <w:tcPr>
            <w:tcW w:w="1250" w:type="dxa"/>
            <w:tcBorders>
              <w:top w:val="single" w:sz="4" w:space="0" w:color="auto"/>
              <w:left w:val="single" w:sz="4" w:space="0" w:color="auto"/>
              <w:bottom w:val="single" w:sz="4" w:space="0" w:color="auto"/>
              <w:right w:val="single" w:sz="4" w:space="0" w:color="auto"/>
            </w:tcBorders>
          </w:tcPr>
          <w:p w14:paraId="7D4D8C26" w14:textId="2B7E90B4" w:rsidR="005A7E20" w:rsidRPr="000D756E" w:rsidRDefault="00B6545D" w:rsidP="005A7E20">
            <w:pPr>
              <w:jc w:val="center"/>
              <w:rPr>
                <w:rFonts w:ascii="Arial" w:hAnsi="Arial" w:cs="Arial"/>
                <w:sz w:val="24"/>
                <w:szCs w:val="24"/>
              </w:rPr>
            </w:pPr>
            <w:r>
              <w:rPr>
                <w:rFonts w:ascii="Arial" w:hAnsi="Arial" w:cs="Arial"/>
                <w:sz w:val="24"/>
                <w:szCs w:val="24"/>
              </w:rPr>
              <w:t>4.1</w:t>
            </w:r>
            <w:r w:rsidR="005A7E20" w:rsidRPr="000D756E">
              <w:rPr>
                <w:rFonts w:ascii="Arial" w:hAnsi="Arial" w:cs="Arial"/>
                <w:sz w:val="24"/>
                <w:szCs w:val="24"/>
              </w:rPr>
              <w:t>%</w:t>
            </w:r>
          </w:p>
        </w:tc>
        <w:tc>
          <w:tcPr>
            <w:tcW w:w="1305" w:type="dxa"/>
            <w:tcBorders>
              <w:top w:val="single" w:sz="4" w:space="0" w:color="auto"/>
              <w:left w:val="single" w:sz="4" w:space="0" w:color="auto"/>
              <w:bottom w:val="single" w:sz="4" w:space="0" w:color="auto"/>
              <w:right w:val="single" w:sz="4" w:space="0" w:color="auto"/>
            </w:tcBorders>
          </w:tcPr>
          <w:p w14:paraId="230680AC" w14:textId="2CBB23EB" w:rsidR="005A7E20" w:rsidRPr="000D756E" w:rsidRDefault="005A7E20" w:rsidP="005A7E20">
            <w:pPr>
              <w:jc w:val="center"/>
              <w:rPr>
                <w:rFonts w:ascii="Arial" w:hAnsi="Arial" w:cs="Arial"/>
                <w:sz w:val="24"/>
                <w:szCs w:val="24"/>
              </w:rPr>
            </w:pPr>
            <w:r w:rsidRPr="000D756E">
              <w:rPr>
                <w:rFonts w:ascii="Arial" w:hAnsi="Arial" w:cs="Arial"/>
                <w:sz w:val="24"/>
                <w:szCs w:val="24"/>
              </w:rPr>
              <w:t>4.2%</w:t>
            </w:r>
          </w:p>
        </w:tc>
      </w:tr>
      <w:tr w:rsidR="005A7E20" w:rsidRPr="000D756E" w14:paraId="4E0DAF81" w14:textId="77777777" w:rsidTr="007F11E4">
        <w:tc>
          <w:tcPr>
            <w:tcW w:w="3749" w:type="dxa"/>
            <w:tcBorders>
              <w:top w:val="single" w:sz="4" w:space="0" w:color="auto"/>
              <w:left w:val="single" w:sz="4" w:space="0" w:color="auto"/>
              <w:bottom w:val="single" w:sz="4" w:space="0" w:color="auto"/>
              <w:right w:val="single" w:sz="4" w:space="0" w:color="auto"/>
            </w:tcBorders>
          </w:tcPr>
          <w:p w14:paraId="7D5CC5C6" w14:textId="77777777" w:rsidR="005A7E20" w:rsidRPr="000D756E" w:rsidRDefault="005A7E20" w:rsidP="005A7E20">
            <w:pPr>
              <w:rPr>
                <w:rFonts w:ascii="Arial" w:hAnsi="Arial" w:cs="Arial"/>
                <w:sz w:val="24"/>
                <w:szCs w:val="24"/>
              </w:rPr>
            </w:pPr>
            <w:r w:rsidRPr="000D756E">
              <w:rPr>
                <w:rFonts w:ascii="Arial" w:hAnsi="Arial" w:cs="Arial"/>
                <w:sz w:val="24"/>
                <w:szCs w:val="24"/>
              </w:rPr>
              <w:t>Rate of increase in pensions</w:t>
            </w:r>
          </w:p>
        </w:tc>
        <w:tc>
          <w:tcPr>
            <w:tcW w:w="1293" w:type="dxa"/>
            <w:tcBorders>
              <w:top w:val="single" w:sz="4" w:space="0" w:color="auto"/>
              <w:left w:val="single" w:sz="4" w:space="0" w:color="auto"/>
              <w:bottom w:val="single" w:sz="4" w:space="0" w:color="auto"/>
              <w:right w:val="single" w:sz="4" w:space="0" w:color="auto"/>
            </w:tcBorders>
          </w:tcPr>
          <w:p w14:paraId="6B1C376F" w14:textId="194B0F77" w:rsidR="005A7E20" w:rsidRPr="000D756E" w:rsidRDefault="00B6545D" w:rsidP="005A7E20">
            <w:pPr>
              <w:jc w:val="center"/>
              <w:rPr>
                <w:rFonts w:ascii="Arial" w:hAnsi="Arial" w:cs="Arial"/>
                <w:sz w:val="24"/>
                <w:szCs w:val="24"/>
              </w:rPr>
            </w:pPr>
            <w:r>
              <w:rPr>
                <w:rFonts w:ascii="Arial" w:hAnsi="Arial" w:cs="Arial"/>
                <w:sz w:val="24"/>
                <w:szCs w:val="24"/>
              </w:rPr>
              <w:t>2.7</w:t>
            </w:r>
            <w:r w:rsidR="005A7E20" w:rsidRPr="000D756E">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34879CEE" w14:textId="5D4F25D6" w:rsidR="005A7E20" w:rsidRPr="000D756E" w:rsidRDefault="005A7E20" w:rsidP="005A7E20">
            <w:pPr>
              <w:jc w:val="center"/>
              <w:rPr>
                <w:rFonts w:ascii="Arial" w:hAnsi="Arial" w:cs="Arial"/>
                <w:sz w:val="24"/>
                <w:szCs w:val="24"/>
              </w:rPr>
            </w:pPr>
            <w:r w:rsidRPr="000D756E">
              <w:rPr>
                <w:rFonts w:ascii="Arial" w:hAnsi="Arial" w:cs="Arial"/>
                <w:sz w:val="24"/>
                <w:szCs w:val="24"/>
              </w:rPr>
              <w:t>2.7%</w:t>
            </w:r>
          </w:p>
        </w:tc>
        <w:tc>
          <w:tcPr>
            <w:tcW w:w="1250" w:type="dxa"/>
            <w:tcBorders>
              <w:top w:val="single" w:sz="4" w:space="0" w:color="auto"/>
              <w:left w:val="single" w:sz="4" w:space="0" w:color="auto"/>
              <w:bottom w:val="single" w:sz="4" w:space="0" w:color="auto"/>
              <w:right w:val="single" w:sz="4" w:space="0" w:color="auto"/>
            </w:tcBorders>
          </w:tcPr>
          <w:p w14:paraId="519C16D3" w14:textId="740A50D2" w:rsidR="005A7E20" w:rsidRPr="000D756E" w:rsidRDefault="00B6545D" w:rsidP="005A7E20">
            <w:pPr>
              <w:jc w:val="center"/>
              <w:rPr>
                <w:rFonts w:ascii="Arial" w:hAnsi="Arial" w:cs="Arial"/>
                <w:sz w:val="24"/>
                <w:szCs w:val="24"/>
              </w:rPr>
            </w:pPr>
            <w:r>
              <w:rPr>
                <w:rFonts w:ascii="Arial" w:hAnsi="Arial" w:cs="Arial"/>
                <w:sz w:val="24"/>
                <w:szCs w:val="24"/>
              </w:rPr>
              <w:t>2.7</w:t>
            </w:r>
            <w:r w:rsidR="005A7E20" w:rsidRPr="000D756E">
              <w:rPr>
                <w:rFonts w:ascii="Arial" w:hAnsi="Arial" w:cs="Arial"/>
                <w:sz w:val="24"/>
                <w:szCs w:val="24"/>
              </w:rPr>
              <w:t>%</w:t>
            </w:r>
          </w:p>
        </w:tc>
        <w:tc>
          <w:tcPr>
            <w:tcW w:w="1305" w:type="dxa"/>
            <w:tcBorders>
              <w:top w:val="single" w:sz="4" w:space="0" w:color="auto"/>
              <w:left w:val="single" w:sz="4" w:space="0" w:color="auto"/>
              <w:bottom w:val="single" w:sz="4" w:space="0" w:color="auto"/>
              <w:right w:val="single" w:sz="4" w:space="0" w:color="auto"/>
            </w:tcBorders>
          </w:tcPr>
          <w:p w14:paraId="6C24779D" w14:textId="00C2C938" w:rsidR="005A7E20" w:rsidRPr="000D756E" w:rsidRDefault="005A7E20" w:rsidP="005A7E20">
            <w:pPr>
              <w:jc w:val="center"/>
              <w:rPr>
                <w:rFonts w:ascii="Arial" w:hAnsi="Arial" w:cs="Arial"/>
                <w:sz w:val="24"/>
                <w:szCs w:val="24"/>
              </w:rPr>
            </w:pPr>
            <w:r w:rsidRPr="000D756E">
              <w:rPr>
                <w:rFonts w:ascii="Arial" w:hAnsi="Arial" w:cs="Arial"/>
                <w:sz w:val="24"/>
                <w:szCs w:val="24"/>
              </w:rPr>
              <w:t>2.8%</w:t>
            </w:r>
          </w:p>
        </w:tc>
      </w:tr>
      <w:tr w:rsidR="005A7E20" w:rsidRPr="000D756E" w14:paraId="3A96BDCC" w14:textId="77777777" w:rsidTr="007F11E4">
        <w:tc>
          <w:tcPr>
            <w:tcW w:w="3749" w:type="dxa"/>
            <w:tcBorders>
              <w:top w:val="single" w:sz="4" w:space="0" w:color="auto"/>
              <w:left w:val="single" w:sz="4" w:space="0" w:color="auto"/>
              <w:bottom w:val="single" w:sz="4" w:space="0" w:color="auto"/>
              <w:right w:val="single" w:sz="4" w:space="0" w:color="auto"/>
            </w:tcBorders>
          </w:tcPr>
          <w:p w14:paraId="7E12D03C" w14:textId="77777777" w:rsidR="005A7E20" w:rsidRPr="000D756E" w:rsidRDefault="005A7E20" w:rsidP="005A7E20">
            <w:pPr>
              <w:rPr>
                <w:rFonts w:ascii="Arial" w:hAnsi="Arial" w:cs="Arial"/>
                <w:sz w:val="24"/>
                <w:szCs w:val="24"/>
              </w:rPr>
            </w:pPr>
            <w:r w:rsidRPr="000D756E">
              <w:rPr>
                <w:rFonts w:ascii="Arial" w:hAnsi="Arial" w:cs="Arial"/>
                <w:sz w:val="24"/>
                <w:szCs w:val="24"/>
              </w:rPr>
              <w:t>Rate for discounting scheme liabilities</w:t>
            </w:r>
          </w:p>
        </w:tc>
        <w:tc>
          <w:tcPr>
            <w:tcW w:w="1293" w:type="dxa"/>
            <w:tcBorders>
              <w:top w:val="single" w:sz="4" w:space="0" w:color="auto"/>
              <w:left w:val="single" w:sz="4" w:space="0" w:color="auto"/>
              <w:bottom w:val="single" w:sz="4" w:space="0" w:color="auto"/>
              <w:right w:val="single" w:sz="4" w:space="0" w:color="auto"/>
            </w:tcBorders>
          </w:tcPr>
          <w:p w14:paraId="32CB8EF9" w14:textId="77777777" w:rsidR="005A7E20" w:rsidRPr="000D756E" w:rsidRDefault="005A7E20" w:rsidP="005A7E20">
            <w:pPr>
              <w:jc w:val="center"/>
              <w:rPr>
                <w:rFonts w:ascii="Arial" w:hAnsi="Arial" w:cs="Arial"/>
                <w:sz w:val="24"/>
                <w:szCs w:val="24"/>
              </w:rPr>
            </w:pPr>
          </w:p>
          <w:p w14:paraId="4638C5FE" w14:textId="30D0B0B6" w:rsidR="005A7E20" w:rsidRPr="000D756E" w:rsidRDefault="00B6545D" w:rsidP="005A7E20">
            <w:pPr>
              <w:jc w:val="center"/>
              <w:rPr>
                <w:rFonts w:ascii="Arial" w:hAnsi="Arial" w:cs="Arial"/>
                <w:sz w:val="24"/>
                <w:szCs w:val="24"/>
              </w:rPr>
            </w:pPr>
            <w:r>
              <w:rPr>
                <w:rFonts w:ascii="Arial" w:hAnsi="Arial" w:cs="Arial"/>
                <w:sz w:val="24"/>
                <w:szCs w:val="24"/>
              </w:rPr>
              <w:t>5.9</w:t>
            </w:r>
            <w:r w:rsidR="005A7E20" w:rsidRPr="000D756E">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72D12608" w14:textId="77777777" w:rsidR="005A7E20" w:rsidRPr="000D756E" w:rsidRDefault="005A7E20" w:rsidP="005A7E20">
            <w:pPr>
              <w:jc w:val="center"/>
              <w:rPr>
                <w:rFonts w:ascii="Arial" w:hAnsi="Arial" w:cs="Arial"/>
                <w:sz w:val="24"/>
                <w:szCs w:val="24"/>
              </w:rPr>
            </w:pPr>
          </w:p>
          <w:p w14:paraId="0FF7143D" w14:textId="5CACE2E9" w:rsidR="005A7E20" w:rsidRPr="000D756E" w:rsidRDefault="005A7E20" w:rsidP="005A7E20">
            <w:pPr>
              <w:jc w:val="center"/>
              <w:rPr>
                <w:rFonts w:ascii="Arial" w:hAnsi="Arial" w:cs="Arial"/>
                <w:sz w:val="24"/>
                <w:szCs w:val="24"/>
              </w:rPr>
            </w:pPr>
            <w:r w:rsidRPr="000D756E">
              <w:rPr>
                <w:rFonts w:ascii="Arial" w:hAnsi="Arial" w:cs="Arial"/>
                <w:sz w:val="24"/>
                <w:szCs w:val="24"/>
              </w:rPr>
              <w:t>4.9%</w:t>
            </w:r>
          </w:p>
        </w:tc>
        <w:tc>
          <w:tcPr>
            <w:tcW w:w="1250" w:type="dxa"/>
            <w:tcBorders>
              <w:top w:val="single" w:sz="4" w:space="0" w:color="auto"/>
              <w:left w:val="single" w:sz="4" w:space="0" w:color="auto"/>
              <w:bottom w:val="single" w:sz="4" w:space="0" w:color="auto"/>
              <w:right w:val="single" w:sz="4" w:space="0" w:color="auto"/>
            </w:tcBorders>
          </w:tcPr>
          <w:p w14:paraId="14D02C7F" w14:textId="77777777" w:rsidR="005A7E20" w:rsidRPr="000D756E" w:rsidRDefault="005A7E20" w:rsidP="005A7E20">
            <w:pPr>
              <w:jc w:val="center"/>
              <w:rPr>
                <w:rFonts w:ascii="Arial" w:hAnsi="Arial" w:cs="Arial"/>
                <w:sz w:val="24"/>
                <w:szCs w:val="24"/>
              </w:rPr>
            </w:pPr>
          </w:p>
          <w:p w14:paraId="1147D0CB" w14:textId="01CA5AE3" w:rsidR="005A7E20" w:rsidRPr="000D756E" w:rsidRDefault="00B6545D" w:rsidP="005A7E20">
            <w:pPr>
              <w:jc w:val="center"/>
              <w:rPr>
                <w:rFonts w:ascii="Arial" w:hAnsi="Arial" w:cs="Arial"/>
                <w:sz w:val="24"/>
                <w:szCs w:val="24"/>
              </w:rPr>
            </w:pPr>
            <w:r>
              <w:rPr>
                <w:rFonts w:ascii="Arial" w:hAnsi="Arial" w:cs="Arial"/>
                <w:sz w:val="24"/>
                <w:szCs w:val="24"/>
              </w:rPr>
              <w:t>5.8</w:t>
            </w:r>
            <w:r w:rsidR="005A7E20" w:rsidRPr="000D756E">
              <w:rPr>
                <w:rFonts w:ascii="Arial" w:hAnsi="Arial" w:cs="Arial"/>
                <w:sz w:val="24"/>
                <w:szCs w:val="24"/>
              </w:rPr>
              <w:t>%</w:t>
            </w:r>
          </w:p>
        </w:tc>
        <w:tc>
          <w:tcPr>
            <w:tcW w:w="1305" w:type="dxa"/>
            <w:tcBorders>
              <w:top w:val="single" w:sz="4" w:space="0" w:color="auto"/>
              <w:left w:val="single" w:sz="4" w:space="0" w:color="auto"/>
              <w:bottom w:val="single" w:sz="4" w:space="0" w:color="auto"/>
              <w:right w:val="single" w:sz="4" w:space="0" w:color="auto"/>
            </w:tcBorders>
          </w:tcPr>
          <w:p w14:paraId="70C85F24" w14:textId="77777777" w:rsidR="005A7E20" w:rsidRPr="000D756E" w:rsidRDefault="005A7E20" w:rsidP="005A7E20">
            <w:pPr>
              <w:jc w:val="center"/>
              <w:rPr>
                <w:rFonts w:ascii="Arial" w:hAnsi="Arial" w:cs="Arial"/>
                <w:sz w:val="24"/>
                <w:szCs w:val="24"/>
              </w:rPr>
            </w:pPr>
          </w:p>
          <w:p w14:paraId="25409B68" w14:textId="51F6E4FC" w:rsidR="005A7E20" w:rsidRPr="000D756E" w:rsidRDefault="005A7E20" w:rsidP="005A7E20">
            <w:pPr>
              <w:jc w:val="center"/>
              <w:rPr>
                <w:rFonts w:ascii="Arial" w:hAnsi="Arial" w:cs="Arial"/>
                <w:sz w:val="24"/>
                <w:szCs w:val="24"/>
              </w:rPr>
            </w:pPr>
            <w:r w:rsidRPr="000D756E">
              <w:rPr>
                <w:rFonts w:ascii="Arial" w:hAnsi="Arial" w:cs="Arial"/>
                <w:sz w:val="24"/>
                <w:szCs w:val="24"/>
              </w:rPr>
              <w:t>4.9%</w:t>
            </w:r>
          </w:p>
        </w:tc>
      </w:tr>
    </w:tbl>
    <w:p w14:paraId="43FC0CDB" w14:textId="77777777" w:rsidR="00700D5D" w:rsidRPr="000D756E" w:rsidRDefault="00700D5D" w:rsidP="002A7C01">
      <w:pPr>
        <w:rPr>
          <w:rFonts w:ascii="Arial" w:hAnsi="Arial" w:cs="Arial"/>
          <w:i/>
          <w:sz w:val="24"/>
          <w:szCs w:val="24"/>
        </w:rPr>
      </w:pPr>
    </w:p>
    <w:p w14:paraId="37860DEB" w14:textId="77777777" w:rsidR="009C0E60" w:rsidRPr="000D756E" w:rsidRDefault="00FD7E28" w:rsidP="002A7C01">
      <w:pPr>
        <w:rPr>
          <w:rFonts w:ascii="Arial" w:hAnsi="Arial" w:cs="Arial"/>
          <w:i/>
          <w:iCs/>
          <w:sz w:val="24"/>
          <w:szCs w:val="24"/>
        </w:rPr>
      </w:pPr>
      <w:r w:rsidRPr="000D756E">
        <w:rPr>
          <w:rFonts w:ascii="Arial" w:hAnsi="Arial" w:cs="Arial"/>
          <w:i/>
          <w:iCs/>
          <w:sz w:val="24"/>
          <w:szCs w:val="24"/>
        </w:rPr>
        <w:t>*Increase for 2015 scheme is the rate of revaluation of CARE pensions</w:t>
      </w:r>
    </w:p>
    <w:p w14:paraId="2CD0BA7A" w14:textId="77777777" w:rsidR="00FD7E28" w:rsidRPr="000D756E" w:rsidRDefault="00FD7E28" w:rsidP="002A7C01">
      <w:pPr>
        <w:rPr>
          <w:rFonts w:ascii="Arial" w:hAnsi="Arial" w:cs="Arial"/>
          <w:sz w:val="24"/>
          <w:szCs w:val="24"/>
        </w:rPr>
      </w:pPr>
    </w:p>
    <w:p w14:paraId="5E8EA672" w14:textId="77777777" w:rsidR="00117753" w:rsidRPr="000D756E" w:rsidRDefault="00BC543E" w:rsidP="002A7C01">
      <w:pPr>
        <w:rPr>
          <w:rFonts w:ascii="Arial" w:hAnsi="Arial" w:cs="Arial"/>
          <w:sz w:val="24"/>
          <w:szCs w:val="24"/>
        </w:rPr>
      </w:pPr>
      <w:r w:rsidRPr="000D756E">
        <w:rPr>
          <w:rFonts w:ascii="Arial" w:hAnsi="Arial" w:cs="Arial"/>
          <w:sz w:val="24"/>
          <w:szCs w:val="24"/>
        </w:rPr>
        <w:t xml:space="preserve">The estimation of the defined benefit obligation is sensitive to the actuarial assumptions set out in the table above. The sensitivity analyses below have been determined based on reasonably possible changes of the assumptions occurring at the end of the reporting period, and assumes for each change that the assumption analysed changes while all other assumptions remain constant. The assumptions in longevity, for example, assume that life expectancy increases or decreases for men and women. In practice, this is unlikely to occur, and changes in some or all of the </w:t>
      </w:r>
      <w:r w:rsidRPr="000D756E">
        <w:rPr>
          <w:rFonts w:ascii="Arial" w:hAnsi="Arial" w:cs="Arial"/>
          <w:sz w:val="24"/>
          <w:szCs w:val="24"/>
        </w:rPr>
        <w:lastRenderedPageBreak/>
        <w:t>assumptions may be interrelated. The estimations in the sensitivity analysis have followed the accounting policies for the schemes, ie on an actuarial basis using the projected unit credit method. The methods and types of assumptions used in preparing the sensitivity analysis below did not change from those used for the previous period.</w:t>
      </w:r>
    </w:p>
    <w:p w14:paraId="2194523C" w14:textId="789AE5DB" w:rsidR="001856E9" w:rsidRPr="000D756E" w:rsidRDefault="001856E9" w:rsidP="002A7C01">
      <w:pPr>
        <w:rPr>
          <w:rFonts w:ascii="Arial" w:hAnsi="Arial" w:cs="Arial"/>
          <w:sz w:val="24"/>
          <w:szCs w:val="24"/>
        </w:rPr>
      </w:pPr>
    </w:p>
    <w:p w14:paraId="52239413" w14:textId="77777777" w:rsidR="001856E9" w:rsidRPr="000D756E" w:rsidRDefault="001856E9" w:rsidP="002A7C01">
      <w:pPr>
        <w:rPr>
          <w:rFonts w:ascii="Arial" w:hAnsi="Arial" w:cs="Arial"/>
          <w:b/>
          <w:sz w:val="24"/>
          <w:szCs w:val="24"/>
        </w:rPr>
      </w:pPr>
      <w:r w:rsidRPr="000D756E">
        <w:rPr>
          <w:rFonts w:ascii="Arial" w:hAnsi="Arial" w:cs="Arial"/>
          <w:b/>
          <w:sz w:val="24"/>
          <w:szCs w:val="24"/>
        </w:rPr>
        <w:t>Impact on the Defined Benefit Obligation in the Scheme</w:t>
      </w:r>
      <w:r w:rsidR="00625018" w:rsidRPr="000D756E">
        <w:rPr>
          <w:rFonts w:ascii="Arial" w:hAnsi="Arial" w:cs="Arial"/>
          <w:b/>
          <w:sz w:val="24"/>
          <w:szCs w:val="24"/>
        </w:rPr>
        <w:t>s</w:t>
      </w:r>
    </w:p>
    <w:p w14:paraId="39F4734C" w14:textId="77777777" w:rsidR="00BC543E" w:rsidRPr="000D756E" w:rsidRDefault="00BC543E" w:rsidP="002A7C01">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560"/>
        <w:gridCol w:w="1559"/>
        <w:gridCol w:w="1559"/>
      </w:tblGrid>
      <w:tr w:rsidR="006329E6" w:rsidRPr="000D756E" w14:paraId="7374C9E5" w14:textId="77777777" w:rsidTr="00D83E21">
        <w:tc>
          <w:tcPr>
            <w:tcW w:w="3085" w:type="dxa"/>
          </w:tcPr>
          <w:p w14:paraId="71F7EEA4" w14:textId="77777777" w:rsidR="001856E9" w:rsidRPr="000D756E" w:rsidRDefault="001856E9" w:rsidP="002A7C01">
            <w:pPr>
              <w:rPr>
                <w:rFonts w:ascii="Arial" w:hAnsi="Arial" w:cs="Arial"/>
                <w:sz w:val="22"/>
                <w:szCs w:val="22"/>
              </w:rPr>
            </w:pPr>
          </w:p>
        </w:tc>
        <w:tc>
          <w:tcPr>
            <w:tcW w:w="3119" w:type="dxa"/>
            <w:gridSpan w:val="2"/>
          </w:tcPr>
          <w:p w14:paraId="4F8B0715" w14:textId="77777777" w:rsidR="00D83E21" w:rsidRPr="000D756E" w:rsidRDefault="00D83E21" w:rsidP="0004335B">
            <w:pPr>
              <w:jc w:val="center"/>
              <w:rPr>
                <w:rFonts w:ascii="Arial" w:hAnsi="Arial" w:cs="Arial"/>
                <w:b/>
                <w:sz w:val="22"/>
                <w:szCs w:val="22"/>
              </w:rPr>
            </w:pPr>
          </w:p>
          <w:p w14:paraId="239B9410" w14:textId="77777777" w:rsidR="001856E9" w:rsidRPr="000D756E" w:rsidRDefault="001856E9" w:rsidP="0004335B">
            <w:pPr>
              <w:jc w:val="center"/>
              <w:rPr>
                <w:rFonts w:ascii="Arial" w:hAnsi="Arial" w:cs="Arial"/>
                <w:b/>
                <w:sz w:val="22"/>
                <w:szCs w:val="22"/>
              </w:rPr>
            </w:pPr>
            <w:r w:rsidRPr="000D756E">
              <w:rPr>
                <w:rFonts w:ascii="Arial" w:hAnsi="Arial" w:cs="Arial"/>
                <w:b/>
                <w:sz w:val="22"/>
                <w:szCs w:val="22"/>
              </w:rPr>
              <w:t>Shropshire County Pension Fund</w:t>
            </w:r>
          </w:p>
        </w:tc>
        <w:tc>
          <w:tcPr>
            <w:tcW w:w="3118" w:type="dxa"/>
            <w:gridSpan w:val="2"/>
          </w:tcPr>
          <w:p w14:paraId="228BDEB7" w14:textId="77777777" w:rsidR="001856E9" w:rsidRPr="000D756E" w:rsidRDefault="001856E9" w:rsidP="0004335B">
            <w:pPr>
              <w:jc w:val="center"/>
              <w:rPr>
                <w:rFonts w:ascii="Arial" w:hAnsi="Arial" w:cs="Arial"/>
                <w:b/>
                <w:sz w:val="22"/>
                <w:szCs w:val="22"/>
              </w:rPr>
            </w:pPr>
          </w:p>
          <w:p w14:paraId="6AEBCF18" w14:textId="77777777" w:rsidR="001856E9" w:rsidRPr="000D756E" w:rsidRDefault="001856E9" w:rsidP="0004335B">
            <w:pPr>
              <w:jc w:val="center"/>
              <w:rPr>
                <w:rFonts w:ascii="Arial" w:hAnsi="Arial" w:cs="Arial"/>
                <w:b/>
                <w:sz w:val="22"/>
                <w:szCs w:val="22"/>
              </w:rPr>
            </w:pPr>
            <w:r w:rsidRPr="000D756E">
              <w:rPr>
                <w:rFonts w:ascii="Arial" w:hAnsi="Arial" w:cs="Arial"/>
                <w:b/>
                <w:sz w:val="22"/>
                <w:szCs w:val="22"/>
              </w:rPr>
              <w:t>Fire Pension Schemes</w:t>
            </w:r>
          </w:p>
        </w:tc>
      </w:tr>
      <w:tr w:rsidR="006329E6" w:rsidRPr="000D756E" w14:paraId="56808549" w14:textId="77777777" w:rsidTr="00D83E21">
        <w:tc>
          <w:tcPr>
            <w:tcW w:w="3085" w:type="dxa"/>
          </w:tcPr>
          <w:p w14:paraId="627251E5" w14:textId="77777777" w:rsidR="001856E9" w:rsidRPr="000D756E" w:rsidRDefault="001856E9" w:rsidP="002A7C01">
            <w:pPr>
              <w:rPr>
                <w:rFonts w:ascii="Arial" w:hAnsi="Arial" w:cs="Arial"/>
                <w:sz w:val="22"/>
                <w:szCs w:val="22"/>
              </w:rPr>
            </w:pPr>
          </w:p>
        </w:tc>
        <w:tc>
          <w:tcPr>
            <w:tcW w:w="1559" w:type="dxa"/>
          </w:tcPr>
          <w:p w14:paraId="56BCBA32" w14:textId="77777777" w:rsidR="001856E9" w:rsidRPr="000D756E" w:rsidRDefault="001856E9" w:rsidP="0004335B">
            <w:pPr>
              <w:jc w:val="right"/>
              <w:rPr>
                <w:rFonts w:ascii="Arial" w:hAnsi="Arial" w:cs="Arial"/>
                <w:b/>
                <w:sz w:val="22"/>
                <w:szCs w:val="22"/>
              </w:rPr>
            </w:pPr>
            <w:r w:rsidRPr="000D756E">
              <w:rPr>
                <w:rFonts w:ascii="Arial" w:hAnsi="Arial" w:cs="Arial"/>
                <w:b/>
                <w:sz w:val="22"/>
                <w:szCs w:val="22"/>
              </w:rPr>
              <w:t>Increase in assumption</w:t>
            </w:r>
          </w:p>
          <w:p w14:paraId="2140019C" w14:textId="77777777" w:rsidR="001856E9" w:rsidRPr="000D756E" w:rsidRDefault="001856E9" w:rsidP="0004335B">
            <w:pPr>
              <w:jc w:val="right"/>
              <w:rPr>
                <w:rFonts w:ascii="Arial" w:hAnsi="Arial" w:cs="Arial"/>
                <w:b/>
                <w:sz w:val="22"/>
                <w:szCs w:val="22"/>
              </w:rPr>
            </w:pPr>
            <w:r w:rsidRPr="000D756E">
              <w:rPr>
                <w:rFonts w:ascii="Arial" w:hAnsi="Arial" w:cs="Arial"/>
                <w:b/>
                <w:sz w:val="22"/>
                <w:szCs w:val="22"/>
              </w:rPr>
              <w:t>£’000</w:t>
            </w:r>
          </w:p>
        </w:tc>
        <w:tc>
          <w:tcPr>
            <w:tcW w:w="1560" w:type="dxa"/>
          </w:tcPr>
          <w:p w14:paraId="2F8A714C" w14:textId="77777777" w:rsidR="001856E9" w:rsidRPr="000D756E" w:rsidRDefault="001856E9" w:rsidP="0004335B">
            <w:pPr>
              <w:jc w:val="right"/>
              <w:rPr>
                <w:rFonts w:ascii="Arial" w:hAnsi="Arial" w:cs="Arial"/>
                <w:b/>
                <w:sz w:val="22"/>
                <w:szCs w:val="22"/>
              </w:rPr>
            </w:pPr>
            <w:r w:rsidRPr="000D756E">
              <w:rPr>
                <w:rFonts w:ascii="Arial" w:hAnsi="Arial" w:cs="Arial"/>
                <w:b/>
                <w:sz w:val="22"/>
                <w:szCs w:val="22"/>
              </w:rPr>
              <w:t>Decrease in assumption</w:t>
            </w:r>
          </w:p>
          <w:p w14:paraId="6D295037" w14:textId="77777777" w:rsidR="001856E9" w:rsidRPr="000D756E" w:rsidRDefault="001856E9" w:rsidP="0004335B">
            <w:pPr>
              <w:jc w:val="right"/>
              <w:rPr>
                <w:rFonts w:ascii="Arial" w:hAnsi="Arial" w:cs="Arial"/>
                <w:b/>
                <w:sz w:val="22"/>
                <w:szCs w:val="22"/>
              </w:rPr>
            </w:pPr>
            <w:r w:rsidRPr="000D756E">
              <w:rPr>
                <w:rFonts w:ascii="Arial" w:hAnsi="Arial" w:cs="Arial"/>
                <w:b/>
                <w:sz w:val="22"/>
                <w:szCs w:val="22"/>
              </w:rPr>
              <w:t>£’000</w:t>
            </w:r>
          </w:p>
        </w:tc>
        <w:tc>
          <w:tcPr>
            <w:tcW w:w="1559" w:type="dxa"/>
          </w:tcPr>
          <w:p w14:paraId="64F7457D" w14:textId="77777777" w:rsidR="001856E9" w:rsidRPr="000D756E" w:rsidRDefault="001856E9" w:rsidP="0004335B">
            <w:pPr>
              <w:jc w:val="right"/>
              <w:rPr>
                <w:rFonts w:ascii="Arial" w:hAnsi="Arial" w:cs="Arial"/>
                <w:b/>
                <w:sz w:val="22"/>
                <w:szCs w:val="22"/>
              </w:rPr>
            </w:pPr>
            <w:r w:rsidRPr="000D756E">
              <w:rPr>
                <w:rFonts w:ascii="Arial" w:hAnsi="Arial" w:cs="Arial"/>
                <w:b/>
                <w:sz w:val="22"/>
                <w:szCs w:val="22"/>
              </w:rPr>
              <w:t>Increase in assumption</w:t>
            </w:r>
          </w:p>
          <w:p w14:paraId="7D31C1D2" w14:textId="77777777" w:rsidR="001856E9" w:rsidRPr="000D756E" w:rsidRDefault="001856E9" w:rsidP="0004335B">
            <w:pPr>
              <w:jc w:val="right"/>
              <w:rPr>
                <w:rFonts w:ascii="Arial" w:hAnsi="Arial" w:cs="Arial"/>
                <w:b/>
                <w:sz w:val="22"/>
                <w:szCs w:val="22"/>
              </w:rPr>
            </w:pPr>
            <w:r w:rsidRPr="000D756E">
              <w:rPr>
                <w:rFonts w:ascii="Arial" w:hAnsi="Arial" w:cs="Arial"/>
                <w:b/>
                <w:sz w:val="22"/>
                <w:szCs w:val="22"/>
              </w:rPr>
              <w:t>£’000</w:t>
            </w:r>
          </w:p>
        </w:tc>
        <w:tc>
          <w:tcPr>
            <w:tcW w:w="1559" w:type="dxa"/>
          </w:tcPr>
          <w:p w14:paraId="78E58754" w14:textId="77777777" w:rsidR="001856E9" w:rsidRPr="000D756E" w:rsidRDefault="001856E9" w:rsidP="0004335B">
            <w:pPr>
              <w:jc w:val="right"/>
              <w:rPr>
                <w:rFonts w:ascii="Arial" w:hAnsi="Arial" w:cs="Arial"/>
                <w:b/>
                <w:sz w:val="22"/>
                <w:szCs w:val="22"/>
              </w:rPr>
            </w:pPr>
            <w:r w:rsidRPr="000D756E">
              <w:rPr>
                <w:rFonts w:ascii="Arial" w:hAnsi="Arial" w:cs="Arial"/>
                <w:b/>
                <w:sz w:val="22"/>
                <w:szCs w:val="22"/>
              </w:rPr>
              <w:t>Decrease in assumption</w:t>
            </w:r>
          </w:p>
          <w:p w14:paraId="18858D0A" w14:textId="77777777" w:rsidR="001856E9" w:rsidRPr="000D756E" w:rsidRDefault="001856E9" w:rsidP="0004335B">
            <w:pPr>
              <w:jc w:val="right"/>
              <w:rPr>
                <w:rFonts w:ascii="Arial" w:hAnsi="Arial" w:cs="Arial"/>
                <w:b/>
                <w:sz w:val="22"/>
                <w:szCs w:val="22"/>
              </w:rPr>
            </w:pPr>
            <w:r w:rsidRPr="000D756E">
              <w:rPr>
                <w:rFonts w:ascii="Arial" w:hAnsi="Arial" w:cs="Arial"/>
                <w:b/>
                <w:sz w:val="22"/>
                <w:szCs w:val="22"/>
              </w:rPr>
              <w:t>£’000</w:t>
            </w:r>
          </w:p>
        </w:tc>
      </w:tr>
      <w:tr w:rsidR="006329E6" w:rsidRPr="000D756E" w14:paraId="7F6F032C" w14:textId="77777777" w:rsidTr="009B5E70">
        <w:tc>
          <w:tcPr>
            <w:tcW w:w="3085" w:type="dxa"/>
          </w:tcPr>
          <w:p w14:paraId="1B861465" w14:textId="77777777" w:rsidR="001856E9" w:rsidRPr="000D756E" w:rsidRDefault="001856E9" w:rsidP="002A7C01">
            <w:pPr>
              <w:rPr>
                <w:rFonts w:ascii="Arial" w:hAnsi="Arial" w:cs="Arial"/>
                <w:sz w:val="22"/>
                <w:szCs w:val="22"/>
              </w:rPr>
            </w:pPr>
            <w:r w:rsidRPr="000D756E">
              <w:rPr>
                <w:rFonts w:ascii="Arial" w:hAnsi="Arial" w:cs="Arial"/>
                <w:sz w:val="22"/>
                <w:szCs w:val="22"/>
              </w:rPr>
              <w:t>Longevity (increase or decrease in one year</w:t>
            </w:r>
            <w:r w:rsidR="00100A3F" w:rsidRPr="000D756E">
              <w:rPr>
                <w:rFonts w:ascii="Arial" w:hAnsi="Arial" w:cs="Arial"/>
                <w:sz w:val="22"/>
                <w:szCs w:val="22"/>
              </w:rPr>
              <w:t>)</w:t>
            </w:r>
          </w:p>
        </w:tc>
        <w:tc>
          <w:tcPr>
            <w:tcW w:w="1559" w:type="dxa"/>
            <w:vAlign w:val="center"/>
          </w:tcPr>
          <w:p w14:paraId="01C91620" w14:textId="32C138F7" w:rsidR="001856E9" w:rsidRPr="000D756E" w:rsidRDefault="00794D6B" w:rsidP="0004335B">
            <w:pPr>
              <w:jc w:val="right"/>
              <w:rPr>
                <w:rFonts w:ascii="Arial" w:hAnsi="Arial" w:cs="Arial"/>
                <w:sz w:val="22"/>
                <w:szCs w:val="22"/>
              </w:rPr>
            </w:pPr>
            <w:r>
              <w:rPr>
                <w:rFonts w:ascii="Arial" w:hAnsi="Arial" w:cs="Arial"/>
                <w:sz w:val="22"/>
                <w:szCs w:val="22"/>
              </w:rPr>
              <w:t>368</w:t>
            </w:r>
          </w:p>
        </w:tc>
        <w:tc>
          <w:tcPr>
            <w:tcW w:w="1560" w:type="dxa"/>
            <w:vAlign w:val="center"/>
          </w:tcPr>
          <w:p w14:paraId="1A627C47" w14:textId="0E2A04BA" w:rsidR="001856E9" w:rsidRPr="000D756E" w:rsidRDefault="00794D6B" w:rsidP="0004335B">
            <w:pPr>
              <w:jc w:val="right"/>
              <w:rPr>
                <w:rFonts w:ascii="Arial" w:hAnsi="Arial" w:cs="Arial"/>
                <w:sz w:val="22"/>
                <w:szCs w:val="22"/>
              </w:rPr>
            </w:pPr>
            <w:r>
              <w:rPr>
                <w:rFonts w:ascii="Arial" w:hAnsi="Arial" w:cs="Arial"/>
                <w:sz w:val="22"/>
                <w:szCs w:val="22"/>
              </w:rPr>
              <w:t>-368</w:t>
            </w:r>
          </w:p>
        </w:tc>
        <w:tc>
          <w:tcPr>
            <w:tcW w:w="1559" w:type="dxa"/>
            <w:vAlign w:val="center"/>
          </w:tcPr>
          <w:p w14:paraId="4F46818B" w14:textId="4DDBC40B" w:rsidR="001856E9" w:rsidRPr="000D756E" w:rsidRDefault="00794D6B" w:rsidP="0004335B">
            <w:pPr>
              <w:jc w:val="right"/>
              <w:rPr>
                <w:rFonts w:ascii="Arial" w:hAnsi="Arial" w:cs="Arial"/>
                <w:sz w:val="22"/>
                <w:szCs w:val="22"/>
              </w:rPr>
            </w:pPr>
            <w:r>
              <w:rPr>
                <w:rFonts w:ascii="Arial" w:hAnsi="Arial" w:cs="Arial"/>
                <w:sz w:val="22"/>
                <w:szCs w:val="22"/>
              </w:rPr>
              <w:t>3,090</w:t>
            </w:r>
          </w:p>
        </w:tc>
        <w:tc>
          <w:tcPr>
            <w:tcW w:w="1559" w:type="dxa"/>
            <w:vAlign w:val="center"/>
          </w:tcPr>
          <w:p w14:paraId="5EE4827E" w14:textId="55A510BE" w:rsidR="001856E9" w:rsidRPr="000D756E" w:rsidRDefault="00794D6B" w:rsidP="0004335B">
            <w:pPr>
              <w:jc w:val="right"/>
              <w:rPr>
                <w:rFonts w:ascii="Arial" w:hAnsi="Arial" w:cs="Arial"/>
                <w:sz w:val="22"/>
                <w:szCs w:val="22"/>
              </w:rPr>
            </w:pPr>
            <w:r>
              <w:rPr>
                <w:rFonts w:ascii="Arial" w:hAnsi="Arial" w:cs="Arial"/>
                <w:sz w:val="22"/>
                <w:szCs w:val="22"/>
              </w:rPr>
              <w:t>-3,090</w:t>
            </w:r>
          </w:p>
        </w:tc>
      </w:tr>
      <w:tr w:rsidR="006329E6" w:rsidRPr="000D756E" w14:paraId="081647E8" w14:textId="77777777" w:rsidTr="009B5E70">
        <w:tc>
          <w:tcPr>
            <w:tcW w:w="3085" w:type="dxa"/>
          </w:tcPr>
          <w:p w14:paraId="60D9A24C" w14:textId="0DB86ED4" w:rsidR="001856E9" w:rsidRPr="000D756E" w:rsidRDefault="001856E9" w:rsidP="002A7C01">
            <w:pPr>
              <w:rPr>
                <w:rFonts w:ascii="Arial" w:hAnsi="Arial" w:cs="Arial"/>
                <w:sz w:val="22"/>
                <w:szCs w:val="22"/>
              </w:rPr>
            </w:pPr>
            <w:r w:rsidRPr="000D756E">
              <w:rPr>
                <w:rFonts w:ascii="Arial" w:hAnsi="Arial" w:cs="Arial"/>
                <w:sz w:val="22"/>
                <w:szCs w:val="22"/>
              </w:rPr>
              <w:t>Rate of inflation (increase or decrease by</w:t>
            </w:r>
            <w:r w:rsidR="001F1635" w:rsidRPr="000D756E">
              <w:rPr>
                <w:rFonts w:ascii="Arial" w:hAnsi="Arial" w:cs="Arial"/>
                <w:sz w:val="22"/>
                <w:szCs w:val="22"/>
              </w:rPr>
              <w:t xml:space="preserve"> 0.</w:t>
            </w:r>
            <w:r w:rsidRPr="000D756E">
              <w:rPr>
                <w:rFonts w:ascii="Arial" w:hAnsi="Arial" w:cs="Arial"/>
                <w:sz w:val="22"/>
                <w:szCs w:val="22"/>
              </w:rPr>
              <w:t>1%)</w:t>
            </w:r>
          </w:p>
        </w:tc>
        <w:tc>
          <w:tcPr>
            <w:tcW w:w="1559" w:type="dxa"/>
            <w:vAlign w:val="center"/>
          </w:tcPr>
          <w:p w14:paraId="18342C6E" w14:textId="2A902309" w:rsidR="001856E9" w:rsidRPr="000D756E" w:rsidRDefault="00794D6B" w:rsidP="0004335B">
            <w:pPr>
              <w:jc w:val="right"/>
              <w:rPr>
                <w:rFonts w:ascii="Arial" w:hAnsi="Arial" w:cs="Arial"/>
                <w:sz w:val="22"/>
                <w:szCs w:val="22"/>
              </w:rPr>
            </w:pPr>
            <w:r>
              <w:rPr>
                <w:rFonts w:ascii="Arial" w:hAnsi="Arial" w:cs="Arial"/>
                <w:sz w:val="22"/>
                <w:szCs w:val="22"/>
              </w:rPr>
              <w:t>728</w:t>
            </w:r>
          </w:p>
        </w:tc>
        <w:tc>
          <w:tcPr>
            <w:tcW w:w="1560" w:type="dxa"/>
            <w:vAlign w:val="center"/>
          </w:tcPr>
          <w:p w14:paraId="2499443D" w14:textId="575E9869" w:rsidR="001856E9" w:rsidRPr="000D756E" w:rsidRDefault="00794D6B" w:rsidP="0004335B">
            <w:pPr>
              <w:jc w:val="right"/>
              <w:rPr>
                <w:rFonts w:ascii="Arial" w:hAnsi="Arial" w:cs="Arial"/>
                <w:sz w:val="22"/>
                <w:szCs w:val="22"/>
              </w:rPr>
            </w:pPr>
            <w:r>
              <w:rPr>
                <w:rFonts w:ascii="Arial" w:hAnsi="Arial" w:cs="Arial"/>
                <w:sz w:val="22"/>
                <w:szCs w:val="22"/>
              </w:rPr>
              <w:t>-728</w:t>
            </w:r>
          </w:p>
        </w:tc>
        <w:tc>
          <w:tcPr>
            <w:tcW w:w="1559" w:type="dxa"/>
            <w:vAlign w:val="center"/>
          </w:tcPr>
          <w:p w14:paraId="26DBAE8E" w14:textId="400FFB40" w:rsidR="001856E9" w:rsidRPr="000D756E" w:rsidRDefault="00794D6B" w:rsidP="0004335B">
            <w:pPr>
              <w:jc w:val="right"/>
              <w:rPr>
                <w:rFonts w:ascii="Arial" w:hAnsi="Arial" w:cs="Arial"/>
                <w:sz w:val="22"/>
                <w:szCs w:val="22"/>
              </w:rPr>
            </w:pPr>
            <w:r>
              <w:rPr>
                <w:rFonts w:ascii="Arial" w:hAnsi="Arial" w:cs="Arial"/>
                <w:sz w:val="22"/>
                <w:szCs w:val="22"/>
              </w:rPr>
              <w:t>6,586</w:t>
            </w:r>
          </w:p>
        </w:tc>
        <w:tc>
          <w:tcPr>
            <w:tcW w:w="1559" w:type="dxa"/>
            <w:vAlign w:val="center"/>
          </w:tcPr>
          <w:p w14:paraId="54C4419F" w14:textId="3F7189C0" w:rsidR="001856E9" w:rsidRPr="000D756E" w:rsidRDefault="00794D6B" w:rsidP="0004335B">
            <w:pPr>
              <w:jc w:val="right"/>
              <w:rPr>
                <w:rFonts w:ascii="Arial" w:hAnsi="Arial" w:cs="Arial"/>
                <w:sz w:val="22"/>
                <w:szCs w:val="22"/>
              </w:rPr>
            </w:pPr>
            <w:r>
              <w:rPr>
                <w:rFonts w:ascii="Arial" w:hAnsi="Arial" w:cs="Arial"/>
                <w:sz w:val="22"/>
                <w:szCs w:val="22"/>
              </w:rPr>
              <w:t>-6,586</w:t>
            </w:r>
          </w:p>
        </w:tc>
      </w:tr>
      <w:tr w:rsidR="006329E6" w:rsidRPr="000D756E" w14:paraId="3DB46BBA" w14:textId="77777777" w:rsidTr="009B5E70">
        <w:tc>
          <w:tcPr>
            <w:tcW w:w="3085" w:type="dxa"/>
          </w:tcPr>
          <w:p w14:paraId="59D14C46" w14:textId="17BF2B0E" w:rsidR="001856E9" w:rsidRPr="000D756E" w:rsidRDefault="001856E9" w:rsidP="002A7C01">
            <w:pPr>
              <w:rPr>
                <w:rFonts w:ascii="Arial" w:hAnsi="Arial" w:cs="Arial"/>
                <w:sz w:val="22"/>
                <w:szCs w:val="22"/>
              </w:rPr>
            </w:pPr>
            <w:r w:rsidRPr="000D756E">
              <w:rPr>
                <w:rFonts w:ascii="Arial" w:hAnsi="Arial" w:cs="Arial"/>
                <w:sz w:val="22"/>
                <w:szCs w:val="22"/>
              </w:rPr>
              <w:t xml:space="preserve">Rate of increase in salaries (increase or decrease by </w:t>
            </w:r>
            <w:r w:rsidR="001F1635" w:rsidRPr="000D756E">
              <w:rPr>
                <w:rFonts w:ascii="Arial" w:hAnsi="Arial" w:cs="Arial"/>
                <w:sz w:val="22"/>
                <w:szCs w:val="22"/>
              </w:rPr>
              <w:t>0.</w:t>
            </w:r>
            <w:r w:rsidRPr="000D756E">
              <w:rPr>
                <w:rFonts w:ascii="Arial" w:hAnsi="Arial" w:cs="Arial"/>
                <w:sz w:val="22"/>
                <w:szCs w:val="22"/>
              </w:rPr>
              <w:t>1%)</w:t>
            </w:r>
          </w:p>
        </w:tc>
        <w:tc>
          <w:tcPr>
            <w:tcW w:w="1559" w:type="dxa"/>
            <w:vAlign w:val="center"/>
          </w:tcPr>
          <w:p w14:paraId="4D67EDB9" w14:textId="4FAF628A" w:rsidR="001856E9" w:rsidRPr="000D756E" w:rsidRDefault="00794D6B" w:rsidP="0004335B">
            <w:pPr>
              <w:jc w:val="right"/>
              <w:rPr>
                <w:rFonts w:ascii="Arial" w:hAnsi="Arial" w:cs="Arial"/>
                <w:sz w:val="22"/>
                <w:szCs w:val="22"/>
              </w:rPr>
            </w:pPr>
            <w:r>
              <w:rPr>
                <w:rFonts w:ascii="Arial" w:hAnsi="Arial" w:cs="Arial"/>
                <w:sz w:val="22"/>
                <w:szCs w:val="22"/>
              </w:rPr>
              <w:t>183</w:t>
            </w:r>
          </w:p>
        </w:tc>
        <w:tc>
          <w:tcPr>
            <w:tcW w:w="1560" w:type="dxa"/>
            <w:vAlign w:val="center"/>
          </w:tcPr>
          <w:p w14:paraId="2717B94F" w14:textId="20A212F6" w:rsidR="001856E9" w:rsidRPr="000D756E" w:rsidRDefault="00794D6B" w:rsidP="0004335B">
            <w:pPr>
              <w:jc w:val="right"/>
              <w:rPr>
                <w:rFonts w:ascii="Arial" w:hAnsi="Arial" w:cs="Arial"/>
                <w:sz w:val="22"/>
                <w:szCs w:val="22"/>
              </w:rPr>
            </w:pPr>
            <w:r>
              <w:rPr>
                <w:rFonts w:ascii="Arial" w:hAnsi="Arial" w:cs="Arial"/>
                <w:sz w:val="22"/>
                <w:szCs w:val="22"/>
              </w:rPr>
              <w:t>-183</w:t>
            </w:r>
          </w:p>
        </w:tc>
        <w:tc>
          <w:tcPr>
            <w:tcW w:w="1559" w:type="dxa"/>
            <w:vAlign w:val="center"/>
          </w:tcPr>
          <w:p w14:paraId="542CE324" w14:textId="1A806EDA" w:rsidR="001856E9" w:rsidRPr="000D756E" w:rsidRDefault="00794D6B" w:rsidP="0004335B">
            <w:pPr>
              <w:jc w:val="right"/>
              <w:rPr>
                <w:rFonts w:ascii="Arial" w:hAnsi="Arial" w:cs="Arial"/>
                <w:sz w:val="22"/>
                <w:szCs w:val="22"/>
              </w:rPr>
            </w:pPr>
            <w:r>
              <w:rPr>
                <w:rFonts w:ascii="Arial" w:hAnsi="Arial" w:cs="Arial"/>
                <w:sz w:val="22"/>
                <w:szCs w:val="22"/>
              </w:rPr>
              <w:t>1,533</w:t>
            </w:r>
          </w:p>
        </w:tc>
        <w:tc>
          <w:tcPr>
            <w:tcW w:w="1559" w:type="dxa"/>
            <w:vAlign w:val="center"/>
          </w:tcPr>
          <w:p w14:paraId="5912B4F1" w14:textId="484C9DF9" w:rsidR="001856E9" w:rsidRPr="000D756E" w:rsidRDefault="00794D6B" w:rsidP="0004335B">
            <w:pPr>
              <w:jc w:val="right"/>
              <w:rPr>
                <w:rFonts w:ascii="Arial" w:hAnsi="Arial" w:cs="Arial"/>
                <w:sz w:val="22"/>
                <w:szCs w:val="22"/>
              </w:rPr>
            </w:pPr>
            <w:r>
              <w:rPr>
                <w:rFonts w:ascii="Arial" w:hAnsi="Arial" w:cs="Arial"/>
                <w:sz w:val="22"/>
                <w:szCs w:val="22"/>
              </w:rPr>
              <w:t>-1,533</w:t>
            </w:r>
          </w:p>
        </w:tc>
      </w:tr>
      <w:tr w:rsidR="001856E9" w:rsidRPr="000D756E" w14:paraId="13DDAA78" w14:textId="77777777" w:rsidTr="009B5E70">
        <w:tc>
          <w:tcPr>
            <w:tcW w:w="3085" w:type="dxa"/>
          </w:tcPr>
          <w:p w14:paraId="4D9580CE" w14:textId="02EC5396" w:rsidR="001856E9" w:rsidRPr="000D756E" w:rsidRDefault="001856E9" w:rsidP="002A7C01">
            <w:pPr>
              <w:rPr>
                <w:rFonts w:ascii="Arial" w:hAnsi="Arial" w:cs="Arial"/>
                <w:sz w:val="22"/>
                <w:szCs w:val="22"/>
              </w:rPr>
            </w:pPr>
            <w:r w:rsidRPr="000D756E">
              <w:rPr>
                <w:rFonts w:ascii="Arial" w:hAnsi="Arial" w:cs="Arial"/>
                <w:sz w:val="22"/>
                <w:szCs w:val="22"/>
              </w:rPr>
              <w:t xml:space="preserve">Rate for discounting scheme liabilities (increase or decrease by </w:t>
            </w:r>
            <w:r w:rsidR="001F1635" w:rsidRPr="000D756E">
              <w:rPr>
                <w:rFonts w:ascii="Arial" w:hAnsi="Arial" w:cs="Arial"/>
                <w:sz w:val="22"/>
                <w:szCs w:val="22"/>
              </w:rPr>
              <w:t>0.</w:t>
            </w:r>
            <w:r w:rsidRPr="000D756E">
              <w:rPr>
                <w:rFonts w:ascii="Arial" w:hAnsi="Arial" w:cs="Arial"/>
                <w:sz w:val="22"/>
                <w:szCs w:val="22"/>
              </w:rPr>
              <w:t>1%)</w:t>
            </w:r>
          </w:p>
        </w:tc>
        <w:tc>
          <w:tcPr>
            <w:tcW w:w="1559" w:type="dxa"/>
            <w:vAlign w:val="center"/>
          </w:tcPr>
          <w:p w14:paraId="7B7B4E8D" w14:textId="537F03C4" w:rsidR="001856E9" w:rsidRPr="000D756E" w:rsidRDefault="00794D6B" w:rsidP="0004335B">
            <w:pPr>
              <w:jc w:val="right"/>
              <w:rPr>
                <w:rFonts w:ascii="Arial" w:hAnsi="Arial" w:cs="Arial"/>
                <w:sz w:val="22"/>
                <w:szCs w:val="22"/>
              </w:rPr>
            </w:pPr>
            <w:r>
              <w:rPr>
                <w:rFonts w:ascii="Arial" w:hAnsi="Arial" w:cs="Arial"/>
                <w:sz w:val="22"/>
                <w:szCs w:val="22"/>
              </w:rPr>
              <w:t>-1,378</w:t>
            </w:r>
          </w:p>
        </w:tc>
        <w:tc>
          <w:tcPr>
            <w:tcW w:w="1560" w:type="dxa"/>
            <w:vAlign w:val="center"/>
          </w:tcPr>
          <w:p w14:paraId="448170C2" w14:textId="5A14D142" w:rsidR="001856E9" w:rsidRPr="000D756E" w:rsidRDefault="00794D6B" w:rsidP="0004335B">
            <w:pPr>
              <w:jc w:val="right"/>
              <w:rPr>
                <w:rFonts w:ascii="Arial" w:hAnsi="Arial" w:cs="Arial"/>
                <w:sz w:val="22"/>
                <w:szCs w:val="22"/>
              </w:rPr>
            </w:pPr>
            <w:r>
              <w:rPr>
                <w:rFonts w:ascii="Arial" w:hAnsi="Arial" w:cs="Arial"/>
                <w:sz w:val="22"/>
                <w:szCs w:val="22"/>
              </w:rPr>
              <w:t>1,378</w:t>
            </w:r>
          </w:p>
        </w:tc>
        <w:tc>
          <w:tcPr>
            <w:tcW w:w="1559" w:type="dxa"/>
            <w:vAlign w:val="center"/>
          </w:tcPr>
          <w:p w14:paraId="34CF8DEE" w14:textId="17181E58" w:rsidR="001856E9" w:rsidRPr="000D756E" w:rsidRDefault="00794D6B" w:rsidP="0004335B">
            <w:pPr>
              <w:jc w:val="right"/>
              <w:rPr>
                <w:rFonts w:ascii="Arial" w:hAnsi="Arial" w:cs="Arial"/>
                <w:sz w:val="22"/>
                <w:szCs w:val="22"/>
              </w:rPr>
            </w:pPr>
            <w:r>
              <w:rPr>
                <w:rFonts w:ascii="Arial" w:hAnsi="Arial" w:cs="Arial"/>
                <w:sz w:val="22"/>
                <w:szCs w:val="22"/>
              </w:rPr>
              <w:t>-11,592</w:t>
            </w:r>
          </w:p>
        </w:tc>
        <w:tc>
          <w:tcPr>
            <w:tcW w:w="1559" w:type="dxa"/>
            <w:vAlign w:val="center"/>
          </w:tcPr>
          <w:p w14:paraId="1984B9EE" w14:textId="6CB312FE" w:rsidR="001856E9" w:rsidRPr="000D756E" w:rsidRDefault="00794D6B" w:rsidP="0004335B">
            <w:pPr>
              <w:jc w:val="right"/>
              <w:rPr>
                <w:rFonts w:ascii="Arial" w:hAnsi="Arial" w:cs="Arial"/>
                <w:sz w:val="22"/>
                <w:szCs w:val="22"/>
              </w:rPr>
            </w:pPr>
            <w:r>
              <w:rPr>
                <w:rFonts w:ascii="Arial" w:hAnsi="Arial" w:cs="Arial"/>
                <w:sz w:val="22"/>
                <w:szCs w:val="22"/>
              </w:rPr>
              <w:t>11,592</w:t>
            </w:r>
          </w:p>
        </w:tc>
      </w:tr>
      <w:tr w:rsidR="001C138C" w:rsidRPr="000D756E" w14:paraId="736A807E" w14:textId="77777777" w:rsidTr="009B5E70">
        <w:tc>
          <w:tcPr>
            <w:tcW w:w="3085" w:type="dxa"/>
          </w:tcPr>
          <w:p w14:paraId="632F0BA9" w14:textId="4D60B12B" w:rsidR="001C138C" w:rsidRPr="000D756E" w:rsidRDefault="001C138C" w:rsidP="002A7C01">
            <w:pPr>
              <w:rPr>
                <w:rFonts w:ascii="Arial" w:hAnsi="Arial" w:cs="Arial"/>
                <w:sz w:val="22"/>
                <w:szCs w:val="22"/>
              </w:rPr>
            </w:pPr>
            <w:r w:rsidRPr="000D756E">
              <w:rPr>
                <w:rFonts w:ascii="Arial" w:hAnsi="Arial" w:cs="Arial"/>
                <w:sz w:val="22"/>
                <w:szCs w:val="22"/>
              </w:rPr>
              <w:t>Level of investment returns on assets (increase or decrease by 1%)</w:t>
            </w:r>
          </w:p>
        </w:tc>
        <w:tc>
          <w:tcPr>
            <w:tcW w:w="1559" w:type="dxa"/>
            <w:vAlign w:val="center"/>
          </w:tcPr>
          <w:p w14:paraId="1EDF396C" w14:textId="4AC055BD" w:rsidR="001C138C" w:rsidRPr="000D756E" w:rsidRDefault="00794D6B" w:rsidP="0004335B">
            <w:pPr>
              <w:jc w:val="right"/>
              <w:rPr>
                <w:rFonts w:ascii="Arial" w:hAnsi="Arial" w:cs="Arial"/>
                <w:sz w:val="22"/>
                <w:szCs w:val="22"/>
              </w:rPr>
            </w:pPr>
            <w:r>
              <w:rPr>
                <w:rFonts w:ascii="Arial" w:hAnsi="Arial" w:cs="Arial"/>
                <w:sz w:val="22"/>
                <w:szCs w:val="22"/>
              </w:rPr>
              <w:t>0</w:t>
            </w:r>
          </w:p>
        </w:tc>
        <w:tc>
          <w:tcPr>
            <w:tcW w:w="1560" w:type="dxa"/>
            <w:vAlign w:val="center"/>
          </w:tcPr>
          <w:p w14:paraId="74AAB4B4" w14:textId="6BACBF6B" w:rsidR="001C138C" w:rsidRPr="000D756E" w:rsidRDefault="00794D6B" w:rsidP="001C138C">
            <w:pPr>
              <w:jc w:val="right"/>
              <w:rPr>
                <w:rFonts w:ascii="Arial" w:hAnsi="Arial" w:cs="Arial"/>
                <w:sz w:val="22"/>
                <w:szCs w:val="22"/>
              </w:rPr>
            </w:pPr>
            <w:r>
              <w:rPr>
                <w:rFonts w:ascii="Arial" w:hAnsi="Arial" w:cs="Arial"/>
                <w:sz w:val="22"/>
                <w:szCs w:val="22"/>
              </w:rPr>
              <w:t>0</w:t>
            </w:r>
          </w:p>
        </w:tc>
        <w:tc>
          <w:tcPr>
            <w:tcW w:w="1559" w:type="dxa"/>
            <w:vAlign w:val="center"/>
          </w:tcPr>
          <w:p w14:paraId="53E360BD" w14:textId="2CEC93E2" w:rsidR="001C138C" w:rsidRPr="000D756E" w:rsidRDefault="00794D6B" w:rsidP="0004335B">
            <w:pPr>
              <w:jc w:val="right"/>
              <w:rPr>
                <w:rFonts w:ascii="Arial" w:hAnsi="Arial" w:cs="Arial"/>
                <w:sz w:val="22"/>
                <w:szCs w:val="22"/>
              </w:rPr>
            </w:pPr>
            <w:r>
              <w:rPr>
                <w:rFonts w:ascii="Arial" w:hAnsi="Arial" w:cs="Arial"/>
                <w:sz w:val="22"/>
                <w:szCs w:val="22"/>
              </w:rPr>
              <w:t>-</w:t>
            </w:r>
          </w:p>
        </w:tc>
        <w:tc>
          <w:tcPr>
            <w:tcW w:w="1559" w:type="dxa"/>
            <w:vAlign w:val="center"/>
          </w:tcPr>
          <w:p w14:paraId="55031C88" w14:textId="0AF21774" w:rsidR="001C138C" w:rsidRPr="000D756E" w:rsidRDefault="00794D6B" w:rsidP="0004335B">
            <w:pPr>
              <w:jc w:val="right"/>
              <w:rPr>
                <w:rFonts w:ascii="Arial" w:hAnsi="Arial" w:cs="Arial"/>
                <w:sz w:val="22"/>
                <w:szCs w:val="22"/>
              </w:rPr>
            </w:pPr>
            <w:r>
              <w:rPr>
                <w:rFonts w:ascii="Arial" w:hAnsi="Arial" w:cs="Arial"/>
                <w:sz w:val="22"/>
                <w:szCs w:val="22"/>
              </w:rPr>
              <w:t>-</w:t>
            </w:r>
          </w:p>
        </w:tc>
      </w:tr>
    </w:tbl>
    <w:p w14:paraId="39E16A40" w14:textId="77777777" w:rsidR="00BC543E" w:rsidRPr="000D756E" w:rsidRDefault="00BC543E" w:rsidP="002A7C01">
      <w:pPr>
        <w:rPr>
          <w:rFonts w:ascii="Arial" w:hAnsi="Arial" w:cs="Arial"/>
          <w:sz w:val="24"/>
          <w:szCs w:val="24"/>
        </w:rPr>
      </w:pPr>
    </w:p>
    <w:p w14:paraId="17B5FCFB" w14:textId="77777777" w:rsidR="0099411B" w:rsidRPr="000D756E" w:rsidRDefault="004D4099" w:rsidP="002A7C01">
      <w:pPr>
        <w:rPr>
          <w:rFonts w:ascii="Arial" w:hAnsi="Arial" w:cs="Arial"/>
          <w:sz w:val="24"/>
          <w:szCs w:val="24"/>
        </w:rPr>
      </w:pPr>
      <w:r w:rsidRPr="000D756E">
        <w:rPr>
          <w:rFonts w:ascii="Arial" w:hAnsi="Arial" w:cs="Arial"/>
          <w:sz w:val="24"/>
          <w:szCs w:val="24"/>
        </w:rPr>
        <w:t>The Fire Pension Schemes have no assets to cover their liabilities. The Shropshire County Pension Fund’s assets consist of the following categories, by proportion of th</w:t>
      </w:r>
      <w:r w:rsidR="00E46222" w:rsidRPr="000D756E">
        <w:rPr>
          <w:rFonts w:ascii="Arial" w:hAnsi="Arial" w:cs="Arial"/>
          <w:sz w:val="24"/>
          <w:szCs w:val="24"/>
        </w:rPr>
        <w:t>e total assets held.</w:t>
      </w:r>
    </w:p>
    <w:p w14:paraId="3BB6F9F5" w14:textId="77777777" w:rsidR="0099411B" w:rsidRPr="000D756E" w:rsidRDefault="0099411B"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1258"/>
        <w:gridCol w:w="1523"/>
        <w:gridCol w:w="1258"/>
        <w:gridCol w:w="1316"/>
      </w:tblGrid>
      <w:tr w:rsidR="006329E6" w:rsidRPr="000D756E" w14:paraId="6222A912" w14:textId="77777777" w:rsidTr="00780665">
        <w:tc>
          <w:tcPr>
            <w:tcW w:w="3664" w:type="dxa"/>
          </w:tcPr>
          <w:p w14:paraId="759FFE7F" w14:textId="77777777" w:rsidR="008D3A5F" w:rsidRPr="000D756E" w:rsidRDefault="008D3A5F" w:rsidP="008D3A5F">
            <w:pPr>
              <w:rPr>
                <w:rFonts w:ascii="Arial" w:hAnsi="Arial" w:cs="Arial"/>
                <w:sz w:val="24"/>
                <w:szCs w:val="24"/>
              </w:rPr>
            </w:pPr>
          </w:p>
        </w:tc>
        <w:tc>
          <w:tcPr>
            <w:tcW w:w="1258" w:type="dxa"/>
          </w:tcPr>
          <w:p w14:paraId="15F34DD1" w14:textId="77777777" w:rsidR="008D3A5F" w:rsidRPr="000D756E" w:rsidRDefault="008D3A5F" w:rsidP="008D3A5F">
            <w:pPr>
              <w:jc w:val="right"/>
              <w:rPr>
                <w:rFonts w:ascii="Arial" w:hAnsi="Arial" w:cs="Arial"/>
                <w:b/>
                <w:sz w:val="24"/>
                <w:szCs w:val="24"/>
              </w:rPr>
            </w:pPr>
          </w:p>
          <w:p w14:paraId="31FD122F" w14:textId="74CE5928" w:rsidR="008D3A5F" w:rsidRPr="000D756E" w:rsidRDefault="008D3A5F" w:rsidP="008D3A5F">
            <w:pPr>
              <w:jc w:val="right"/>
              <w:rPr>
                <w:rFonts w:ascii="Arial" w:hAnsi="Arial" w:cs="Arial"/>
                <w:b/>
                <w:sz w:val="24"/>
                <w:szCs w:val="24"/>
              </w:rPr>
            </w:pPr>
            <w:r w:rsidRPr="000D756E">
              <w:rPr>
                <w:rFonts w:ascii="Arial" w:hAnsi="Arial" w:cs="Arial"/>
                <w:b/>
                <w:sz w:val="24"/>
                <w:szCs w:val="24"/>
              </w:rPr>
              <w:t>31 March 202</w:t>
            </w:r>
            <w:r w:rsidR="00B948C6">
              <w:rPr>
                <w:rFonts w:ascii="Arial" w:hAnsi="Arial" w:cs="Arial"/>
                <w:b/>
                <w:sz w:val="24"/>
                <w:szCs w:val="24"/>
              </w:rPr>
              <w:t>5</w:t>
            </w:r>
          </w:p>
          <w:p w14:paraId="54AF64F2" w14:textId="77777777" w:rsidR="008D3A5F" w:rsidRPr="000D756E" w:rsidRDefault="008D3A5F" w:rsidP="008D3A5F">
            <w:pPr>
              <w:jc w:val="right"/>
              <w:rPr>
                <w:rFonts w:ascii="Arial" w:hAnsi="Arial" w:cs="Arial"/>
                <w:b/>
                <w:sz w:val="24"/>
                <w:szCs w:val="24"/>
              </w:rPr>
            </w:pPr>
            <w:r w:rsidRPr="000D756E">
              <w:rPr>
                <w:rFonts w:ascii="Arial" w:hAnsi="Arial" w:cs="Arial"/>
                <w:b/>
                <w:sz w:val="24"/>
                <w:szCs w:val="24"/>
              </w:rPr>
              <w:t>£’000</w:t>
            </w:r>
          </w:p>
        </w:tc>
        <w:tc>
          <w:tcPr>
            <w:tcW w:w="1523" w:type="dxa"/>
          </w:tcPr>
          <w:p w14:paraId="67C089E1" w14:textId="77777777" w:rsidR="008D3A5F" w:rsidRPr="000D756E" w:rsidRDefault="008D3A5F" w:rsidP="008D3A5F">
            <w:pPr>
              <w:jc w:val="right"/>
              <w:rPr>
                <w:rFonts w:ascii="Arial" w:hAnsi="Arial" w:cs="Arial"/>
                <w:b/>
                <w:sz w:val="24"/>
                <w:szCs w:val="24"/>
              </w:rPr>
            </w:pPr>
          </w:p>
          <w:p w14:paraId="60766124" w14:textId="3545BA33" w:rsidR="008D3A5F" w:rsidRPr="000D756E" w:rsidRDefault="008D3A5F" w:rsidP="008D3A5F">
            <w:pPr>
              <w:jc w:val="right"/>
              <w:rPr>
                <w:rFonts w:ascii="Arial" w:hAnsi="Arial" w:cs="Arial"/>
                <w:b/>
                <w:sz w:val="24"/>
                <w:szCs w:val="24"/>
              </w:rPr>
            </w:pPr>
            <w:r w:rsidRPr="000D756E">
              <w:rPr>
                <w:rFonts w:ascii="Arial" w:hAnsi="Arial" w:cs="Arial"/>
                <w:b/>
                <w:sz w:val="24"/>
                <w:szCs w:val="24"/>
              </w:rPr>
              <w:t>31 March 202</w:t>
            </w:r>
            <w:r w:rsidR="00B948C6">
              <w:rPr>
                <w:rFonts w:ascii="Arial" w:hAnsi="Arial" w:cs="Arial"/>
                <w:b/>
                <w:sz w:val="24"/>
                <w:szCs w:val="24"/>
              </w:rPr>
              <w:t>5</w:t>
            </w:r>
          </w:p>
          <w:p w14:paraId="38798B34" w14:textId="77777777" w:rsidR="008D3A5F" w:rsidRPr="000D756E" w:rsidRDefault="008D3A5F" w:rsidP="008D3A5F">
            <w:pPr>
              <w:jc w:val="right"/>
              <w:rPr>
                <w:rFonts w:ascii="Arial" w:hAnsi="Arial" w:cs="Arial"/>
                <w:b/>
                <w:sz w:val="24"/>
                <w:szCs w:val="24"/>
              </w:rPr>
            </w:pPr>
            <w:r w:rsidRPr="000D756E">
              <w:rPr>
                <w:rFonts w:ascii="Arial" w:hAnsi="Arial" w:cs="Arial"/>
                <w:b/>
                <w:sz w:val="24"/>
                <w:szCs w:val="24"/>
              </w:rPr>
              <w:t>%</w:t>
            </w:r>
          </w:p>
        </w:tc>
        <w:tc>
          <w:tcPr>
            <w:tcW w:w="1258" w:type="dxa"/>
          </w:tcPr>
          <w:p w14:paraId="0C803828" w14:textId="77777777" w:rsidR="008D3A5F" w:rsidRPr="000D756E" w:rsidRDefault="008D3A5F" w:rsidP="008D3A5F">
            <w:pPr>
              <w:jc w:val="right"/>
              <w:rPr>
                <w:rFonts w:ascii="Arial" w:hAnsi="Arial" w:cs="Arial"/>
                <w:b/>
                <w:sz w:val="24"/>
                <w:szCs w:val="24"/>
              </w:rPr>
            </w:pPr>
          </w:p>
          <w:p w14:paraId="2DF709A2" w14:textId="0EB6AA51" w:rsidR="008D3A5F" w:rsidRPr="000D756E" w:rsidRDefault="008D3A5F" w:rsidP="008D3A5F">
            <w:pPr>
              <w:jc w:val="right"/>
              <w:rPr>
                <w:rFonts w:ascii="Arial" w:hAnsi="Arial" w:cs="Arial"/>
                <w:b/>
                <w:sz w:val="24"/>
                <w:szCs w:val="24"/>
              </w:rPr>
            </w:pPr>
            <w:r w:rsidRPr="000D756E">
              <w:rPr>
                <w:rFonts w:ascii="Arial" w:hAnsi="Arial" w:cs="Arial"/>
                <w:b/>
                <w:sz w:val="24"/>
                <w:szCs w:val="24"/>
              </w:rPr>
              <w:t>31 March 202</w:t>
            </w:r>
            <w:r w:rsidR="00B948C6">
              <w:rPr>
                <w:rFonts w:ascii="Arial" w:hAnsi="Arial" w:cs="Arial"/>
                <w:b/>
                <w:sz w:val="24"/>
                <w:szCs w:val="24"/>
              </w:rPr>
              <w:t>4</w:t>
            </w:r>
          </w:p>
          <w:p w14:paraId="20DD288E" w14:textId="7939610B" w:rsidR="008D3A5F" w:rsidRPr="000D756E" w:rsidRDefault="008D3A5F" w:rsidP="008D3A5F">
            <w:pPr>
              <w:jc w:val="right"/>
              <w:rPr>
                <w:rFonts w:ascii="Arial" w:hAnsi="Arial" w:cs="Arial"/>
                <w:b/>
                <w:sz w:val="24"/>
                <w:szCs w:val="24"/>
              </w:rPr>
            </w:pPr>
            <w:r w:rsidRPr="000D756E">
              <w:rPr>
                <w:rFonts w:ascii="Arial" w:hAnsi="Arial" w:cs="Arial"/>
                <w:b/>
                <w:sz w:val="24"/>
                <w:szCs w:val="24"/>
              </w:rPr>
              <w:t>£’000</w:t>
            </w:r>
          </w:p>
        </w:tc>
        <w:tc>
          <w:tcPr>
            <w:tcW w:w="1316" w:type="dxa"/>
          </w:tcPr>
          <w:p w14:paraId="02FA6CA1" w14:textId="77777777" w:rsidR="008D3A5F" w:rsidRPr="000D756E" w:rsidRDefault="008D3A5F" w:rsidP="008D3A5F">
            <w:pPr>
              <w:jc w:val="right"/>
              <w:rPr>
                <w:rFonts w:ascii="Arial" w:hAnsi="Arial" w:cs="Arial"/>
                <w:b/>
                <w:sz w:val="24"/>
                <w:szCs w:val="24"/>
              </w:rPr>
            </w:pPr>
          </w:p>
          <w:p w14:paraId="5C26137C" w14:textId="1D87C5D6" w:rsidR="008D3A5F" w:rsidRPr="000D756E" w:rsidRDefault="008D3A5F" w:rsidP="008D3A5F">
            <w:pPr>
              <w:jc w:val="right"/>
              <w:rPr>
                <w:rFonts w:ascii="Arial" w:hAnsi="Arial" w:cs="Arial"/>
                <w:b/>
                <w:sz w:val="24"/>
                <w:szCs w:val="24"/>
              </w:rPr>
            </w:pPr>
            <w:r w:rsidRPr="000D756E">
              <w:rPr>
                <w:rFonts w:ascii="Arial" w:hAnsi="Arial" w:cs="Arial"/>
                <w:b/>
                <w:sz w:val="24"/>
                <w:szCs w:val="24"/>
              </w:rPr>
              <w:t>31 March 202</w:t>
            </w:r>
            <w:r w:rsidR="00B948C6">
              <w:rPr>
                <w:rFonts w:ascii="Arial" w:hAnsi="Arial" w:cs="Arial"/>
                <w:b/>
                <w:sz w:val="24"/>
                <w:szCs w:val="24"/>
              </w:rPr>
              <w:t>4</w:t>
            </w:r>
          </w:p>
          <w:p w14:paraId="1DFF31B5" w14:textId="3BC66254" w:rsidR="008D3A5F" w:rsidRPr="000D756E" w:rsidRDefault="008D3A5F" w:rsidP="008D3A5F">
            <w:pPr>
              <w:jc w:val="right"/>
              <w:rPr>
                <w:rFonts w:ascii="Arial" w:hAnsi="Arial" w:cs="Arial"/>
                <w:b/>
                <w:sz w:val="24"/>
                <w:szCs w:val="24"/>
              </w:rPr>
            </w:pPr>
            <w:r w:rsidRPr="000D756E">
              <w:rPr>
                <w:rFonts w:ascii="Arial" w:hAnsi="Arial" w:cs="Arial"/>
                <w:b/>
                <w:sz w:val="24"/>
                <w:szCs w:val="24"/>
              </w:rPr>
              <w:t>%</w:t>
            </w:r>
          </w:p>
        </w:tc>
      </w:tr>
      <w:tr w:rsidR="00B948C6" w:rsidRPr="000D756E" w14:paraId="3E290404" w14:textId="77777777" w:rsidTr="00780665">
        <w:tc>
          <w:tcPr>
            <w:tcW w:w="3664" w:type="dxa"/>
          </w:tcPr>
          <w:p w14:paraId="66BCF9D8" w14:textId="68C09AB0" w:rsidR="00B948C6" w:rsidRPr="000D756E" w:rsidRDefault="00B948C6" w:rsidP="00B948C6">
            <w:pPr>
              <w:rPr>
                <w:rFonts w:ascii="Arial" w:hAnsi="Arial" w:cs="Arial"/>
                <w:sz w:val="24"/>
                <w:szCs w:val="24"/>
              </w:rPr>
            </w:pPr>
            <w:r w:rsidRPr="000D756E">
              <w:rPr>
                <w:rFonts w:ascii="Arial" w:hAnsi="Arial" w:cs="Arial"/>
                <w:sz w:val="24"/>
                <w:szCs w:val="24"/>
              </w:rPr>
              <w:t>Equity investments</w:t>
            </w:r>
          </w:p>
        </w:tc>
        <w:tc>
          <w:tcPr>
            <w:tcW w:w="1258" w:type="dxa"/>
          </w:tcPr>
          <w:p w14:paraId="7AC9B94B" w14:textId="655B723C" w:rsidR="00B948C6" w:rsidRPr="000D756E" w:rsidRDefault="00214FC5" w:rsidP="00B948C6">
            <w:pPr>
              <w:jc w:val="right"/>
              <w:rPr>
                <w:rFonts w:ascii="Arial" w:hAnsi="Arial" w:cs="Arial"/>
                <w:sz w:val="24"/>
                <w:szCs w:val="24"/>
              </w:rPr>
            </w:pPr>
            <w:r>
              <w:rPr>
                <w:rFonts w:ascii="Arial" w:hAnsi="Arial" w:cs="Arial"/>
                <w:sz w:val="24"/>
                <w:szCs w:val="24"/>
              </w:rPr>
              <w:t>13,595</w:t>
            </w:r>
          </w:p>
        </w:tc>
        <w:tc>
          <w:tcPr>
            <w:tcW w:w="1523" w:type="dxa"/>
          </w:tcPr>
          <w:p w14:paraId="27D66CAE" w14:textId="03AEFF13" w:rsidR="00B948C6" w:rsidRPr="000D756E" w:rsidRDefault="00214FC5" w:rsidP="00B948C6">
            <w:pPr>
              <w:jc w:val="right"/>
              <w:rPr>
                <w:rFonts w:ascii="Arial" w:hAnsi="Arial" w:cs="Arial"/>
                <w:sz w:val="24"/>
                <w:szCs w:val="24"/>
              </w:rPr>
            </w:pPr>
            <w:r>
              <w:rPr>
                <w:rFonts w:ascii="Arial" w:hAnsi="Arial" w:cs="Arial"/>
                <w:sz w:val="24"/>
                <w:szCs w:val="24"/>
              </w:rPr>
              <w:t>59.0</w:t>
            </w:r>
          </w:p>
        </w:tc>
        <w:tc>
          <w:tcPr>
            <w:tcW w:w="1258" w:type="dxa"/>
          </w:tcPr>
          <w:p w14:paraId="6814218E" w14:textId="5A4B5ED7" w:rsidR="00B948C6" w:rsidRPr="000D756E" w:rsidRDefault="00B948C6" w:rsidP="00B948C6">
            <w:pPr>
              <w:jc w:val="right"/>
              <w:rPr>
                <w:rFonts w:ascii="Arial" w:hAnsi="Arial" w:cs="Arial"/>
                <w:sz w:val="24"/>
                <w:szCs w:val="24"/>
              </w:rPr>
            </w:pPr>
            <w:r w:rsidRPr="000D756E">
              <w:rPr>
                <w:rFonts w:ascii="Arial" w:hAnsi="Arial" w:cs="Arial"/>
                <w:sz w:val="24"/>
                <w:szCs w:val="24"/>
              </w:rPr>
              <w:t>12,439</w:t>
            </w:r>
          </w:p>
        </w:tc>
        <w:tc>
          <w:tcPr>
            <w:tcW w:w="1316" w:type="dxa"/>
          </w:tcPr>
          <w:p w14:paraId="67583653" w14:textId="58A1D430" w:rsidR="00B948C6" w:rsidRPr="000D756E" w:rsidRDefault="00B948C6" w:rsidP="00B948C6">
            <w:pPr>
              <w:jc w:val="right"/>
              <w:rPr>
                <w:rFonts w:ascii="Arial" w:hAnsi="Arial" w:cs="Arial"/>
                <w:sz w:val="24"/>
                <w:szCs w:val="24"/>
              </w:rPr>
            </w:pPr>
            <w:r w:rsidRPr="000D756E">
              <w:rPr>
                <w:rFonts w:ascii="Arial" w:hAnsi="Arial" w:cs="Arial"/>
                <w:sz w:val="24"/>
                <w:szCs w:val="24"/>
              </w:rPr>
              <w:t>56.5</w:t>
            </w:r>
          </w:p>
        </w:tc>
      </w:tr>
      <w:tr w:rsidR="00B948C6" w:rsidRPr="000D756E" w14:paraId="16267D79" w14:textId="77777777" w:rsidTr="00780665">
        <w:tc>
          <w:tcPr>
            <w:tcW w:w="3664" w:type="dxa"/>
          </w:tcPr>
          <w:p w14:paraId="468BDC94" w14:textId="77777777" w:rsidR="00B948C6" w:rsidRPr="000D756E" w:rsidRDefault="00B948C6" w:rsidP="00B948C6">
            <w:pPr>
              <w:rPr>
                <w:rFonts w:ascii="Arial" w:hAnsi="Arial" w:cs="Arial"/>
                <w:sz w:val="24"/>
                <w:szCs w:val="24"/>
              </w:rPr>
            </w:pPr>
            <w:r w:rsidRPr="000D756E">
              <w:rPr>
                <w:rFonts w:ascii="Arial" w:hAnsi="Arial" w:cs="Arial"/>
                <w:sz w:val="24"/>
                <w:szCs w:val="24"/>
              </w:rPr>
              <w:t>Bonds</w:t>
            </w:r>
          </w:p>
        </w:tc>
        <w:tc>
          <w:tcPr>
            <w:tcW w:w="1258" w:type="dxa"/>
          </w:tcPr>
          <w:p w14:paraId="7E99EC68" w14:textId="03837D9C" w:rsidR="00B948C6" w:rsidRPr="000D756E" w:rsidRDefault="00214FC5" w:rsidP="00B948C6">
            <w:pPr>
              <w:jc w:val="right"/>
              <w:rPr>
                <w:rFonts w:ascii="Arial" w:hAnsi="Arial" w:cs="Arial"/>
                <w:sz w:val="24"/>
                <w:szCs w:val="24"/>
              </w:rPr>
            </w:pPr>
            <w:r>
              <w:rPr>
                <w:rFonts w:ascii="Arial" w:hAnsi="Arial" w:cs="Arial"/>
                <w:sz w:val="24"/>
                <w:szCs w:val="24"/>
              </w:rPr>
              <w:t>3,099</w:t>
            </w:r>
          </w:p>
        </w:tc>
        <w:tc>
          <w:tcPr>
            <w:tcW w:w="1523" w:type="dxa"/>
          </w:tcPr>
          <w:p w14:paraId="720F5F65" w14:textId="3916FAC8" w:rsidR="00B948C6" w:rsidRPr="000D756E" w:rsidRDefault="00214FC5" w:rsidP="00B948C6">
            <w:pPr>
              <w:jc w:val="right"/>
              <w:rPr>
                <w:rFonts w:ascii="Arial" w:hAnsi="Arial" w:cs="Arial"/>
                <w:sz w:val="24"/>
                <w:szCs w:val="24"/>
              </w:rPr>
            </w:pPr>
            <w:r>
              <w:rPr>
                <w:rFonts w:ascii="Arial" w:hAnsi="Arial" w:cs="Arial"/>
                <w:sz w:val="24"/>
                <w:szCs w:val="24"/>
              </w:rPr>
              <w:t>13.4</w:t>
            </w:r>
          </w:p>
        </w:tc>
        <w:tc>
          <w:tcPr>
            <w:tcW w:w="1258" w:type="dxa"/>
          </w:tcPr>
          <w:p w14:paraId="52CB8B38" w14:textId="59E4EB57" w:rsidR="00B948C6" w:rsidRPr="000D756E" w:rsidRDefault="00B948C6" w:rsidP="00B948C6">
            <w:pPr>
              <w:jc w:val="right"/>
              <w:rPr>
                <w:rFonts w:ascii="Arial" w:hAnsi="Arial" w:cs="Arial"/>
                <w:sz w:val="24"/>
                <w:szCs w:val="24"/>
              </w:rPr>
            </w:pPr>
            <w:r w:rsidRPr="000D756E">
              <w:rPr>
                <w:rFonts w:ascii="Arial" w:hAnsi="Arial" w:cs="Arial"/>
                <w:sz w:val="24"/>
                <w:szCs w:val="24"/>
              </w:rPr>
              <w:t>3,210</w:t>
            </w:r>
          </w:p>
        </w:tc>
        <w:tc>
          <w:tcPr>
            <w:tcW w:w="1316" w:type="dxa"/>
          </w:tcPr>
          <w:p w14:paraId="65A8C1FA" w14:textId="26B4B28E" w:rsidR="00B948C6" w:rsidRPr="000D756E" w:rsidRDefault="00B948C6" w:rsidP="00B948C6">
            <w:pPr>
              <w:jc w:val="right"/>
              <w:rPr>
                <w:rFonts w:ascii="Arial" w:hAnsi="Arial" w:cs="Arial"/>
                <w:sz w:val="24"/>
                <w:szCs w:val="24"/>
              </w:rPr>
            </w:pPr>
            <w:r w:rsidRPr="000D756E">
              <w:rPr>
                <w:rFonts w:ascii="Arial" w:hAnsi="Arial" w:cs="Arial"/>
                <w:sz w:val="24"/>
                <w:szCs w:val="24"/>
              </w:rPr>
              <w:t>14.6</w:t>
            </w:r>
          </w:p>
        </w:tc>
      </w:tr>
      <w:tr w:rsidR="00B948C6" w:rsidRPr="000D756E" w14:paraId="25946E58" w14:textId="77777777" w:rsidTr="00780665">
        <w:tc>
          <w:tcPr>
            <w:tcW w:w="3664" w:type="dxa"/>
          </w:tcPr>
          <w:p w14:paraId="5DA842C7" w14:textId="77777777" w:rsidR="00B948C6" w:rsidRPr="000D756E" w:rsidRDefault="00B948C6" w:rsidP="00B948C6">
            <w:pPr>
              <w:rPr>
                <w:rFonts w:ascii="Arial" w:hAnsi="Arial" w:cs="Arial"/>
                <w:sz w:val="24"/>
                <w:szCs w:val="24"/>
              </w:rPr>
            </w:pPr>
            <w:r w:rsidRPr="000D756E">
              <w:rPr>
                <w:rFonts w:ascii="Arial" w:hAnsi="Arial" w:cs="Arial"/>
                <w:sz w:val="24"/>
                <w:szCs w:val="24"/>
              </w:rPr>
              <w:t>Property</w:t>
            </w:r>
          </w:p>
        </w:tc>
        <w:tc>
          <w:tcPr>
            <w:tcW w:w="1258" w:type="dxa"/>
          </w:tcPr>
          <w:p w14:paraId="1B16B27F" w14:textId="606F018B" w:rsidR="00B948C6" w:rsidRPr="000D756E" w:rsidRDefault="00214FC5" w:rsidP="00B948C6">
            <w:pPr>
              <w:jc w:val="right"/>
              <w:rPr>
                <w:rFonts w:ascii="Arial" w:hAnsi="Arial" w:cs="Arial"/>
                <w:sz w:val="24"/>
                <w:szCs w:val="24"/>
              </w:rPr>
            </w:pPr>
            <w:r>
              <w:rPr>
                <w:rFonts w:ascii="Arial" w:hAnsi="Arial" w:cs="Arial"/>
                <w:sz w:val="24"/>
                <w:szCs w:val="24"/>
              </w:rPr>
              <w:t>1,008</w:t>
            </w:r>
          </w:p>
        </w:tc>
        <w:tc>
          <w:tcPr>
            <w:tcW w:w="1523" w:type="dxa"/>
          </w:tcPr>
          <w:p w14:paraId="50CA82AF" w14:textId="08502F7E" w:rsidR="00B948C6" w:rsidRPr="000D756E" w:rsidRDefault="00214FC5" w:rsidP="00B948C6">
            <w:pPr>
              <w:jc w:val="right"/>
              <w:rPr>
                <w:rFonts w:ascii="Arial" w:hAnsi="Arial" w:cs="Arial"/>
                <w:sz w:val="24"/>
                <w:szCs w:val="24"/>
              </w:rPr>
            </w:pPr>
            <w:r>
              <w:rPr>
                <w:rFonts w:ascii="Arial" w:hAnsi="Arial" w:cs="Arial"/>
                <w:sz w:val="24"/>
                <w:szCs w:val="24"/>
              </w:rPr>
              <w:t>4.4</w:t>
            </w:r>
          </w:p>
        </w:tc>
        <w:tc>
          <w:tcPr>
            <w:tcW w:w="1258" w:type="dxa"/>
          </w:tcPr>
          <w:p w14:paraId="04045788" w14:textId="36BD9DB9" w:rsidR="00B948C6" w:rsidRPr="000D756E" w:rsidRDefault="00B948C6" w:rsidP="00B948C6">
            <w:pPr>
              <w:jc w:val="right"/>
              <w:rPr>
                <w:rFonts w:ascii="Arial" w:hAnsi="Arial" w:cs="Arial"/>
                <w:sz w:val="24"/>
                <w:szCs w:val="24"/>
              </w:rPr>
            </w:pPr>
            <w:r w:rsidRPr="000D756E">
              <w:rPr>
                <w:rFonts w:ascii="Arial" w:hAnsi="Arial" w:cs="Arial"/>
                <w:sz w:val="24"/>
                <w:szCs w:val="24"/>
              </w:rPr>
              <w:t>774</w:t>
            </w:r>
          </w:p>
        </w:tc>
        <w:tc>
          <w:tcPr>
            <w:tcW w:w="1316" w:type="dxa"/>
          </w:tcPr>
          <w:p w14:paraId="359EBBB9" w14:textId="1D0F902C" w:rsidR="00B948C6" w:rsidRPr="000D756E" w:rsidRDefault="00B948C6" w:rsidP="00B948C6">
            <w:pPr>
              <w:jc w:val="right"/>
              <w:rPr>
                <w:rFonts w:ascii="Arial" w:hAnsi="Arial" w:cs="Arial"/>
                <w:sz w:val="24"/>
                <w:szCs w:val="24"/>
              </w:rPr>
            </w:pPr>
            <w:r w:rsidRPr="000D756E">
              <w:rPr>
                <w:rFonts w:ascii="Arial" w:hAnsi="Arial" w:cs="Arial"/>
                <w:sz w:val="24"/>
                <w:szCs w:val="24"/>
              </w:rPr>
              <w:t>3.5</w:t>
            </w:r>
          </w:p>
        </w:tc>
      </w:tr>
      <w:tr w:rsidR="00B948C6" w:rsidRPr="000D756E" w14:paraId="6EF8C202" w14:textId="77777777" w:rsidTr="00780665">
        <w:trPr>
          <w:trHeight w:val="175"/>
        </w:trPr>
        <w:tc>
          <w:tcPr>
            <w:tcW w:w="3664" w:type="dxa"/>
          </w:tcPr>
          <w:p w14:paraId="04DDFDBA" w14:textId="69870578" w:rsidR="00B948C6" w:rsidRPr="000D756E" w:rsidRDefault="00B948C6" w:rsidP="00B948C6">
            <w:pPr>
              <w:rPr>
                <w:rFonts w:ascii="Arial" w:hAnsi="Arial" w:cs="Arial"/>
                <w:sz w:val="24"/>
                <w:szCs w:val="24"/>
              </w:rPr>
            </w:pPr>
            <w:r w:rsidRPr="000D756E">
              <w:rPr>
                <w:rFonts w:ascii="Arial" w:hAnsi="Arial" w:cs="Arial"/>
                <w:sz w:val="24"/>
                <w:szCs w:val="24"/>
              </w:rPr>
              <w:t>Private equity</w:t>
            </w:r>
          </w:p>
        </w:tc>
        <w:tc>
          <w:tcPr>
            <w:tcW w:w="1258" w:type="dxa"/>
          </w:tcPr>
          <w:p w14:paraId="535B771A" w14:textId="2414A48B" w:rsidR="00B948C6" w:rsidRPr="000D756E" w:rsidRDefault="00214FC5" w:rsidP="00B948C6">
            <w:pPr>
              <w:jc w:val="right"/>
              <w:rPr>
                <w:rFonts w:ascii="Arial" w:hAnsi="Arial" w:cs="Arial"/>
                <w:sz w:val="24"/>
                <w:szCs w:val="24"/>
              </w:rPr>
            </w:pPr>
            <w:r>
              <w:rPr>
                <w:rFonts w:ascii="Arial" w:hAnsi="Arial" w:cs="Arial"/>
                <w:sz w:val="24"/>
                <w:szCs w:val="24"/>
              </w:rPr>
              <w:t>1,741</w:t>
            </w:r>
          </w:p>
        </w:tc>
        <w:tc>
          <w:tcPr>
            <w:tcW w:w="1523" w:type="dxa"/>
          </w:tcPr>
          <w:p w14:paraId="76F4F290" w14:textId="6F92F19B" w:rsidR="00B948C6" w:rsidRPr="000D756E" w:rsidRDefault="00214FC5" w:rsidP="00B948C6">
            <w:pPr>
              <w:jc w:val="right"/>
              <w:rPr>
                <w:rFonts w:ascii="Arial" w:hAnsi="Arial" w:cs="Arial"/>
                <w:sz w:val="24"/>
                <w:szCs w:val="24"/>
              </w:rPr>
            </w:pPr>
            <w:r>
              <w:rPr>
                <w:rFonts w:ascii="Arial" w:hAnsi="Arial" w:cs="Arial"/>
                <w:sz w:val="24"/>
                <w:szCs w:val="24"/>
              </w:rPr>
              <w:t>7.5</w:t>
            </w:r>
          </w:p>
        </w:tc>
        <w:tc>
          <w:tcPr>
            <w:tcW w:w="1258" w:type="dxa"/>
          </w:tcPr>
          <w:p w14:paraId="2E0A8183" w14:textId="1A86BD1A" w:rsidR="00B948C6" w:rsidRPr="000D756E" w:rsidRDefault="00B948C6" w:rsidP="00B948C6">
            <w:pPr>
              <w:jc w:val="right"/>
              <w:rPr>
                <w:rFonts w:ascii="Arial" w:hAnsi="Arial" w:cs="Arial"/>
                <w:sz w:val="24"/>
                <w:szCs w:val="24"/>
              </w:rPr>
            </w:pPr>
            <w:r w:rsidRPr="000D756E">
              <w:rPr>
                <w:rFonts w:ascii="Arial" w:hAnsi="Arial" w:cs="Arial"/>
                <w:sz w:val="24"/>
                <w:szCs w:val="24"/>
              </w:rPr>
              <w:t>1,806</w:t>
            </w:r>
          </w:p>
        </w:tc>
        <w:tc>
          <w:tcPr>
            <w:tcW w:w="1316" w:type="dxa"/>
          </w:tcPr>
          <w:p w14:paraId="64175A86" w14:textId="115F9AC7" w:rsidR="00B948C6" w:rsidRPr="000D756E" w:rsidRDefault="00B948C6" w:rsidP="00B948C6">
            <w:pPr>
              <w:jc w:val="right"/>
              <w:rPr>
                <w:rFonts w:ascii="Arial" w:hAnsi="Arial" w:cs="Arial"/>
                <w:sz w:val="24"/>
                <w:szCs w:val="24"/>
              </w:rPr>
            </w:pPr>
            <w:r w:rsidRPr="000D756E">
              <w:rPr>
                <w:rFonts w:ascii="Arial" w:hAnsi="Arial" w:cs="Arial"/>
                <w:sz w:val="24"/>
                <w:szCs w:val="24"/>
              </w:rPr>
              <w:t>8.2</w:t>
            </w:r>
          </w:p>
        </w:tc>
      </w:tr>
      <w:tr w:rsidR="00B948C6" w:rsidRPr="000D756E" w14:paraId="445683E8" w14:textId="77777777" w:rsidTr="00780665">
        <w:trPr>
          <w:trHeight w:val="175"/>
        </w:trPr>
        <w:tc>
          <w:tcPr>
            <w:tcW w:w="3664" w:type="dxa"/>
          </w:tcPr>
          <w:p w14:paraId="4DE929A4" w14:textId="362C9C0A" w:rsidR="00B948C6" w:rsidRPr="000D756E" w:rsidRDefault="00B948C6" w:rsidP="00B948C6">
            <w:pPr>
              <w:rPr>
                <w:rFonts w:ascii="Arial" w:hAnsi="Arial" w:cs="Arial"/>
                <w:sz w:val="24"/>
                <w:szCs w:val="24"/>
              </w:rPr>
            </w:pPr>
            <w:r w:rsidRPr="000D756E">
              <w:rPr>
                <w:rFonts w:ascii="Arial" w:hAnsi="Arial" w:cs="Arial"/>
                <w:sz w:val="24"/>
                <w:szCs w:val="24"/>
              </w:rPr>
              <w:t>Infrastructure</w:t>
            </w:r>
          </w:p>
        </w:tc>
        <w:tc>
          <w:tcPr>
            <w:tcW w:w="1258" w:type="dxa"/>
          </w:tcPr>
          <w:p w14:paraId="04EF4635" w14:textId="62727E18" w:rsidR="00B948C6" w:rsidRPr="000D756E" w:rsidRDefault="00214FC5" w:rsidP="00B948C6">
            <w:pPr>
              <w:jc w:val="right"/>
              <w:rPr>
                <w:rFonts w:ascii="Arial" w:hAnsi="Arial" w:cs="Arial"/>
                <w:sz w:val="24"/>
                <w:szCs w:val="24"/>
              </w:rPr>
            </w:pPr>
            <w:r>
              <w:rPr>
                <w:rFonts w:ascii="Arial" w:hAnsi="Arial" w:cs="Arial"/>
                <w:sz w:val="24"/>
                <w:szCs w:val="24"/>
              </w:rPr>
              <w:t>1,358</w:t>
            </w:r>
          </w:p>
        </w:tc>
        <w:tc>
          <w:tcPr>
            <w:tcW w:w="1523" w:type="dxa"/>
          </w:tcPr>
          <w:p w14:paraId="6A65199F" w14:textId="255AE10A" w:rsidR="00B948C6" w:rsidRPr="000D756E" w:rsidRDefault="00214FC5" w:rsidP="00B948C6">
            <w:pPr>
              <w:jc w:val="right"/>
              <w:rPr>
                <w:rFonts w:ascii="Arial" w:hAnsi="Arial" w:cs="Arial"/>
                <w:sz w:val="24"/>
                <w:szCs w:val="24"/>
              </w:rPr>
            </w:pPr>
            <w:r>
              <w:rPr>
                <w:rFonts w:ascii="Arial" w:hAnsi="Arial" w:cs="Arial"/>
                <w:sz w:val="24"/>
                <w:szCs w:val="24"/>
              </w:rPr>
              <w:t>5.9</w:t>
            </w:r>
          </w:p>
        </w:tc>
        <w:tc>
          <w:tcPr>
            <w:tcW w:w="1258" w:type="dxa"/>
          </w:tcPr>
          <w:p w14:paraId="4394D5B5" w14:textId="3884FC1D" w:rsidR="00B948C6" w:rsidRPr="000D756E" w:rsidRDefault="00B948C6" w:rsidP="00B948C6">
            <w:pPr>
              <w:jc w:val="right"/>
              <w:rPr>
                <w:rFonts w:ascii="Arial" w:hAnsi="Arial" w:cs="Arial"/>
                <w:sz w:val="24"/>
                <w:szCs w:val="24"/>
              </w:rPr>
            </w:pPr>
            <w:r w:rsidRPr="000D756E">
              <w:rPr>
                <w:rFonts w:ascii="Arial" w:hAnsi="Arial" w:cs="Arial"/>
                <w:sz w:val="24"/>
                <w:szCs w:val="24"/>
              </w:rPr>
              <w:t>1,373</w:t>
            </w:r>
          </w:p>
        </w:tc>
        <w:tc>
          <w:tcPr>
            <w:tcW w:w="1316" w:type="dxa"/>
          </w:tcPr>
          <w:p w14:paraId="3FD75EA4" w14:textId="690E075F" w:rsidR="00B948C6" w:rsidRPr="000D756E" w:rsidRDefault="00B948C6" w:rsidP="00B948C6">
            <w:pPr>
              <w:jc w:val="right"/>
              <w:rPr>
                <w:rFonts w:ascii="Arial" w:hAnsi="Arial" w:cs="Arial"/>
                <w:sz w:val="24"/>
                <w:szCs w:val="24"/>
              </w:rPr>
            </w:pPr>
            <w:r w:rsidRPr="000D756E">
              <w:rPr>
                <w:rFonts w:ascii="Arial" w:hAnsi="Arial" w:cs="Arial"/>
                <w:sz w:val="24"/>
                <w:szCs w:val="24"/>
              </w:rPr>
              <w:t>6.2</w:t>
            </w:r>
          </w:p>
        </w:tc>
      </w:tr>
      <w:tr w:rsidR="00B948C6" w:rsidRPr="000D756E" w14:paraId="241E83FE" w14:textId="77777777" w:rsidTr="00780665">
        <w:trPr>
          <w:trHeight w:val="175"/>
        </w:trPr>
        <w:tc>
          <w:tcPr>
            <w:tcW w:w="3664" w:type="dxa"/>
          </w:tcPr>
          <w:p w14:paraId="6470975D" w14:textId="6DDB1CD4" w:rsidR="00B948C6" w:rsidRPr="000D756E" w:rsidRDefault="00B948C6" w:rsidP="00B948C6">
            <w:pPr>
              <w:rPr>
                <w:rFonts w:ascii="Arial" w:hAnsi="Arial" w:cs="Arial"/>
                <w:sz w:val="24"/>
                <w:szCs w:val="24"/>
              </w:rPr>
            </w:pPr>
            <w:r w:rsidRPr="000D756E">
              <w:rPr>
                <w:rFonts w:ascii="Arial" w:hAnsi="Arial" w:cs="Arial"/>
                <w:sz w:val="24"/>
                <w:szCs w:val="24"/>
              </w:rPr>
              <w:t>Hedge funds</w:t>
            </w:r>
          </w:p>
        </w:tc>
        <w:tc>
          <w:tcPr>
            <w:tcW w:w="1258" w:type="dxa"/>
          </w:tcPr>
          <w:p w14:paraId="4E6BB6D5" w14:textId="7396F7D7" w:rsidR="00B948C6" w:rsidRPr="000D756E" w:rsidRDefault="00214FC5" w:rsidP="00B948C6">
            <w:pPr>
              <w:jc w:val="right"/>
              <w:rPr>
                <w:rFonts w:ascii="Arial" w:hAnsi="Arial" w:cs="Arial"/>
                <w:sz w:val="24"/>
                <w:szCs w:val="24"/>
              </w:rPr>
            </w:pPr>
            <w:r>
              <w:rPr>
                <w:rFonts w:ascii="Arial" w:hAnsi="Arial" w:cs="Arial"/>
                <w:sz w:val="24"/>
                <w:szCs w:val="24"/>
              </w:rPr>
              <w:t>971</w:t>
            </w:r>
          </w:p>
        </w:tc>
        <w:tc>
          <w:tcPr>
            <w:tcW w:w="1523" w:type="dxa"/>
          </w:tcPr>
          <w:p w14:paraId="1551E060" w14:textId="5930EE89" w:rsidR="00B948C6" w:rsidRPr="000D756E" w:rsidRDefault="00214FC5" w:rsidP="00B948C6">
            <w:pPr>
              <w:jc w:val="right"/>
              <w:rPr>
                <w:rFonts w:ascii="Arial" w:hAnsi="Arial" w:cs="Arial"/>
                <w:sz w:val="24"/>
                <w:szCs w:val="24"/>
              </w:rPr>
            </w:pPr>
            <w:r>
              <w:rPr>
                <w:rFonts w:ascii="Arial" w:hAnsi="Arial" w:cs="Arial"/>
                <w:sz w:val="24"/>
                <w:szCs w:val="24"/>
              </w:rPr>
              <w:t>4.2</w:t>
            </w:r>
          </w:p>
        </w:tc>
        <w:tc>
          <w:tcPr>
            <w:tcW w:w="1258" w:type="dxa"/>
          </w:tcPr>
          <w:p w14:paraId="011971EF" w14:textId="0D175EC3" w:rsidR="00B948C6" w:rsidRPr="000D756E" w:rsidRDefault="00B948C6" w:rsidP="00B948C6">
            <w:pPr>
              <w:jc w:val="right"/>
              <w:rPr>
                <w:rFonts w:ascii="Arial" w:hAnsi="Arial" w:cs="Arial"/>
                <w:sz w:val="24"/>
                <w:szCs w:val="24"/>
              </w:rPr>
            </w:pPr>
            <w:r w:rsidRPr="000D756E">
              <w:rPr>
                <w:rFonts w:ascii="Arial" w:hAnsi="Arial" w:cs="Arial"/>
                <w:sz w:val="24"/>
                <w:szCs w:val="24"/>
              </w:rPr>
              <w:t>926</w:t>
            </w:r>
          </w:p>
        </w:tc>
        <w:tc>
          <w:tcPr>
            <w:tcW w:w="1316" w:type="dxa"/>
          </w:tcPr>
          <w:p w14:paraId="483493FF" w14:textId="0EEFCB7C" w:rsidR="00B948C6" w:rsidRPr="000D756E" w:rsidRDefault="00B948C6" w:rsidP="00B948C6">
            <w:pPr>
              <w:jc w:val="right"/>
              <w:rPr>
                <w:rFonts w:ascii="Arial" w:hAnsi="Arial" w:cs="Arial"/>
                <w:sz w:val="24"/>
                <w:szCs w:val="24"/>
              </w:rPr>
            </w:pPr>
            <w:r w:rsidRPr="000D756E">
              <w:rPr>
                <w:rFonts w:ascii="Arial" w:hAnsi="Arial" w:cs="Arial"/>
                <w:sz w:val="24"/>
                <w:szCs w:val="24"/>
              </w:rPr>
              <w:t>4.2</w:t>
            </w:r>
          </w:p>
        </w:tc>
      </w:tr>
      <w:tr w:rsidR="00B948C6" w:rsidRPr="000D756E" w14:paraId="1D315C8F" w14:textId="77777777" w:rsidTr="00780665">
        <w:trPr>
          <w:trHeight w:val="175"/>
        </w:trPr>
        <w:tc>
          <w:tcPr>
            <w:tcW w:w="3664" w:type="dxa"/>
          </w:tcPr>
          <w:p w14:paraId="4A59DA0B" w14:textId="07E7278C" w:rsidR="00B948C6" w:rsidRPr="000D756E" w:rsidRDefault="00B948C6" w:rsidP="00B948C6">
            <w:pPr>
              <w:rPr>
                <w:rFonts w:ascii="Arial" w:hAnsi="Arial" w:cs="Arial"/>
                <w:sz w:val="24"/>
                <w:szCs w:val="24"/>
              </w:rPr>
            </w:pPr>
            <w:r w:rsidRPr="000D756E">
              <w:rPr>
                <w:rFonts w:ascii="Arial" w:hAnsi="Arial" w:cs="Arial"/>
                <w:sz w:val="24"/>
                <w:szCs w:val="24"/>
              </w:rPr>
              <w:t>Other assets</w:t>
            </w:r>
          </w:p>
        </w:tc>
        <w:tc>
          <w:tcPr>
            <w:tcW w:w="1258" w:type="dxa"/>
          </w:tcPr>
          <w:p w14:paraId="740EBB0C" w14:textId="728EC096" w:rsidR="00B948C6" w:rsidRPr="000D756E" w:rsidRDefault="00214FC5" w:rsidP="00B948C6">
            <w:pPr>
              <w:jc w:val="right"/>
              <w:rPr>
                <w:rFonts w:ascii="Arial" w:hAnsi="Arial" w:cs="Arial"/>
                <w:sz w:val="24"/>
                <w:szCs w:val="24"/>
              </w:rPr>
            </w:pPr>
            <w:r>
              <w:rPr>
                <w:rFonts w:ascii="Arial" w:hAnsi="Arial" w:cs="Arial"/>
                <w:sz w:val="24"/>
                <w:szCs w:val="24"/>
              </w:rPr>
              <w:t>1,289</w:t>
            </w:r>
          </w:p>
        </w:tc>
        <w:tc>
          <w:tcPr>
            <w:tcW w:w="1523" w:type="dxa"/>
          </w:tcPr>
          <w:p w14:paraId="742AC081" w14:textId="1E160BAC" w:rsidR="00B948C6" w:rsidRPr="000D756E" w:rsidRDefault="00214FC5" w:rsidP="00B948C6">
            <w:pPr>
              <w:jc w:val="right"/>
              <w:rPr>
                <w:rFonts w:ascii="Arial" w:hAnsi="Arial" w:cs="Arial"/>
                <w:sz w:val="24"/>
                <w:szCs w:val="24"/>
              </w:rPr>
            </w:pPr>
            <w:r>
              <w:rPr>
                <w:rFonts w:ascii="Arial" w:hAnsi="Arial" w:cs="Arial"/>
                <w:sz w:val="24"/>
                <w:szCs w:val="24"/>
              </w:rPr>
              <w:t>5.6</w:t>
            </w:r>
          </w:p>
        </w:tc>
        <w:tc>
          <w:tcPr>
            <w:tcW w:w="1258" w:type="dxa"/>
          </w:tcPr>
          <w:p w14:paraId="27280C87" w14:textId="5C7C3AB3" w:rsidR="00B948C6" w:rsidRPr="000D756E" w:rsidRDefault="00B948C6" w:rsidP="00B948C6">
            <w:pPr>
              <w:jc w:val="right"/>
              <w:rPr>
                <w:rFonts w:ascii="Arial" w:hAnsi="Arial" w:cs="Arial"/>
                <w:sz w:val="24"/>
                <w:szCs w:val="24"/>
              </w:rPr>
            </w:pPr>
            <w:r w:rsidRPr="000D756E">
              <w:rPr>
                <w:rFonts w:ascii="Arial" w:hAnsi="Arial" w:cs="Arial"/>
                <w:sz w:val="24"/>
                <w:szCs w:val="24"/>
              </w:rPr>
              <w:t>1,472</w:t>
            </w:r>
          </w:p>
        </w:tc>
        <w:tc>
          <w:tcPr>
            <w:tcW w:w="1316" w:type="dxa"/>
          </w:tcPr>
          <w:p w14:paraId="46754DAA" w14:textId="51E07686" w:rsidR="00B948C6" w:rsidRPr="000D756E" w:rsidRDefault="00B948C6" w:rsidP="00B948C6">
            <w:pPr>
              <w:jc w:val="right"/>
              <w:rPr>
                <w:rFonts w:ascii="Arial" w:hAnsi="Arial" w:cs="Arial"/>
                <w:sz w:val="24"/>
                <w:szCs w:val="24"/>
              </w:rPr>
            </w:pPr>
            <w:r w:rsidRPr="000D756E">
              <w:rPr>
                <w:rFonts w:ascii="Arial" w:hAnsi="Arial" w:cs="Arial"/>
                <w:sz w:val="24"/>
                <w:szCs w:val="24"/>
              </w:rPr>
              <w:t>6.8</w:t>
            </w:r>
          </w:p>
        </w:tc>
      </w:tr>
      <w:tr w:rsidR="00B948C6" w:rsidRPr="000D756E" w14:paraId="33A0B416" w14:textId="77777777" w:rsidTr="00780665">
        <w:tc>
          <w:tcPr>
            <w:tcW w:w="3664" w:type="dxa"/>
          </w:tcPr>
          <w:p w14:paraId="09B89FB6" w14:textId="77777777" w:rsidR="00B948C6" w:rsidRPr="000D756E" w:rsidRDefault="00B948C6" w:rsidP="00B948C6">
            <w:pPr>
              <w:rPr>
                <w:rFonts w:ascii="Arial" w:hAnsi="Arial" w:cs="Arial"/>
                <w:sz w:val="24"/>
                <w:szCs w:val="24"/>
              </w:rPr>
            </w:pPr>
          </w:p>
        </w:tc>
        <w:tc>
          <w:tcPr>
            <w:tcW w:w="1258" w:type="dxa"/>
          </w:tcPr>
          <w:p w14:paraId="0AD3C0B8" w14:textId="2CBE589C" w:rsidR="00B948C6" w:rsidRPr="000D756E" w:rsidRDefault="00214FC5" w:rsidP="00B948C6">
            <w:pPr>
              <w:jc w:val="right"/>
              <w:rPr>
                <w:rFonts w:ascii="Arial" w:hAnsi="Arial" w:cs="Arial"/>
                <w:sz w:val="24"/>
                <w:szCs w:val="24"/>
              </w:rPr>
            </w:pPr>
            <w:r>
              <w:rPr>
                <w:rFonts w:ascii="Arial" w:hAnsi="Arial" w:cs="Arial"/>
                <w:sz w:val="24"/>
                <w:szCs w:val="24"/>
              </w:rPr>
              <w:t>23,061</w:t>
            </w:r>
          </w:p>
        </w:tc>
        <w:tc>
          <w:tcPr>
            <w:tcW w:w="1523" w:type="dxa"/>
          </w:tcPr>
          <w:p w14:paraId="7894FDC6" w14:textId="44A5E620" w:rsidR="00B948C6" w:rsidRPr="000D756E" w:rsidRDefault="00214FC5" w:rsidP="00B948C6">
            <w:pPr>
              <w:jc w:val="right"/>
              <w:rPr>
                <w:rFonts w:ascii="Arial" w:hAnsi="Arial" w:cs="Arial"/>
                <w:sz w:val="24"/>
                <w:szCs w:val="24"/>
              </w:rPr>
            </w:pPr>
            <w:r>
              <w:rPr>
                <w:rFonts w:ascii="Arial" w:hAnsi="Arial" w:cs="Arial"/>
                <w:sz w:val="24"/>
                <w:szCs w:val="24"/>
              </w:rPr>
              <w:t>100.0</w:t>
            </w:r>
          </w:p>
        </w:tc>
        <w:tc>
          <w:tcPr>
            <w:tcW w:w="1258" w:type="dxa"/>
          </w:tcPr>
          <w:p w14:paraId="06D89835" w14:textId="78698613" w:rsidR="00B948C6" w:rsidRPr="000D756E" w:rsidRDefault="00B948C6" w:rsidP="00B948C6">
            <w:pPr>
              <w:jc w:val="right"/>
              <w:rPr>
                <w:rFonts w:ascii="Arial" w:hAnsi="Arial" w:cs="Arial"/>
                <w:sz w:val="24"/>
                <w:szCs w:val="24"/>
              </w:rPr>
            </w:pPr>
            <w:r w:rsidRPr="000D756E">
              <w:rPr>
                <w:rFonts w:ascii="Arial" w:hAnsi="Arial" w:cs="Arial"/>
                <w:sz w:val="24"/>
                <w:szCs w:val="24"/>
              </w:rPr>
              <w:t>22,000</w:t>
            </w:r>
          </w:p>
        </w:tc>
        <w:tc>
          <w:tcPr>
            <w:tcW w:w="1316" w:type="dxa"/>
          </w:tcPr>
          <w:p w14:paraId="3E53E5B9" w14:textId="6569891B" w:rsidR="00B948C6" w:rsidRPr="000D756E" w:rsidRDefault="00B948C6" w:rsidP="00B948C6">
            <w:pPr>
              <w:jc w:val="right"/>
              <w:rPr>
                <w:rFonts w:ascii="Arial" w:hAnsi="Arial" w:cs="Arial"/>
                <w:sz w:val="24"/>
                <w:szCs w:val="24"/>
              </w:rPr>
            </w:pPr>
            <w:r w:rsidRPr="000D756E">
              <w:rPr>
                <w:rFonts w:ascii="Arial" w:hAnsi="Arial" w:cs="Arial"/>
                <w:sz w:val="24"/>
                <w:szCs w:val="24"/>
              </w:rPr>
              <w:t>100.0</w:t>
            </w:r>
          </w:p>
        </w:tc>
      </w:tr>
    </w:tbl>
    <w:p w14:paraId="37298D94" w14:textId="77777777" w:rsidR="00647D3F" w:rsidRPr="000D756E" w:rsidRDefault="00647D3F" w:rsidP="002A7C01">
      <w:pPr>
        <w:rPr>
          <w:rFonts w:ascii="Arial" w:hAnsi="Arial" w:cs="Arial"/>
          <w:b/>
          <w:i/>
          <w:sz w:val="24"/>
          <w:szCs w:val="24"/>
        </w:rPr>
      </w:pPr>
    </w:p>
    <w:p w14:paraId="50293B95" w14:textId="77777777" w:rsidR="00647D3F" w:rsidRPr="000D756E" w:rsidRDefault="00647D3F" w:rsidP="002A7C01">
      <w:pPr>
        <w:rPr>
          <w:rFonts w:ascii="Arial" w:hAnsi="Arial" w:cs="Arial"/>
          <w:b/>
          <w:sz w:val="24"/>
          <w:szCs w:val="24"/>
        </w:rPr>
      </w:pPr>
      <w:r w:rsidRPr="000D756E">
        <w:rPr>
          <w:rFonts w:ascii="Arial" w:hAnsi="Arial" w:cs="Arial"/>
          <w:b/>
          <w:sz w:val="24"/>
          <w:szCs w:val="24"/>
        </w:rPr>
        <w:t>Impact on the Authority’s Cash Flows – Local Government Pension Scheme</w:t>
      </w:r>
    </w:p>
    <w:p w14:paraId="58DFB4A5" w14:textId="56E3D67D" w:rsidR="00647D3F" w:rsidRPr="000D756E" w:rsidRDefault="00A70424" w:rsidP="002A7C01">
      <w:pPr>
        <w:rPr>
          <w:rFonts w:ascii="Arial" w:hAnsi="Arial" w:cs="Arial"/>
          <w:sz w:val="24"/>
          <w:szCs w:val="24"/>
        </w:rPr>
      </w:pPr>
      <w:r w:rsidRPr="000D756E">
        <w:rPr>
          <w:rFonts w:ascii="Arial" w:hAnsi="Arial" w:cs="Arial"/>
          <w:sz w:val="24"/>
          <w:szCs w:val="24"/>
        </w:rPr>
        <w:t xml:space="preserve">The objectives of the scheme are to keep employers’ contributions at as constant a rate as possible. The administering authority has agreed a strategy with the scheme’s actuary to achieve a funding level of 100% over </w:t>
      </w:r>
      <w:r w:rsidR="007D76ED" w:rsidRPr="000D756E">
        <w:rPr>
          <w:rFonts w:ascii="Arial" w:hAnsi="Arial" w:cs="Arial"/>
          <w:sz w:val="24"/>
          <w:szCs w:val="24"/>
        </w:rPr>
        <w:t xml:space="preserve">approximately </w:t>
      </w:r>
      <w:r w:rsidR="007C23E5" w:rsidRPr="000D756E">
        <w:rPr>
          <w:rFonts w:ascii="Arial" w:hAnsi="Arial" w:cs="Arial"/>
          <w:sz w:val="24"/>
          <w:szCs w:val="24"/>
        </w:rPr>
        <w:t>22</w:t>
      </w:r>
      <w:r w:rsidR="007D76ED" w:rsidRPr="000D756E">
        <w:rPr>
          <w:rFonts w:ascii="Arial" w:hAnsi="Arial" w:cs="Arial"/>
          <w:sz w:val="24"/>
          <w:szCs w:val="24"/>
        </w:rPr>
        <w:t xml:space="preserve"> years.</w:t>
      </w:r>
      <w:r w:rsidRPr="000D756E">
        <w:rPr>
          <w:rFonts w:ascii="Arial" w:hAnsi="Arial" w:cs="Arial"/>
          <w:sz w:val="24"/>
          <w:szCs w:val="24"/>
        </w:rPr>
        <w:t xml:space="preserve"> Funding levels are monitored on an annual basis. The </w:t>
      </w:r>
      <w:r w:rsidR="007D76ED" w:rsidRPr="000D756E">
        <w:rPr>
          <w:rFonts w:ascii="Arial" w:hAnsi="Arial" w:cs="Arial"/>
          <w:sz w:val="24"/>
          <w:szCs w:val="24"/>
        </w:rPr>
        <w:t>latest</w:t>
      </w:r>
      <w:r w:rsidRPr="000D756E">
        <w:rPr>
          <w:rFonts w:ascii="Arial" w:hAnsi="Arial" w:cs="Arial"/>
          <w:sz w:val="24"/>
          <w:szCs w:val="24"/>
        </w:rPr>
        <w:t xml:space="preserve"> triennial valuation </w:t>
      </w:r>
      <w:r w:rsidR="007D76ED" w:rsidRPr="000D756E">
        <w:rPr>
          <w:rFonts w:ascii="Arial" w:hAnsi="Arial" w:cs="Arial"/>
          <w:sz w:val="24"/>
          <w:szCs w:val="24"/>
        </w:rPr>
        <w:t>was completed</w:t>
      </w:r>
      <w:r w:rsidRPr="000D756E">
        <w:rPr>
          <w:rFonts w:ascii="Arial" w:hAnsi="Arial" w:cs="Arial"/>
          <w:sz w:val="24"/>
          <w:szCs w:val="24"/>
        </w:rPr>
        <w:t xml:space="preserve"> </w:t>
      </w:r>
      <w:r w:rsidR="00777B44" w:rsidRPr="000D756E">
        <w:rPr>
          <w:rFonts w:ascii="Arial" w:hAnsi="Arial" w:cs="Arial"/>
          <w:sz w:val="24"/>
          <w:szCs w:val="24"/>
        </w:rPr>
        <w:t xml:space="preserve">in </w:t>
      </w:r>
      <w:r w:rsidR="00C30AD7" w:rsidRPr="000D756E">
        <w:rPr>
          <w:rFonts w:ascii="Arial" w:hAnsi="Arial" w:cs="Arial"/>
          <w:sz w:val="24"/>
          <w:szCs w:val="24"/>
        </w:rPr>
        <w:t>20</w:t>
      </w:r>
      <w:r w:rsidR="00592A03" w:rsidRPr="000D756E">
        <w:rPr>
          <w:rFonts w:ascii="Arial" w:hAnsi="Arial" w:cs="Arial"/>
          <w:sz w:val="24"/>
          <w:szCs w:val="24"/>
        </w:rPr>
        <w:t>22</w:t>
      </w:r>
      <w:r w:rsidR="00C30AD7" w:rsidRPr="000D756E">
        <w:rPr>
          <w:rFonts w:ascii="Arial" w:hAnsi="Arial" w:cs="Arial"/>
          <w:sz w:val="24"/>
          <w:szCs w:val="24"/>
        </w:rPr>
        <w:t>.</w:t>
      </w:r>
    </w:p>
    <w:p w14:paraId="1921FEE7" w14:textId="77777777" w:rsidR="00A70424" w:rsidRPr="000D756E" w:rsidRDefault="00A70424" w:rsidP="002A7C01">
      <w:pPr>
        <w:rPr>
          <w:rFonts w:ascii="Arial" w:hAnsi="Arial" w:cs="Arial"/>
          <w:sz w:val="24"/>
          <w:szCs w:val="24"/>
        </w:rPr>
      </w:pPr>
    </w:p>
    <w:p w14:paraId="483C990B" w14:textId="77777777" w:rsidR="00A70424" w:rsidRPr="000D756E" w:rsidRDefault="00A70424" w:rsidP="002A7C01">
      <w:pPr>
        <w:rPr>
          <w:rFonts w:ascii="Arial" w:hAnsi="Arial" w:cs="Arial"/>
          <w:sz w:val="24"/>
          <w:szCs w:val="24"/>
        </w:rPr>
      </w:pPr>
      <w:r w:rsidRPr="000D756E">
        <w:rPr>
          <w:rFonts w:ascii="Arial" w:hAnsi="Arial" w:cs="Arial"/>
          <w:sz w:val="24"/>
          <w:szCs w:val="24"/>
        </w:rPr>
        <w:lastRenderedPageBreak/>
        <w:t>The scheme will need to take account of the national changes to the scheme under the Public Pension Services Act 2013. Under the Act, the Local Government Pension Scheme in England and Wales may not provide benefits in relation to service after 31 March 2014. The Act provides for scheme regulations to be made within a common framework, to establish new career average revalued earnings schemes to pay pensions and other benefits to certain public servants.</w:t>
      </w:r>
    </w:p>
    <w:p w14:paraId="57C80C84" w14:textId="77777777" w:rsidR="00A70424" w:rsidRPr="000D756E" w:rsidRDefault="00A70424" w:rsidP="002A7C01">
      <w:pPr>
        <w:rPr>
          <w:rFonts w:ascii="Arial" w:hAnsi="Arial" w:cs="Arial"/>
          <w:sz w:val="24"/>
          <w:szCs w:val="24"/>
        </w:rPr>
      </w:pPr>
    </w:p>
    <w:p w14:paraId="309515C5" w14:textId="1066ECEB" w:rsidR="00A70424" w:rsidRPr="000D756E" w:rsidRDefault="00A70424" w:rsidP="002A7C01">
      <w:pPr>
        <w:rPr>
          <w:rFonts w:ascii="Arial" w:hAnsi="Arial" w:cs="Arial"/>
          <w:sz w:val="24"/>
          <w:szCs w:val="24"/>
        </w:rPr>
      </w:pPr>
      <w:r w:rsidRPr="000D756E">
        <w:rPr>
          <w:rFonts w:ascii="Arial" w:hAnsi="Arial" w:cs="Arial"/>
          <w:sz w:val="24"/>
          <w:szCs w:val="24"/>
        </w:rPr>
        <w:t>The Authority anticipated to pay £</w:t>
      </w:r>
      <w:r w:rsidR="00D15900" w:rsidRPr="00D15900">
        <w:rPr>
          <w:rFonts w:ascii="Arial" w:hAnsi="Arial" w:cs="Arial"/>
          <w:sz w:val="24"/>
          <w:szCs w:val="24"/>
        </w:rPr>
        <w:t>641</w:t>
      </w:r>
      <w:r w:rsidR="00A95739" w:rsidRPr="00D15900">
        <w:rPr>
          <w:rFonts w:ascii="Arial" w:hAnsi="Arial" w:cs="Arial"/>
          <w:sz w:val="24"/>
          <w:szCs w:val="24"/>
        </w:rPr>
        <w:t>,000</w:t>
      </w:r>
      <w:r w:rsidR="007C1D50" w:rsidRPr="00D15900">
        <w:rPr>
          <w:rFonts w:ascii="Arial" w:hAnsi="Arial" w:cs="Arial"/>
          <w:sz w:val="24"/>
          <w:szCs w:val="24"/>
        </w:rPr>
        <w:t xml:space="preserve"> </w:t>
      </w:r>
      <w:r w:rsidRPr="00D15900">
        <w:rPr>
          <w:rFonts w:ascii="Arial" w:hAnsi="Arial" w:cs="Arial"/>
          <w:sz w:val="24"/>
          <w:szCs w:val="24"/>
        </w:rPr>
        <w:t xml:space="preserve">expected </w:t>
      </w:r>
      <w:r w:rsidRPr="000D756E">
        <w:rPr>
          <w:rFonts w:ascii="Arial" w:hAnsi="Arial" w:cs="Arial"/>
          <w:sz w:val="24"/>
          <w:szCs w:val="24"/>
        </w:rPr>
        <w:t>contributions to the scheme in 20</w:t>
      </w:r>
      <w:r w:rsidR="00CE72D3" w:rsidRPr="000D756E">
        <w:rPr>
          <w:rFonts w:ascii="Arial" w:hAnsi="Arial" w:cs="Arial"/>
          <w:sz w:val="24"/>
          <w:szCs w:val="24"/>
        </w:rPr>
        <w:t>2</w:t>
      </w:r>
      <w:r w:rsidR="00287294">
        <w:rPr>
          <w:rFonts w:ascii="Arial" w:hAnsi="Arial" w:cs="Arial"/>
          <w:sz w:val="24"/>
          <w:szCs w:val="24"/>
        </w:rPr>
        <w:t>4/25</w:t>
      </w:r>
      <w:r w:rsidRPr="000D756E">
        <w:rPr>
          <w:rFonts w:ascii="Arial" w:hAnsi="Arial" w:cs="Arial"/>
          <w:sz w:val="24"/>
          <w:szCs w:val="24"/>
        </w:rPr>
        <w:t xml:space="preserve">. </w:t>
      </w:r>
    </w:p>
    <w:p w14:paraId="6270FD08" w14:textId="77777777" w:rsidR="00A70424" w:rsidRPr="000D756E" w:rsidRDefault="00A70424" w:rsidP="002A7C01">
      <w:pPr>
        <w:rPr>
          <w:rFonts w:ascii="Arial" w:hAnsi="Arial" w:cs="Arial"/>
          <w:sz w:val="24"/>
          <w:szCs w:val="24"/>
        </w:rPr>
      </w:pPr>
    </w:p>
    <w:p w14:paraId="23A80D46" w14:textId="3BDD0CD9" w:rsidR="00A70424" w:rsidRPr="000D756E" w:rsidRDefault="00A70424" w:rsidP="002A7C01">
      <w:pPr>
        <w:rPr>
          <w:rFonts w:ascii="Arial" w:hAnsi="Arial" w:cs="Arial"/>
          <w:sz w:val="24"/>
          <w:szCs w:val="24"/>
        </w:rPr>
      </w:pPr>
      <w:r w:rsidRPr="000D756E">
        <w:rPr>
          <w:rFonts w:ascii="Arial" w:hAnsi="Arial" w:cs="Arial"/>
          <w:sz w:val="24"/>
          <w:szCs w:val="24"/>
        </w:rPr>
        <w:t xml:space="preserve">The weighted average duration of the defined benefit obligation for scheme members is </w:t>
      </w:r>
      <w:r w:rsidR="00A95739" w:rsidRPr="00D15900">
        <w:rPr>
          <w:rFonts w:ascii="Arial" w:hAnsi="Arial" w:cs="Arial"/>
          <w:sz w:val="24"/>
          <w:szCs w:val="24"/>
        </w:rPr>
        <w:t>19</w:t>
      </w:r>
      <w:r w:rsidR="00106B03" w:rsidRPr="00D15900">
        <w:rPr>
          <w:rFonts w:ascii="Arial" w:hAnsi="Arial" w:cs="Arial"/>
          <w:sz w:val="24"/>
          <w:szCs w:val="24"/>
        </w:rPr>
        <w:t xml:space="preserve"> </w:t>
      </w:r>
      <w:r w:rsidRPr="00D15900">
        <w:rPr>
          <w:rFonts w:ascii="Arial" w:hAnsi="Arial" w:cs="Arial"/>
          <w:sz w:val="24"/>
          <w:szCs w:val="24"/>
        </w:rPr>
        <w:t>y</w:t>
      </w:r>
      <w:r w:rsidRPr="000D756E">
        <w:rPr>
          <w:rFonts w:ascii="Arial" w:hAnsi="Arial" w:cs="Arial"/>
          <w:sz w:val="24"/>
          <w:szCs w:val="24"/>
        </w:rPr>
        <w:t>ears in 20</w:t>
      </w:r>
      <w:r w:rsidR="008D3A5F" w:rsidRPr="000D756E">
        <w:rPr>
          <w:rFonts w:ascii="Arial" w:hAnsi="Arial" w:cs="Arial"/>
          <w:sz w:val="24"/>
          <w:szCs w:val="24"/>
        </w:rPr>
        <w:t>2</w:t>
      </w:r>
      <w:r w:rsidR="00287294">
        <w:rPr>
          <w:rFonts w:ascii="Arial" w:hAnsi="Arial" w:cs="Arial"/>
          <w:sz w:val="24"/>
          <w:szCs w:val="24"/>
        </w:rPr>
        <w:t>4/25</w:t>
      </w:r>
      <w:r w:rsidRPr="000D756E">
        <w:rPr>
          <w:rFonts w:ascii="Arial" w:hAnsi="Arial" w:cs="Arial"/>
          <w:sz w:val="24"/>
          <w:szCs w:val="24"/>
        </w:rPr>
        <w:t xml:space="preserve"> (</w:t>
      </w:r>
      <w:r w:rsidR="0009322C" w:rsidRPr="000D756E">
        <w:rPr>
          <w:rFonts w:ascii="Arial" w:hAnsi="Arial" w:cs="Arial"/>
          <w:sz w:val="24"/>
          <w:szCs w:val="24"/>
        </w:rPr>
        <w:t>1</w:t>
      </w:r>
      <w:r w:rsidR="00F10B9B" w:rsidRPr="000D756E">
        <w:rPr>
          <w:rFonts w:ascii="Arial" w:hAnsi="Arial" w:cs="Arial"/>
          <w:sz w:val="24"/>
          <w:szCs w:val="24"/>
        </w:rPr>
        <w:t>9</w:t>
      </w:r>
      <w:r w:rsidRPr="000D756E">
        <w:rPr>
          <w:rFonts w:ascii="Arial" w:hAnsi="Arial" w:cs="Arial"/>
          <w:sz w:val="24"/>
          <w:szCs w:val="24"/>
        </w:rPr>
        <w:t xml:space="preserve"> years in 20</w:t>
      </w:r>
      <w:r w:rsidR="00EA2BA6" w:rsidRPr="000D756E">
        <w:rPr>
          <w:rFonts w:ascii="Arial" w:hAnsi="Arial" w:cs="Arial"/>
          <w:sz w:val="24"/>
          <w:szCs w:val="24"/>
        </w:rPr>
        <w:t>2</w:t>
      </w:r>
      <w:r w:rsidR="00287294">
        <w:rPr>
          <w:rFonts w:ascii="Arial" w:hAnsi="Arial" w:cs="Arial"/>
          <w:sz w:val="24"/>
          <w:szCs w:val="24"/>
        </w:rPr>
        <w:t>3/24</w:t>
      </w:r>
      <w:r w:rsidRPr="000D756E">
        <w:rPr>
          <w:rFonts w:ascii="Arial" w:hAnsi="Arial" w:cs="Arial"/>
          <w:sz w:val="24"/>
          <w:szCs w:val="24"/>
        </w:rPr>
        <w:t>).</w:t>
      </w:r>
    </w:p>
    <w:p w14:paraId="01120974" w14:textId="77777777" w:rsidR="00647D3F" w:rsidRPr="000D756E" w:rsidRDefault="00647D3F" w:rsidP="002A7C01">
      <w:pPr>
        <w:rPr>
          <w:rFonts w:ascii="Arial" w:hAnsi="Arial" w:cs="Arial"/>
          <w:b/>
          <w:sz w:val="24"/>
          <w:szCs w:val="24"/>
        </w:rPr>
      </w:pPr>
    </w:p>
    <w:p w14:paraId="0C7C2BA4" w14:textId="7264DD4F" w:rsidR="000D4207" w:rsidRPr="000D756E" w:rsidRDefault="00F946E7" w:rsidP="002A7C01">
      <w:pPr>
        <w:rPr>
          <w:rFonts w:ascii="Arial" w:hAnsi="Arial" w:cs="Arial"/>
          <w:sz w:val="24"/>
          <w:szCs w:val="24"/>
        </w:rPr>
      </w:pPr>
      <w:r w:rsidRPr="000D756E">
        <w:rPr>
          <w:rFonts w:ascii="Arial" w:hAnsi="Arial" w:cs="Arial"/>
          <w:b/>
          <w:sz w:val="24"/>
          <w:szCs w:val="24"/>
        </w:rPr>
        <w:t xml:space="preserve">Injury Awards </w:t>
      </w:r>
      <w:r w:rsidRPr="000D756E">
        <w:rPr>
          <w:rFonts w:ascii="Arial" w:hAnsi="Arial" w:cs="Arial"/>
          <w:sz w:val="24"/>
          <w:szCs w:val="24"/>
        </w:rPr>
        <w:t xml:space="preserve">– the level of injury awards payable to eligible members is dependent on the salary, service and also degree of disablement of the member at the time the injury is incurred. Therefore, in line with IFRS Code of Practice, the assumption that such awards are “not usually subject to the same degree of uncertainty as the measurement of post-employment benefits” can be rebutted and injury awards are therefore accounted for, under IAS19, in the same manner as for the main pension scheme benefits. </w:t>
      </w:r>
    </w:p>
    <w:p w14:paraId="228B0275" w14:textId="49EA0590" w:rsidR="0043362D" w:rsidRPr="000D756E" w:rsidRDefault="0043362D" w:rsidP="002A7C01">
      <w:pPr>
        <w:rPr>
          <w:rFonts w:ascii="Arial" w:hAnsi="Arial" w:cs="Arial"/>
          <w:sz w:val="24"/>
          <w:szCs w:val="24"/>
        </w:rPr>
      </w:pPr>
    </w:p>
    <w:p w14:paraId="31E454F5" w14:textId="2E1322A4" w:rsidR="0043362D" w:rsidRPr="000D756E" w:rsidRDefault="0043362D" w:rsidP="002A7C01">
      <w:pPr>
        <w:rPr>
          <w:rFonts w:ascii="Arial" w:hAnsi="Arial" w:cs="Arial"/>
          <w:sz w:val="24"/>
          <w:szCs w:val="24"/>
        </w:rPr>
      </w:pPr>
      <w:r w:rsidRPr="000D756E">
        <w:rPr>
          <w:rFonts w:ascii="Arial" w:hAnsi="Arial" w:cs="Arial"/>
          <w:sz w:val="24"/>
          <w:szCs w:val="24"/>
        </w:rPr>
        <w:t xml:space="preserve">The majority of injury awards have been made to members of the 1992 pension scheme and are therefore </w:t>
      </w:r>
      <w:r w:rsidR="006A1489" w:rsidRPr="000D756E">
        <w:rPr>
          <w:rFonts w:ascii="Arial" w:hAnsi="Arial" w:cs="Arial"/>
          <w:sz w:val="24"/>
          <w:szCs w:val="24"/>
        </w:rPr>
        <w:t>reported as part of this scheme.</w:t>
      </w:r>
    </w:p>
    <w:p w14:paraId="4C79A000" w14:textId="77777777" w:rsidR="00D95E2C" w:rsidRPr="000D756E" w:rsidRDefault="00D95E2C" w:rsidP="002A7C01">
      <w:pPr>
        <w:rPr>
          <w:rFonts w:ascii="Arial" w:hAnsi="Arial" w:cs="Arial"/>
          <w:sz w:val="24"/>
          <w:szCs w:val="24"/>
        </w:rPr>
      </w:pPr>
    </w:p>
    <w:p w14:paraId="7C884F2A" w14:textId="09FF0913" w:rsidR="4D0105E4" w:rsidRPr="000D756E" w:rsidRDefault="4D0105E4" w:rsidP="4D0105E4">
      <w:pPr>
        <w:rPr>
          <w:rFonts w:ascii="Arial" w:hAnsi="Arial" w:cs="Arial"/>
          <w:sz w:val="24"/>
          <w:szCs w:val="24"/>
        </w:rPr>
      </w:pPr>
    </w:p>
    <w:p w14:paraId="7A105CB7" w14:textId="18D8AD35" w:rsidR="1B2E10AF" w:rsidRPr="000D756E" w:rsidRDefault="1B2E10AF" w:rsidP="1B2E10AF">
      <w:pPr>
        <w:rPr>
          <w:rFonts w:ascii="Arial" w:hAnsi="Arial" w:cs="Arial"/>
          <w:sz w:val="24"/>
          <w:szCs w:val="24"/>
        </w:rPr>
      </w:pPr>
    </w:p>
    <w:p w14:paraId="290F4BFC" w14:textId="393A543D" w:rsidR="00D26DBC" w:rsidRPr="00D215BF" w:rsidRDefault="00976311" w:rsidP="001C227A">
      <w:pPr>
        <w:numPr>
          <w:ilvl w:val="0"/>
          <w:numId w:val="15"/>
        </w:numPr>
        <w:rPr>
          <w:rFonts w:ascii="Arial" w:hAnsi="Arial" w:cs="Arial"/>
          <w:b/>
          <w:bCs/>
          <w:sz w:val="24"/>
          <w:szCs w:val="24"/>
        </w:rPr>
      </w:pPr>
      <w:r w:rsidRPr="00D215BF">
        <w:rPr>
          <w:rFonts w:ascii="Arial" w:hAnsi="Arial" w:cs="Arial"/>
          <w:b/>
          <w:bCs/>
          <w:sz w:val="24"/>
          <w:szCs w:val="24"/>
        </w:rPr>
        <w:t>CONTINGENT LIABILIT</w:t>
      </w:r>
      <w:r w:rsidR="00E62000" w:rsidRPr="00D215BF">
        <w:rPr>
          <w:rFonts w:ascii="Arial" w:hAnsi="Arial" w:cs="Arial"/>
          <w:b/>
          <w:bCs/>
          <w:sz w:val="24"/>
          <w:szCs w:val="24"/>
        </w:rPr>
        <w:t>IES</w:t>
      </w:r>
      <w:r w:rsidRPr="00D215BF">
        <w:rPr>
          <w:rFonts w:ascii="Arial" w:hAnsi="Arial" w:cs="Arial"/>
          <w:b/>
          <w:bCs/>
          <w:sz w:val="24"/>
          <w:szCs w:val="24"/>
        </w:rPr>
        <w:t xml:space="preserve"> </w:t>
      </w:r>
      <w:r w:rsidR="00177216" w:rsidRPr="00D215BF">
        <w:rPr>
          <w:rFonts w:ascii="Arial" w:hAnsi="Arial" w:cs="Arial"/>
          <w:b/>
          <w:bCs/>
          <w:sz w:val="24"/>
          <w:szCs w:val="24"/>
        </w:rPr>
        <w:t>AND ASSETS</w:t>
      </w:r>
    </w:p>
    <w:p w14:paraId="31F72D53" w14:textId="77777777" w:rsidR="00976311" w:rsidRPr="000D756E" w:rsidRDefault="00976311" w:rsidP="00976311">
      <w:pPr>
        <w:rPr>
          <w:rFonts w:ascii="Arial" w:hAnsi="Arial" w:cs="Arial"/>
          <w:b/>
          <w:szCs w:val="24"/>
        </w:rPr>
      </w:pPr>
    </w:p>
    <w:p w14:paraId="6AA7DE55" w14:textId="1307EC14" w:rsidR="00AA755A" w:rsidRPr="000D756E" w:rsidRDefault="00AA755A" w:rsidP="004A4AC8">
      <w:pPr>
        <w:rPr>
          <w:rFonts w:ascii="Arial" w:hAnsi="Arial" w:cs="Arial"/>
          <w:b/>
          <w:sz w:val="24"/>
          <w:szCs w:val="24"/>
        </w:rPr>
      </w:pPr>
      <w:r w:rsidRPr="000D756E">
        <w:rPr>
          <w:rFonts w:ascii="Arial" w:hAnsi="Arial" w:cs="Arial"/>
          <w:b/>
          <w:sz w:val="24"/>
          <w:szCs w:val="24"/>
        </w:rPr>
        <w:t>Pensions</w:t>
      </w:r>
    </w:p>
    <w:p w14:paraId="0F3D0714" w14:textId="77777777" w:rsidR="00AA755A" w:rsidRPr="000D756E" w:rsidRDefault="00AA755A" w:rsidP="004A4AC8">
      <w:pPr>
        <w:rPr>
          <w:rFonts w:ascii="Arial" w:hAnsi="Arial" w:cs="Arial"/>
          <w:b/>
          <w:sz w:val="24"/>
          <w:szCs w:val="24"/>
        </w:rPr>
      </w:pPr>
    </w:p>
    <w:p w14:paraId="67AD9394" w14:textId="45094230" w:rsidR="00E64C15" w:rsidRPr="000D756E" w:rsidRDefault="00DA4616" w:rsidP="004A4AC8">
      <w:pPr>
        <w:rPr>
          <w:rFonts w:ascii="Arial" w:hAnsi="Arial" w:cs="Arial"/>
          <w:bCs/>
          <w:iCs/>
          <w:sz w:val="24"/>
          <w:szCs w:val="24"/>
        </w:rPr>
      </w:pPr>
      <w:r w:rsidRPr="000D756E">
        <w:rPr>
          <w:rFonts w:ascii="Arial" w:hAnsi="Arial" w:cs="Arial"/>
          <w:b/>
          <w:sz w:val="24"/>
          <w:szCs w:val="24"/>
        </w:rPr>
        <w:t>M</w:t>
      </w:r>
      <w:r w:rsidR="006D565B" w:rsidRPr="000D756E">
        <w:rPr>
          <w:rFonts w:ascii="Arial" w:hAnsi="Arial" w:cs="Arial"/>
          <w:b/>
          <w:sz w:val="24"/>
          <w:szCs w:val="24"/>
        </w:rPr>
        <w:t>cCloud</w:t>
      </w:r>
      <w:r w:rsidRPr="000D756E">
        <w:rPr>
          <w:rFonts w:ascii="Arial" w:hAnsi="Arial" w:cs="Arial"/>
          <w:b/>
          <w:sz w:val="24"/>
          <w:szCs w:val="24"/>
        </w:rPr>
        <w:t xml:space="preserve"> S</w:t>
      </w:r>
      <w:r w:rsidR="006D565B" w:rsidRPr="000D756E">
        <w:rPr>
          <w:rFonts w:ascii="Arial" w:hAnsi="Arial" w:cs="Arial"/>
          <w:b/>
          <w:sz w:val="24"/>
          <w:szCs w:val="24"/>
        </w:rPr>
        <w:t>argeant -</w:t>
      </w:r>
      <w:r w:rsidRPr="000D756E">
        <w:rPr>
          <w:rFonts w:ascii="Arial" w:hAnsi="Arial" w:cs="Arial"/>
          <w:b/>
          <w:sz w:val="24"/>
          <w:szCs w:val="24"/>
        </w:rPr>
        <w:t xml:space="preserve"> </w:t>
      </w:r>
      <w:r w:rsidR="001266C4" w:rsidRPr="000D756E">
        <w:rPr>
          <w:rFonts w:ascii="Arial" w:hAnsi="Arial" w:cs="Arial"/>
          <w:bCs/>
          <w:iCs/>
          <w:sz w:val="24"/>
          <w:szCs w:val="24"/>
        </w:rPr>
        <w:t>On 16 July 2020, the Government published a consultation on the proposed remedy to be applied to Firefighters’ Pension Schemes and LGPS benefits in response to the McCloud and Sargeant cases. The consultation closed on 8 October 2020 and the Treasury published the response to their consultation on 4 February 2021, confirming their approach to remedying age discrimination, in line with their proposals</w:t>
      </w:r>
      <w:r w:rsidR="001F4663" w:rsidRPr="000D756E">
        <w:rPr>
          <w:rFonts w:ascii="Arial" w:hAnsi="Arial" w:cs="Arial"/>
          <w:bCs/>
          <w:iCs/>
          <w:sz w:val="24"/>
          <w:szCs w:val="24"/>
        </w:rPr>
        <w:t xml:space="preserve">. </w:t>
      </w:r>
    </w:p>
    <w:p w14:paraId="0BD027E0" w14:textId="77777777" w:rsidR="00291C79" w:rsidRPr="000D756E" w:rsidRDefault="00291C79" w:rsidP="004A4AC8">
      <w:pPr>
        <w:rPr>
          <w:rFonts w:ascii="Arial" w:hAnsi="Arial" w:cs="Arial"/>
          <w:bCs/>
          <w:iCs/>
          <w:sz w:val="24"/>
          <w:szCs w:val="24"/>
        </w:rPr>
      </w:pPr>
    </w:p>
    <w:p w14:paraId="7FFF8559" w14:textId="5AF7D85B" w:rsidR="00291C79" w:rsidRDefault="00291C79" w:rsidP="00291C79">
      <w:pPr>
        <w:autoSpaceDE w:val="0"/>
        <w:autoSpaceDN w:val="0"/>
        <w:adjustRightInd w:val="0"/>
        <w:rPr>
          <w:rFonts w:ascii="Arial" w:hAnsi="Arial" w:cs="Arial"/>
          <w:sz w:val="24"/>
          <w:szCs w:val="24"/>
        </w:rPr>
      </w:pPr>
      <w:r w:rsidRPr="000D756E">
        <w:rPr>
          <w:rFonts w:ascii="Arial" w:hAnsi="Arial" w:cs="Arial"/>
          <w:sz w:val="24"/>
          <w:szCs w:val="24"/>
        </w:rPr>
        <w:t xml:space="preserve">The legislation around retrospective remedy was laid in October 2023. Since then, prospective </w:t>
      </w:r>
      <w:r w:rsidR="00212E39">
        <w:rPr>
          <w:rFonts w:ascii="Arial" w:hAnsi="Arial" w:cs="Arial"/>
          <w:sz w:val="24"/>
          <w:szCs w:val="24"/>
        </w:rPr>
        <w:t xml:space="preserve">retirement </w:t>
      </w:r>
      <w:r w:rsidRPr="000D756E">
        <w:rPr>
          <w:rFonts w:ascii="Arial" w:hAnsi="Arial" w:cs="Arial"/>
          <w:sz w:val="24"/>
          <w:szCs w:val="24"/>
        </w:rPr>
        <w:t xml:space="preserve">cases have been processed in line with the new legislation and provided retirees with their option of either legacy or reformed benefits for the remedy period 01/04/2015 - 31/03/2022. </w:t>
      </w:r>
    </w:p>
    <w:p w14:paraId="1CF2EC5A" w14:textId="77777777" w:rsidR="00647E2F" w:rsidRDefault="00647E2F" w:rsidP="00291C79">
      <w:pPr>
        <w:autoSpaceDE w:val="0"/>
        <w:autoSpaceDN w:val="0"/>
        <w:adjustRightInd w:val="0"/>
        <w:rPr>
          <w:rFonts w:ascii="Arial" w:hAnsi="Arial" w:cs="Arial"/>
          <w:sz w:val="24"/>
          <w:szCs w:val="24"/>
        </w:rPr>
      </w:pPr>
    </w:p>
    <w:p w14:paraId="6D2FCC2B" w14:textId="6CA6CEAF" w:rsidR="009417FC" w:rsidRDefault="00647E2F" w:rsidP="00647E2F">
      <w:pPr>
        <w:rPr>
          <w:rFonts w:ascii="Arial" w:hAnsi="Arial" w:cs="Arial"/>
          <w:sz w:val="24"/>
          <w:szCs w:val="24"/>
        </w:rPr>
      </w:pPr>
      <w:r w:rsidRPr="000D756E">
        <w:rPr>
          <w:rFonts w:ascii="Arial" w:hAnsi="Arial" w:cs="Arial"/>
          <w:sz w:val="24"/>
          <w:szCs w:val="24"/>
        </w:rPr>
        <w:t>Financial and contribution data was provided to WYPF for all active and deferred members to allow them to provide annual benefit statements by the</w:t>
      </w:r>
      <w:r w:rsidR="00B33331">
        <w:rPr>
          <w:rFonts w:ascii="Arial" w:hAnsi="Arial" w:cs="Arial"/>
          <w:sz w:val="24"/>
          <w:szCs w:val="24"/>
        </w:rPr>
        <w:t xml:space="preserve"> statutory deadline</w:t>
      </w:r>
      <w:r w:rsidRPr="000D756E">
        <w:rPr>
          <w:rFonts w:ascii="Arial" w:hAnsi="Arial" w:cs="Arial"/>
          <w:sz w:val="24"/>
          <w:szCs w:val="24"/>
        </w:rPr>
        <w:t xml:space="preserve"> of 31</w:t>
      </w:r>
      <w:r w:rsidRPr="000D756E">
        <w:rPr>
          <w:rFonts w:ascii="Arial" w:hAnsi="Arial" w:cs="Arial"/>
          <w:sz w:val="24"/>
          <w:szCs w:val="24"/>
          <w:vertAlign w:val="superscript"/>
        </w:rPr>
        <w:t>st</w:t>
      </w:r>
      <w:r w:rsidRPr="000D756E">
        <w:rPr>
          <w:rFonts w:ascii="Arial" w:hAnsi="Arial" w:cs="Arial"/>
          <w:sz w:val="24"/>
          <w:szCs w:val="24"/>
        </w:rPr>
        <w:t xml:space="preserve"> August 2024. However,</w:t>
      </w:r>
      <w:r w:rsidR="00C825D7">
        <w:rPr>
          <w:rFonts w:ascii="Arial" w:hAnsi="Arial" w:cs="Arial"/>
          <w:sz w:val="24"/>
          <w:szCs w:val="24"/>
        </w:rPr>
        <w:t xml:space="preserve"> due to system issues</w:t>
      </w:r>
      <w:r w:rsidRPr="000D756E">
        <w:rPr>
          <w:rFonts w:ascii="Arial" w:hAnsi="Arial" w:cs="Arial"/>
          <w:sz w:val="24"/>
          <w:szCs w:val="24"/>
        </w:rPr>
        <w:t xml:space="preserve"> this deadline </w:t>
      </w:r>
      <w:r w:rsidR="0079753E">
        <w:rPr>
          <w:rFonts w:ascii="Arial" w:hAnsi="Arial" w:cs="Arial"/>
          <w:sz w:val="24"/>
          <w:szCs w:val="24"/>
        </w:rPr>
        <w:t>was</w:t>
      </w:r>
      <w:r w:rsidRPr="000D756E">
        <w:rPr>
          <w:rFonts w:ascii="Arial" w:hAnsi="Arial" w:cs="Arial"/>
          <w:sz w:val="24"/>
          <w:szCs w:val="24"/>
        </w:rPr>
        <w:t xml:space="preserve"> not met and th</w:t>
      </w:r>
      <w:r w:rsidR="0079753E">
        <w:rPr>
          <w:rFonts w:ascii="Arial" w:hAnsi="Arial" w:cs="Arial"/>
          <w:sz w:val="24"/>
          <w:szCs w:val="24"/>
        </w:rPr>
        <w:t>e</w:t>
      </w:r>
      <w:r w:rsidRPr="000D756E">
        <w:rPr>
          <w:rFonts w:ascii="Arial" w:hAnsi="Arial" w:cs="Arial"/>
          <w:sz w:val="24"/>
          <w:szCs w:val="24"/>
        </w:rPr>
        <w:t xml:space="preserve"> breach has been reported to The Pensions Regulator.</w:t>
      </w:r>
      <w:r w:rsidR="009417FC">
        <w:rPr>
          <w:rFonts w:ascii="Arial" w:hAnsi="Arial" w:cs="Arial"/>
          <w:sz w:val="24"/>
          <w:szCs w:val="24"/>
        </w:rPr>
        <w:t xml:space="preserve"> </w:t>
      </w:r>
    </w:p>
    <w:p w14:paraId="099646E4" w14:textId="77777777" w:rsidR="009417FC" w:rsidRDefault="009417FC" w:rsidP="00647E2F">
      <w:pPr>
        <w:rPr>
          <w:rFonts w:ascii="Arial" w:hAnsi="Arial" w:cs="Arial"/>
          <w:sz w:val="24"/>
          <w:szCs w:val="24"/>
        </w:rPr>
      </w:pPr>
    </w:p>
    <w:p w14:paraId="652A3F57" w14:textId="2FD2236D" w:rsidR="009417FC" w:rsidRPr="000D756E" w:rsidRDefault="009417FC" w:rsidP="009417FC">
      <w:pPr>
        <w:rPr>
          <w:rFonts w:ascii="Arial" w:hAnsi="Arial" w:cs="Arial"/>
          <w:sz w:val="24"/>
          <w:szCs w:val="24"/>
        </w:rPr>
      </w:pPr>
      <w:r>
        <w:rPr>
          <w:rFonts w:ascii="Arial" w:hAnsi="Arial" w:cs="Arial"/>
          <w:sz w:val="24"/>
          <w:szCs w:val="24"/>
        </w:rPr>
        <w:t xml:space="preserve">Due to </w:t>
      </w:r>
      <w:r w:rsidR="002C7E57">
        <w:rPr>
          <w:rFonts w:ascii="Arial" w:hAnsi="Arial" w:cs="Arial"/>
          <w:sz w:val="24"/>
          <w:szCs w:val="24"/>
        </w:rPr>
        <w:t xml:space="preserve">continued </w:t>
      </w:r>
      <w:r>
        <w:rPr>
          <w:rFonts w:ascii="Arial" w:hAnsi="Arial" w:cs="Arial"/>
          <w:sz w:val="24"/>
          <w:szCs w:val="24"/>
        </w:rPr>
        <w:t>system issues at WYPF, RSS statements were not produced by the deadline of 31</w:t>
      </w:r>
      <w:r w:rsidR="00EA63FA" w:rsidRPr="00EA63FA">
        <w:rPr>
          <w:rFonts w:ascii="Arial" w:hAnsi="Arial" w:cs="Arial"/>
          <w:sz w:val="24"/>
          <w:szCs w:val="24"/>
          <w:vertAlign w:val="superscript"/>
        </w:rPr>
        <w:t>st</w:t>
      </w:r>
      <w:r w:rsidR="00EA63FA">
        <w:rPr>
          <w:rFonts w:ascii="Arial" w:hAnsi="Arial" w:cs="Arial"/>
          <w:sz w:val="24"/>
          <w:szCs w:val="24"/>
        </w:rPr>
        <w:t xml:space="preserve"> March </w:t>
      </w:r>
      <w:r>
        <w:rPr>
          <w:rFonts w:ascii="Arial" w:hAnsi="Arial" w:cs="Arial"/>
          <w:sz w:val="24"/>
          <w:szCs w:val="24"/>
        </w:rPr>
        <w:t xml:space="preserve">2025, which have been recorded and reported to the TPR as a breach. </w:t>
      </w:r>
    </w:p>
    <w:p w14:paraId="7CE4BC01" w14:textId="5DB87CBD" w:rsidR="00647E2F" w:rsidRPr="000D756E" w:rsidRDefault="00647E2F" w:rsidP="00647E2F">
      <w:pPr>
        <w:rPr>
          <w:rFonts w:ascii="Arial" w:hAnsi="Arial" w:cs="Arial"/>
          <w:sz w:val="24"/>
          <w:szCs w:val="24"/>
        </w:rPr>
      </w:pPr>
      <w:r w:rsidRPr="000D756E">
        <w:rPr>
          <w:rFonts w:ascii="Arial" w:hAnsi="Arial" w:cs="Arial"/>
          <w:sz w:val="24"/>
          <w:szCs w:val="24"/>
        </w:rPr>
        <w:t xml:space="preserve"> </w:t>
      </w:r>
    </w:p>
    <w:p w14:paraId="08ABA91D" w14:textId="77777777" w:rsidR="00291C79" w:rsidRPr="000D756E" w:rsidRDefault="00291C79" w:rsidP="00291C79">
      <w:pPr>
        <w:rPr>
          <w:rFonts w:ascii="Arial" w:hAnsi="Arial" w:cs="Arial"/>
          <w:sz w:val="24"/>
          <w:szCs w:val="24"/>
        </w:rPr>
      </w:pPr>
    </w:p>
    <w:p w14:paraId="67AC8E28" w14:textId="0E63B17A" w:rsidR="00160223" w:rsidRDefault="00291C79" w:rsidP="00291C79">
      <w:pPr>
        <w:rPr>
          <w:rFonts w:ascii="Arial" w:hAnsi="Arial" w:cs="Arial"/>
          <w:sz w:val="24"/>
          <w:szCs w:val="24"/>
        </w:rPr>
      </w:pPr>
      <w:r w:rsidRPr="000D756E">
        <w:rPr>
          <w:rFonts w:ascii="Arial" w:hAnsi="Arial" w:cs="Arial"/>
          <w:sz w:val="24"/>
          <w:szCs w:val="24"/>
        </w:rPr>
        <w:t>Data has been shared with West Yorkshire Pension Fund (WYPF) for those cases facing immediate detriment because of the changes made in 2015. WYPF are now in a position, pending their own workloads, to process cases and provide these members with their Remedial Service Statement</w:t>
      </w:r>
      <w:r w:rsidR="00A847D3">
        <w:rPr>
          <w:rFonts w:ascii="Arial" w:hAnsi="Arial" w:cs="Arial"/>
          <w:sz w:val="24"/>
          <w:szCs w:val="24"/>
        </w:rPr>
        <w:t xml:space="preserve"> (RSS)</w:t>
      </w:r>
      <w:r w:rsidRPr="000D756E">
        <w:rPr>
          <w:rFonts w:ascii="Arial" w:hAnsi="Arial" w:cs="Arial"/>
          <w:sz w:val="24"/>
          <w:szCs w:val="24"/>
        </w:rPr>
        <w:t>.</w:t>
      </w:r>
    </w:p>
    <w:p w14:paraId="0D926F15" w14:textId="77777777" w:rsidR="00DA4616" w:rsidRPr="000D756E" w:rsidRDefault="00DA4616" w:rsidP="004A4AC8">
      <w:pPr>
        <w:rPr>
          <w:rFonts w:ascii="Arial" w:hAnsi="Arial" w:cs="Arial"/>
          <w:sz w:val="24"/>
          <w:szCs w:val="24"/>
        </w:rPr>
      </w:pPr>
    </w:p>
    <w:p w14:paraId="795B5007" w14:textId="4824514E" w:rsidR="0074214E" w:rsidRPr="000D756E" w:rsidRDefault="00DA4616" w:rsidP="0074214E">
      <w:pPr>
        <w:rPr>
          <w:rFonts w:ascii="Arial" w:hAnsi="Arial" w:cs="Arial"/>
          <w:bCs/>
          <w:iCs/>
          <w:sz w:val="24"/>
          <w:szCs w:val="24"/>
        </w:rPr>
      </w:pPr>
      <w:r w:rsidRPr="000D756E">
        <w:rPr>
          <w:rFonts w:ascii="Arial" w:hAnsi="Arial" w:cs="Arial"/>
          <w:b/>
          <w:bCs/>
          <w:sz w:val="24"/>
          <w:szCs w:val="24"/>
        </w:rPr>
        <w:t>M</w:t>
      </w:r>
      <w:r w:rsidR="006D565B" w:rsidRPr="000D756E">
        <w:rPr>
          <w:rFonts w:ascii="Arial" w:hAnsi="Arial" w:cs="Arial"/>
          <w:b/>
          <w:bCs/>
          <w:sz w:val="24"/>
          <w:szCs w:val="24"/>
        </w:rPr>
        <w:t>atthews</w:t>
      </w:r>
      <w:r w:rsidRPr="000D756E">
        <w:rPr>
          <w:rFonts w:ascii="Arial" w:hAnsi="Arial" w:cs="Arial"/>
          <w:b/>
          <w:bCs/>
          <w:sz w:val="24"/>
          <w:szCs w:val="24"/>
        </w:rPr>
        <w:t xml:space="preserve"> </w:t>
      </w:r>
      <w:r w:rsidR="00683035" w:rsidRPr="000D756E">
        <w:rPr>
          <w:rFonts w:ascii="Arial" w:hAnsi="Arial" w:cs="Arial"/>
          <w:b/>
          <w:bCs/>
          <w:sz w:val="24"/>
          <w:szCs w:val="24"/>
        </w:rPr>
        <w:t>–</w:t>
      </w:r>
      <w:r w:rsidRPr="000D756E">
        <w:rPr>
          <w:rFonts w:ascii="Arial" w:hAnsi="Arial" w:cs="Arial"/>
          <w:b/>
          <w:bCs/>
          <w:sz w:val="24"/>
          <w:szCs w:val="24"/>
        </w:rPr>
        <w:t xml:space="preserve"> </w:t>
      </w:r>
      <w:r w:rsidR="00683035" w:rsidRPr="000D756E">
        <w:rPr>
          <w:rFonts w:ascii="Arial" w:hAnsi="Arial" w:cs="Arial"/>
          <w:sz w:val="24"/>
          <w:szCs w:val="24"/>
        </w:rPr>
        <w:t>In 2014 /2015</w:t>
      </w:r>
      <w:r w:rsidR="00683035" w:rsidRPr="000D756E">
        <w:rPr>
          <w:rFonts w:ascii="Arial" w:hAnsi="Arial" w:cs="Arial"/>
          <w:b/>
          <w:bCs/>
          <w:sz w:val="24"/>
          <w:szCs w:val="24"/>
        </w:rPr>
        <w:t xml:space="preserve">, </w:t>
      </w:r>
      <w:r w:rsidR="00683035" w:rsidRPr="000D756E">
        <w:rPr>
          <w:rFonts w:ascii="Arial" w:hAnsi="Arial" w:cs="Arial"/>
          <w:sz w:val="24"/>
          <w:szCs w:val="24"/>
        </w:rPr>
        <w:t>it was ruled that</w:t>
      </w:r>
      <w:r w:rsidR="00683035" w:rsidRPr="000D756E">
        <w:rPr>
          <w:rFonts w:ascii="Arial" w:hAnsi="Arial" w:cs="Arial"/>
          <w:b/>
          <w:bCs/>
          <w:sz w:val="24"/>
          <w:szCs w:val="24"/>
        </w:rPr>
        <w:t xml:space="preserve"> </w:t>
      </w:r>
      <w:r w:rsidR="0074214E" w:rsidRPr="000D756E">
        <w:rPr>
          <w:rFonts w:ascii="Arial" w:hAnsi="Arial" w:cs="Arial"/>
          <w:bCs/>
          <w:iCs/>
          <w:sz w:val="24"/>
          <w:szCs w:val="24"/>
        </w:rPr>
        <w:t>retained firefighters employed between 1 July 2000 and 5 April 2006 were allowed to join the Firefighters’ Pension Scheme 2006 (FPS2006)</w:t>
      </w:r>
      <w:r w:rsidR="000B2577" w:rsidRPr="000D756E">
        <w:rPr>
          <w:rFonts w:ascii="Arial" w:hAnsi="Arial" w:cs="Arial"/>
          <w:bCs/>
          <w:iCs/>
          <w:sz w:val="24"/>
          <w:szCs w:val="24"/>
        </w:rPr>
        <w:t xml:space="preserve"> </w:t>
      </w:r>
      <w:r w:rsidR="0074214E" w:rsidRPr="000D756E">
        <w:rPr>
          <w:rFonts w:ascii="Arial" w:hAnsi="Arial" w:cs="Arial"/>
          <w:bCs/>
          <w:iCs/>
          <w:sz w:val="24"/>
          <w:szCs w:val="24"/>
        </w:rPr>
        <w:t xml:space="preserve">as ‘special’ members. </w:t>
      </w:r>
    </w:p>
    <w:p w14:paraId="3F1A04C5" w14:textId="77777777" w:rsidR="0074214E" w:rsidRPr="000D756E" w:rsidRDefault="0074214E" w:rsidP="0074214E">
      <w:pPr>
        <w:rPr>
          <w:rFonts w:ascii="Arial" w:hAnsi="Arial" w:cs="Arial"/>
          <w:bCs/>
          <w:iCs/>
          <w:sz w:val="24"/>
          <w:szCs w:val="24"/>
        </w:rPr>
      </w:pPr>
    </w:p>
    <w:p w14:paraId="6435C684" w14:textId="77777777" w:rsidR="0074214E" w:rsidRPr="000D756E" w:rsidRDefault="0074214E" w:rsidP="0074214E">
      <w:pPr>
        <w:rPr>
          <w:rFonts w:ascii="Arial" w:hAnsi="Arial" w:cs="Arial"/>
          <w:bCs/>
          <w:iCs/>
          <w:sz w:val="24"/>
          <w:szCs w:val="24"/>
        </w:rPr>
      </w:pPr>
      <w:r w:rsidRPr="000D756E">
        <w:rPr>
          <w:rFonts w:ascii="Arial" w:hAnsi="Arial" w:cs="Arial"/>
          <w:bCs/>
          <w:iCs/>
          <w:sz w:val="24"/>
          <w:szCs w:val="24"/>
        </w:rPr>
        <w:t>A time limited options exercise took place between 2014 and 2015 to allow eligible individuals to join the FPS. While the benefits awarded to special members largely mirrored the FPS1992, the FPS2006 was amended as the FPS1992 was closed.</w:t>
      </w:r>
    </w:p>
    <w:p w14:paraId="7E0DA4B2" w14:textId="77777777" w:rsidR="0074214E" w:rsidRPr="000D756E" w:rsidRDefault="0074214E" w:rsidP="0074214E">
      <w:pPr>
        <w:rPr>
          <w:rFonts w:ascii="Arial" w:hAnsi="Arial" w:cs="Arial"/>
          <w:bCs/>
          <w:iCs/>
          <w:sz w:val="24"/>
          <w:szCs w:val="24"/>
        </w:rPr>
      </w:pPr>
    </w:p>
    <w:p w14:paraId="4DCF11C3" w14:textId="77777777" w:rsidR="002E135A" w:rsidRPr="000D756E" w:rsidRDefault="00742DEE" w:rsidP="004A4AC8">
      <w:pPr>
        <w:rPr>
          <w:rFonts w:ascii="Arial" w:hAnsi="Arial" w:cs="Arial"/>
          <w:bCs/>
          <w:iCs/>
          <w:sz w:val="24"/>
          <w:szCs w:val="24"/>
        </w:rPr>
      </w:pPr>
      <w:r w:rsidRPr="000D756E">
        <w:rPr>
          <w:rFonts w:ascii="Arial" w:hAnsi="Arial" w:cs="Arial"/>
          <w:bCs/>
          <w:iCs/>
          <w:sz w:val="24"/>
          <w:szCs w:val="24"/>
        </w:rPr>
        <w:t xml:space="preserve">Retained firefighters in scope will be able to purchase pension entitlement as a special member for some of all of their service between 7 April 2000 and 5 April 2006, and /or continuous service from 5 April 2006. </w:t>
      </w:r>
    </w:p>
    <w:p w14:paraId="618FA19A" w14:textId="77777777" w:rsidR="002E135A" w:rsidRPr="000D756E" w:rsidRDefault="002E135A" w:rsidP="004A4AC8">
      <w:pPr>
        <w:rPr>
          <w:rFonts w:ascii="Arial" w:hAnsi="Arial" w:cs="Arial"/>
          <w:bCs/>
          <w:iCs/>
          <w:sz w:val="24"/>
          <w:szCs w:val="24"/>
        </w:rPr>
      </w:pPr>
    </w:p>
    <w:p w14:paraId="6A911D01" w14:textId="77777777" w:rsidR="00E66E2B" w:rsidRDefault="00E66E2B" w:rsidP="00E66E2B">
      <w:pPr>
        <w:rPr>
          <w:rFonts w:ascii="Arial" w:hAnsi="Arial" w:cs="Arial"/>
          <w:bCs/>
          <w:iCs/>
          <w:sz w:val="24"/>
          <w:szCs w:val="24"/>
        </w:rPr>
      </w:pPr>
      <w:r>
        <w:rPr>
          <w:rFonts w:ascii="Arial" w:hAnsi="Arial" w:cs="Arial"/>
          <w:bCs/>
          <w:iCs/>
          <w:sz w:val="24"/>
          <w:szCs w:val="24"/>
        </w:rPr>
        <w:t xml:space="preserve">Of 236 expressions of interest received, 231 statements have been provided. The remaining 5 statements need referral to the Governments Actuary Department for manual calculation. So far 162 members have chosen to join or extend their membership through the second options exercise and of these 84 are pensioner members, meaning immediate payment will be due to them. </w:t>
      </w:r>
    </w:p>
    <w:p w14:paraId="69993E36" w14:textId="77777777" w:rsidR="00E64C15" w:rsidRPr="000D756E" w:rsidRDefault="00E64C15" w:rsidP="004A4AC8">
      <w:pPr>
        <w:rPr>
          <w:rFonts w:ascii="Arial" w:hAnsi="Arial" w:cs="Arial"/>
          <w:sz w:val="24"/>
          <w:szCs w:val="24"/>
        </w:rPr>
      </w:pPr>
    </w:p>
    <w:p w14:paraId="01DBC47F" w14:textId="4B25D3FD" w:rsidR="00042F49" w:rsidRPr="000D756E" w:rsidRDefault="00042F49" w:rsidP="004A4AC8">
      <w:pPr>
        <w:rPr>
          <w:rFonts w:ascii="Arial" w:hAnsi="Arial" w:cs="Arial"/>
          <w:sz w:val="24"/>
          <w:szCs w:val="24"/>
        </w:rPr>
      </w:pPr>
      <w:r w:rsidRPr="000D756E">
        <w:rPr>
          <w:rFonts w:ascii="Arial" w:hAnsi="Arial" w:cs="Arial"/>
          <w:bCs/>
          <w:iCs/>
          <w:sz w:val="24"/>
          <w:szCs w:val="24"/>
        </w:rPr>
        <w:t>T</w:t>
      </w:r>
      <w:r w:rsidRPr="000D756E">
        <w:rPr>
          <w:rFonts w:ascii="Arial" w:hAnsi="Arial" w:cs="Arial"/>
          <w:sz w:val="24"/>
          <w:szCs w:val="24"/>
        </w:rPr>
        <w:t xml:space="preserve">here are potential obligations upon the Fire Authority. </w:t>
      </w:r>
      <w:r w:rsidR="0038146C" w:rsidRPr="000D756E">
        <w:rPr>
          <w:rFonts w:ascii="Arial" w:hAnsi="Arial" w:cs="Arial"/>
          <w:sz w:val="24"/>
          <w:szCs w:val="24"/>
        </w:rPr>
        <w:t xml:space="preserve">Although some </w:t>
      </w:r>
      <w:r w:rsidR="002366EC" w:rsidRPr="000D756E">
        <w:rPr>
          <w:rFonts w:ascii="Arial" w:hAnsi="Arial" w:cs="Arial"/>
          <w:sz w:val="24"/>
          <w:szCs w:val="24"/>
        </w:rPr>
        <w:t>members have received statements, the total obligation has not been estimated with certainty.</w:t>
      </w:r>
      <w:r w:rsidR="006433F9" w:rsidRPr="000D756E">
        <w:rPr>
          <w:rFonts w:ascii="Arial" w:hAnsi="Arial" w:cs="Arial"/>
          <w:sz w:val="24"/>
          <w:szCs w:val="24"/>
        </w:rPr>
        <w:t xml:space="preserve"> </w:t>
      </w:r>
    </w:p>
    <w:p w14:paraId="1B77B9AE" w14:textId="77777777" w:rsidR="00042F49" w:rsidRPr="000D756E" w:rsidRDefault="00042F49" w:rsidP="004A4AC8">
      <w:pPr>
        <w:rPr>
          <w:rFonts w:ascii="Arial" w:hAnsi="Arial" w:cs="Arial"/>
          <w:sz w:val="24"/>
          <w:szCs w:val="24"/>
        </w:rPr>
      </w:pPr>
    </w:p>
    <w:p w14:paraId="24C80CAA" w14:textId="1C03A0CB" w:rsidR="7DEAF1D0" w:rsidRPr="000D756E" w:rsidRDefault="006433F9" w:rsidP="7DEAF1D0">
      <w:pPr>
        <w:rPr>
          <w:rFonts w:ascii="Arial" w:hAnsi="Arial" w:cs="Arial"/>
          <w:sz w:val="24"/>
          <w:szCs w:val="24"/>
        </w:rPr>
      </w:pPr>
      <w:r w:rsidRPr="000D756E">
        <w:rPr>
          <w:rFonts w:ascii="Arial" w:hAnsi="Arial" w:cs="Arial"/>
          <w:sz w:val="24"/>
          <w:szCs w:val="24"/>
        </w:rPr>
        <w:t xml:space="preserve">Further information can be found </w:t>
      </w:r>
      <w:r w:rsidRPr="00C666D0">
        <w:rPr>
          <w:rFonts w:ascii="Arial" w:hAnsi="Arial" w:cs="Arial"/>
          <w:sz w:val="24"/>
          <w:szCs w:val="24"/>
        </w:rPr>
        <w:t xml:space="preserve">on page </w:t>
      </w:r>
      <w:r w:rsidR="001D3EF9" w:rsidRPr="00C666D0">
        <w:rPr>
          <w:rFonts w:ascii="Arial" w:hAnsi="Arial" w:cs="Arial"/>
          <w:sz w:val="24"/>
          <w:szCs w:val="24"/>
        </w:rPr>
        <w:t>1</w:t>
      </w:r>
      <w:r w:rsidR="00C666D0" w:rsidRPr="00C666D0">
        <w:rPr>
          <w:rFonts w:ascii="Arial" w:hAnsi="Arial" w:cs="Arial"/>
          <w:sz w:val="24"/>
          <w:szCs w:val="24"/>
        </w:rPr>
        <w:t>4</w:t>
      </w:r>
      <w:r w:rsidR="00EF2B32" w:rsidRPr="00C666D0">
        <w:rPr>
          <w:rFonts w:ascii="Arial" w:hAnsi="Arial" w:cs="Arial"/>
          <w:sz w:val="24"/>
          <w:szCs w:val="24"/>
        </w:rPr>
        <w:t>.</w:t>
      </w:r>
    </w:p>
    <w:p w14:paraId="22FF5DB9" w14:textId="77777777" w:rsidR="00AA755A" w:rsidRPr="000D756E" w:rsidRDefault="00AA755A" w:rsidP="7DEAF1D0">
      <w:pPr>
        <w:rPr>
          <w:rFonts w:ascii="Arial" w:hAnsi="Arial" w:cs="Arial"/>
          <w:sz w:val="24"/>
          <w:szCs w:val="24"/>
        </w:rPr>
      </w:pPr>
    </w:p>
    <w:p w14:paraId="610109F9" w14:textId="707E6631" w:rsidR="00AA755A" w:rsidRPr="000D756E" w:rsidRDefault="00AA755A" w:rsidP="7DEAF1D0">
      <w:pPr>
        <w:rPr>
          <w:rFonts w:ascii="Arial" w:hAnsi="Arial" w:cs="Arial"/>
          <w:b/>
          <w:bCs/>
          <w:sz w:val="24"/>
          <w:szCs w:val="24"/>
        </w:rPr>
      </w:pPr>
      <w:r w:rsidRPr="000D756E">
        <w:rPr>
          <w:rFonts w:ascii="Arial" w:hAnsi="Arial" w:cs="Arial"/>
          <w:b/>
          <w:bCs/>
          <w:sz w:val="24"/>
          <w:szCs w:val="24"/>
        </w:rPr>
        <w:t>Staff</w:t>
      </w:r>
      <w:r w:rsidR="00497227" w:rsidRPr="000D756E">
        <w:rPr>
          <w:rFonts w:ascii="Arial" w:hAnsi="Arial" w:cs="Arial"/>
          <w:b/>
          <w:bCs/>
          <w:sz w:val="24"/>
          <w:szCs w:val="24"/>
        </w:rPr>
        <w:t xml:space="preserve"> Issues</w:t>
      </w:r>
    </w:p>
    <w:p w14:paraId="4BB4E747" w14:textId="77777777" w:rsidR="00AA755A" w:rsidRPr="000D756E" w:rsidRDefault="00AA755A" w:rsidP="7DEAF1D0">
      <w:pPr>
        <w:rPr>
          <w:rFonts w:ascii="Arial" w:hAnsi="Arial" w:cs="Arial"/>
          <w:b/>
          <w:bCs/>
          <w:sz w:val="24"/>
          <w:szCs w:val="24"/>
        </w:rPr>
      </w:pPr>
    </w:p>
    <w:p w14:paraId="5A7D90E0" w14:textId="34DD9822" w:rsidR="000D49DA" w:rsidRPr="000D756E" w:rsidRDefault="006A0736" w:rsidP="000D49DA">
      <w:pPr>
        <w:rPr>
          <w:rFonts w:ascii="Arial" w:hAnsi="Arial" w:cs="Arial"/>
          <w:sz w:val="24"/>
          <w:szCs w:val="24"/>
        </w:rPr>
      </w:pPr>
      <w:r w:rsidRPr="000D756E">
        <w:rPr>
          <w:rFonts w:ascii="Arial" w:hAnsi="Arial" w:cs="Arial"/>
          <w:sz w:val="24"/>
          <w:szCs w:val="24"/>
        </w:rPr>
        <w:t xml:space="preserve">A number of senior </w:t>
      </w:r>
      <w:r w:rsidR="000F2B35" w:rsidRPr="000D756E">
        <w:rPr>
          <w:rFonts w:ascii="Arial" w:hAnsi="Arial" w:cs="Arial"/>
          <w:sz w:val="24"/>
          <w:szCs w:val="24"/>
        </w:rPr>
        <w:t>officers left or resigned from the Service during 2023/24</w:t>
      </w:r>
      <w:r w:rsidR="00CD3BBB" w:rsidRPr="000D756E">
        <w:rPr>
          <w:rFonts w:ascii="Arial" w:hAnsi="Arial" w:cs="Arial"/>
          <w:sz w:val="24"/>
          <w:szCs w:val="24"/>
        </w:rPr>
        <w:t xml:space="preserve">. </w:t>
      </w:r>
      <w:r w:rsidR="000D49DA" w:rsidRPr="000D756E">
        <w:rPr>
          <w:rFonts w:ascii="Arial" w:hAnsi="Arial" w:cs="Arial"/>
          <w:sz w:val="24"/>
          <w:szCs w:val="24"/>
        </w:rPr>
        <w:t>In April 2024, a number of allegations were made against the Fire Authority and members of its leadership team</w:t>
      </w:r>
      <w:r w:rsidR="00B25736" w:rsidRPr="000D756E">
        <w:rPr>
          <w:rFonts w:ascii="Arial" w:hAnsi="Arial" w:cs="Arial"/>
          <w:sz w:val="24"/>
          <w:szCs w:val="24"/>
        </w:rPr>
        <w:t>; t</w:t>
      </w:r>
      <w:r w:rsidR="000D49DA" w:rsidRPr="000D756E">
        <w:rPr>
          <w:rFonts w:ascii="Arial" w:hAnsi="Arial" w:cs="Arial"/>
          <w:sz w:val="24"/>
          <w:szCs w:val="24"/>
        </w:rPr>
        <w:t>his led to senior members of staff being absent from the Service.</w:t>
      </w:r>
    </w:p>
    <w:p w14:paraId="28365D5A" w14:textId="77777777" w:rsidR="00CD3BBB" w:rsidRPr="000D756E" w:rsidRDefault="00CD3BBB" w:rsidP="000D49DA">
      <w:pPr>
        <w:rPr>
          <w:rFonts w:ascii="Arial" w:hAnsi="Arial" w:cs="Arial"/>
          <w:sz w:val="24"/>
          <w:szCs w:val="24"/>
        </w:rPr>
      </w:pPr>
    </w:p>
    <w:p w14:paraId="7202DCA4" w14:textId="4C88F20F" w:rsidR="00CD3BBB" w:rsidRPr="000D756E" w:rsidRDefault="00CD3BBB" w:rsidP="000D49DA">
      <w:pPr>
        <w:rPr>
          <w:rFonts w:ascii="Arial" w:hAnsi="Arial" w:cs="Arial"/>
          <w:sz w:val="24"/>
          <w:szCs w:val="24"/>
        </w:rPr>
      </w:pPr>
      <w:r w:rsidRPr="000D756E">
        <w:rPr>
          <w:rFonts w:ascii="Arial" w:hAnsi="Arial" w:cs="Arial"/>
          <w:sz w:val="24"/>
          <w:szCs w:val="24"/>
        </w:rPr>
        <w:t xml:space="preserve">The Authority </w:t>
      </w:r>
      <w:r w:rsidR="00B25736" w:rsidRPr="000D756E">
        <w:rPr>
          <w:rFonts w:ascii="Arial" w:hAnsi="Arial" w:cs="Arial"/>
          <w:sz w:val="24"/>
          <w:szCs w:val="24"/>
        </w:rPr>
        <w:t xml:space="preserve">has </w:t>
      </w:r>
      <w:r w:rsidRPr="000D756E">
        <w:rPr>
          <w:rFonts w:ascii="Arial" w:hAnsi="Arial" w:cs="Arial"/>
          <w:sz w:val="24"/>
          <w:szCs w:val="24"/>
        </w:rPr>
        <w:t xml:space="preserve">made a contribution to the Pensions and Other Staff Issues Reserve to mitigate </w:t>
      </w:r>
      <w:r w:rsidR="00DD7ABD" w:rsidRPr="000D756E">
        <w:rPr>
          <w:rFonts w:ascii="Arial" w:hAnsi="Arial" w:cs="Arial"/>
          <w:sz w:val="24"/>
          <w:szCs w:val="24"/>
        </w:rPr>
        <w:t>the impact of future employment liabilities.</w:t>
      </w:r>
    </w:p>
    <w:p w14:paraId="400B9E35" w14:textId="77777777" w:rsidR="00681269" w:rsidRPr="000D756E" w:rsidRDefault="00681269" w:rsidP="000D49DA">
      <w:pPr>
        <w:rPr>
          <w:rFonts w:ascii="Arial" w:hAnsi="Arial" w:cs="Arial"/>
          <w:sz w:val="24"/>
          <w:szCs w:val="24"/>
        </w:rPr>
      </w:pPr>
    </w:p>
    <w:p w14:paraId="473A4F3E" w14:textId="1E6BD896" w:rsidR="00681269" w:rsidRPr="000D756E" w:rsidRDefault="00681269" w:rsidP="000D49DA">
      <w:pPr>
        <w:rPr>
          <w:rFonts w:ascii="Arial" w:hAnsi="Arial" w:cs="Arial"/>
          <w:sz w:val="24"/>
          <w:szCs w:val="24"/>
        </w:rPr>
      </w:pPr>
      <w:r w:rsidRPr="000D756E">
        <w:rPr>
          <w:rFonts w:ascii="Arial" w:hAnsi="Arial" w:cs="Arial"/>
          <w:sz w:val="24"/>
          <w:szCs w:val="24"/>
        </w:rPr>
        <w:t>There are no exit packages that are demonstrably committed to</w:t>
      </w:r>
      <w:r w:rsidR="0042213C" w:rsidRPr="000D756E">
        <w:rPr>
          <w:rFonts w:ascii="Arial" w:hAnsi="Arial" w:cs="Arial"/>
          <w:sz w:val="24"/>
          <w:szCs w:val="24"/>
        </w:rPr>
        <w:t xml:space="preserve"> and no pre</w:t>
      </w:r>
      <w:r w:rsidR="00635D24" w:rsidRPr="000D756E">
        <w:rPr>
          <w:rFonts w:ascii="Arial" w:hAnsi="Arial" w:cs="Arial"/>
          <w:sz w:val="24"/>
          <w:szCs w:val="24"/>
        </w:rPr>
        <w:t>s</w:t>
      </w:r>
      <w:r w:rsidR="0042213C" w:rsidRPr="000D756E">
        <w:rPr>
          <w:rFonts w:ascii="Arial" w:hAnsi="Arial" w:cs="Arial"/>
          <w:sz w:val="24"/>
          <w:szCs w:val="24"/>
        </w:rPr>
        <w:t xml:space="preserve">ent obligation resulting from past events. </w:t>
      </w:r>
      <w:r w:rsidR="008073E5" w:rsidRPr="000D756E">
        <w:rPr>
          <w:rFonts w:ascii="Arial" w:hAnsi="Arial" w:cs="Arial"/>
          <w:sz w:val="24"/>
          <w:szCs w:val="24"/>
        </w:rPr>
        <w:t xml:space="preserve">It </w:t>
      </w:r>
      <w:r w:rsidR="006F79BE" w:rsidRPr="000D756E">
        <w:rPr>
          <w:rFonts w:ascii="Arial" w:hAnsi="Arial" w:cs="Arial"/>
          <w:sz w:val="24"/>
          <w:szCs w:val="24"/>
        </w:rPr>
        <w:t>is not probabl</w:t>
      </w:r>
      <w:r w:rsidR="00155842" w:rsidRPr="000D756E">
        <w:rPr>
          <w:rFonts w:ascii="Arial" w:hAnsi="Arial" w:cs="Arial"/>
          <w:sz w:val="24"/>
          <w:szCs w:val="24"/>
        </w:rPr>
        <w:t xml:space="preserve">e that </w:t>
      </w:r>
      <w:r w:rsidR="008073E5" w:rsidRPr="000D756E">
        <w:rPr>
          <w:rFonts w:ascii="Arial" w:hAnsi="Arial" w:cs="Arial"/>
          <w:sz w:val="24"/>
          <w:szCs w:val="24"/>
        </w:rPr>
        <w:t>there will be an outflow</w:t>
      </w:r>
      <w:r w:rsidR="009D3FE8" w:rsidRPr="000D756E">
        <w:rPr>
          <w:rFonts w:ascii="Arial" w:hAnsi="Arial" w:cs="Arial"/>
          <w:sz w:val="24"/>
          <w:szCs w:val="24"/>
        </w:rPr>
        <w:t xml:space="preserve"> of resources that represent economic benefits.</w:t>
      </w:r>
    </w:p>
    <w:p w14:paraId="7AA05A27" w14:textId="77777777" w:rsidR="00291C79" w:rsidRPr="000D756E" w:rsidRDefault="00291C79" w:rsidP="004A4AC8">
      <w:pPr>
        <w:rPr>
          <w:rFonts w:ascii="Arial" w:hAnsi="Arial" w:cs="Arial"/>
          <w:b/>
          <w:sz w:val="24"/>
          <w:szCs w:val="24"/>
          <w:highlight w:val="cyan"/>
        </w:rPr>
      </w:pPr>
    </w:p>
    <w:p w14:paraId="1B7CFFEA" w14:textId="77777777" w:rsidR="4AD3BFC1" w:rsidRPr="000D756E" w:rsidRDefault="4AD3BFC1" w:rsidP="4AD3BFC1">
      <w:pPr>
        <w:rPr>
          <w:rFonts w:ascii="Arial" w:hAnsi="Arial" w:cs="Arial"/>
          <w:b/>
          <w:bCs/>
          <w:sz w:val="24"/>
          <w:szCs w:val="24"/>
          <w:highlight w:val="cyan"/>
        </w:rPr>
      </w:pPr>
    </w:p>
    <w:p w14:paraId="70FBFDFF" w14:textId="1D177C7B" w:rsidR="00D95E2C" w:rsidRPr="000D756E" w:rsidRDefault="00D95E2C" w:rsidP="001C227A">
      <w:pPr>
        <w:numPr>
          <w:ilvl w:val="0"/>
          <w:numId w:val="15"/>
        </w:numPr>
        <w:rPr>
          <w:rFonts w:ascii="Arial" w:hAnsi="Arial" w:cs="Arial"/>
          <w:b/>
          <w:sz w:val="24"/>
          <w:szCs w:val="24"/>
        </w:rPr>
      </w:pPr>
      <w:r w:rsidRPr="000D756E">
        <w:rPr>
          <w:rFonts w:ascii="Arial" w:hAnsi="Arial" w:cs="Arial"/>
          <w:b/>
          <w:sz w:val="24"/>
          <w:szCs w:val="24"/>
        </w:rPr>
        <w:t>EVENTS AFTER THE BALANCE SHEET DATE</w:t>
      </w:r>
    </w:p>
    <w:p w14:paraId="0E4C07A4" w14:textId="77777777" w:rsidR="00D95E2C" w:rsidRPr="000D756E" w:rsidRDefault="00D95E2C" w:rsidP="00D95E2C">
      <w:pPr>
        <w:ind w:left="360"/>
        <w:rPr>
          <w:rFonts w:ascii="Arial" w:hAnsi="Arial" w:cs="Arial"/>
          <w:b/>
          <w:sz w:val="24"/>
          <w:szCs w:val="24"/>
        </w:rPr>
      </w:pPr>
    </w:p>
    <w:p w14:paraId="48AC1932" w14:textId="656A60BD" w:rsidR="00AC7E07" w:rsidRPr="000D756E" w:rsidRDefault="00D95E2C" w:rsidP="004030B4">
      <w:pPr>
        <w:rPr>
          <w:rFonts w:ascii="Arial" w:hAnsi="Arial" w:cs="Arial"/>
          <w:sz w:val="24"/>
          <w:szCs w:val="24"/>
        </w:rPr>
      </w:pPr>
      <w:r w:rsidRPr="000D756E">
        <w:rPr>
          <w:rFonts w:ascii="Arial" w:hAnsi="Arial" w:cs="Arial"/>
          <w:sz w:val="24"/>
          <w:szCs w:val="24"/>
        </w:rPr>
        <w:t xml:space="preserve">The Statement of Accounts was signed off by the </w:t>
      </w:r>
      <w:r w:rsidRPr="00C666D0">
        <w:rPr>
          <w:rFonts w:ascii="Arial" w:hAnsi="Arial" w:cs="Arial"/>
          <w:sz w:val="24"/>
          <w:szCs w:val="24"/>
        </w:rPr>
        <w:t xml:space="preserve">Treasurer on </w:t>
      </w:r>
      <w:r w:rsidR="00606382" w:rsidRPr="00C666D0">
        <w:rPr>
          <w:rFonts w:ascii="Arial" w:hAnsi="Arial" w:cs="Arial"/>
          <w:sz w:val="24"/>
          <w:szCs w:val="24"/>
        </w:rPr>
        <w:t xml:space="preserve"> </w:t>
      </w:r>
      <w:r w:rsidR="00D215BF" w:rsidRPr="00C666D0">
        <w:rPr>
          <w:rFonts w:ascii="Arial" w:hAnsi="Arial" w:cs="Arial"/>
          <w:sz w:val="24"/>
          <w:szCs w:val="24"/>
        </w:rPr>
        <w:t xml:space="preserve"> </w:t>
      </w:r>
      <w:r w:rsidR="00606382" w:rsidRPr="00C666D0">
        <w:rPr>
          <w:rFonts w:ascii="Arial" w:hAnsi="Arial" w:cs="Arial"/>
          <w:sz w:val="24"/>
          <w:szCs w:val="24"/>
        </w:rPr>
        <w:t>Ju</w:t>
      </w:r>
      <w:r w:rsidR="006E113D" w:rsidRPr="00C666D0">
        <w:rPr>
          <w:rFonts w:ascii="Arial" w:hAnsi="Arial" w:cs="Arial"/>
          <w:sz w:val="24"/>
          <w:szCs w:val="24"/>
        </w:rPr>
        <w:t>ly</w:t>
      </w:r>
      <w:r w:rsidR="00744FDB" w:rsidRPr="00C666D0">
        <w:rPr>
          <w:rFonts w:ascii="Arial" w:hAnsi="Arial" w:cs="Arial"/>
          <w:sz w:val="24"/>
          <w:szCs w:val="24"/>
        </w:rPr>
        <w:t xml:space="preserve"> 202</w:t>
      </w:r>
      <w:r w:rsidR="003B3502" w:rsidRPr="00C666D0">
        <w:rPr>
          <w:rFonts w:ascii="Arial" w:hAnsi="Arial" w:cs="Arial"/>
          <w:sz w:val="24"/>
          <w:szCs w:val="24"/>
        </w:rPr>
        <w:t>5</w:t>
      </w:r>
      <w:r w:rsidRPr="00C666D0">
        <w:rPr>
          <w:rFonts w:ascii="Arial" w:hAnsi="Arial" w:cs="Arial"/>
          <w:sz w:val="24"/>
          <w:szCs w:val="24"/>
        </w:rPr>
        <w:t>.</w:t>
      </w:r>
      <w:r w:rsidRPr="000D756E">
        <w:rPr>
          <w:rFonts w:ascii="Arial" w:hAnsi="Arial" w:cs="Arial"/>
          <w:sz w:val="24"/>
          <w:szCs w:val="24"/>
        </w:rPr>
        <w:t xml:space="preserve"> </w:t>
      </w:r>
    </w:p>
    <w:p w14:paraId="39B12112" w14:textId="77777777" w:rsidR="00AC7E07" w:rsidRPr="000D756E" w:rsidRDefault="00AC7E07" w:rsidP="004030B4">
      <w:pPr>
        <w:rPr>
          <w:rFonts w:ascii="Arial" w:hAnsi="Arial" w:cs="Arial"/>
          <w:sz w:val="24"/>
          <w:szCs w:val="24"/>
        </w:rPr>
      </w:pPr>
    </w:p>
    <w:p w14:paraId="7A0C8913" w14:textId="3C46D0A0" w:rsidR="000726A1" w:rsidRPr="000D756E" w:rsidRDefault="00AC7E07" w:rsidP="004030B4">
      <w:pPr>
        <w:rPr>
          <w:rFonts w:ascii="Arial" w:hAnsi="Arial" w:cs="Arial"/>
          <w:sz w:val="24"/>
          <w:szCs w:val="24"/>
        </w:rPr>
      </w:pPr>
      <w:r w:rsidRPr="000D756E">
        <w:rPr>
          <w:rFonts w:ascii="Arial" w:hAnsi="Arial" w:cs="Arial"/>
          <w:sz w:val="24"/>
          <w:szCs w:val="24"/>
        </w:rPr>
        <w:t xml:space="preserve">Events may occur between the financial year end and the date that the Statement of Accounts is authorised for issue. Any such events that existed on the balance sheet date that have a financial impact on the financial statements would be adjusted. </w:t>
      </w:r>
      <w:r w:rsidRPr="000D756E">
        <w:rPr>
          <w:rFonts w:ascii="Arial" w:hAnsi="Arial" w:cs="Arial"/>
          <w:sz w:val="24"/>
          <w:szCs w:val="24"/>
        </w:rPr>
        <w:lastRenderedPageBreak/>
        <w:t xml:space="preserve">Those that did not </w:t>
      </w:r>
      <w:r w:rsidR="006C7CD7" w:rsidRPr="000D756E">
        <w:rPr>
          <w:rFonts w:ascii="Arial" w:hAnsi="Arial" w:cs="Arial"/>
          <w:sz w:val="24"/>
          <w:szCs w:val="24"/>
        </w:rPr>
        <w:t>exist</w:t>
      </w:r>
      <w:r w:rsidRPr="000D756E">
        <w:rPr>
          <w:rFonts w:ascii="Arial" w:hAnsi="Arial" w:cs="Arial"/>
          <w:sz w:val="24"/>
          <w:szCs w:val="24"/>
        </w:rPr>
        <w:t xml:space="preserve"> at the balance sheet date may require disclosure in the financial statements.</w:t>
      </w:r>
    </w:p>
    <w:p w14:paraId="15810982" w14:textId="77777777" w:rsidR="000726A1" w:rsidRPr="000D756E" w:rsidRDefault="000726A1" w:rsidP="004030B4">
      <w:pPr>
        <w:rPr>
          <w:rFonts w:ascii="Arial" w:hAnsi="Arial" w:cs="Arial"/>
          <w:sz w:val="24"/>
          <w:szCs w:val="24"/>
        </w:rPr>
      </w:pPr>
    </w:p>
    <w:p w14:paraId="7EA56259" w14:textId="087F9FD0" w:rsidR="00FD7E28" w:rsidRPr="000D756E" w:rsidRDefault="000726A1" w:rsidP="004030B4">
      <w:pPr>
        <w:rPr>
          <w:rFonts w:ascii="Arial" w:hAnsi="Arial" w:cs="Arial"/>
          <w:strike/>
          <w:sz w:val="24"/>
          <w:szCs w:val="24"/>
        </w:rPr>
      </w:pPr>
      <w:r w:rsidRPr="000D756E">
        <w:rPr>
          <w:rFonts w:ascii="Arial" w:hAnsi="Arial" w:cs="Arial"/>
          <w:sz w:val="24"/>
          <w:szCs w:val="24"/>
        </w:rPr>
        <w:t>No such events have taken place</w:t>
      </w:r>
      <w:r w:rsidR="006C7CD7" w:rsidRPr="000D756E">
        <w:rPr>
          <w:rFonts w:ascii="Arial" w:hAnsi="Arial" w:cs="Arial"/>
          <w:sz w:val="24"/>
          <w:szCs w:val="24"/>
        </w:rPr>
        <w:t xml:space="preserve"> since the Statement of Accounts </w:t>
      </w:r>
      <w:r w:rsidR="00A30E8C" w:rsidRPr="000D756E">
        <w:rPr>
          <w:rFonts w:ascii="Arial" w:hAnsi="Arial" w:cs="Arial"/>
          <w:sz w:val="24"/>
          <w:szCs w:val="24"/>
        </w:rPr>
        <w:t>was authorised for issue.</w:t>
      </w:r>
    </w:p>
    <w:p w14:paraId="29BAF4E2" w14:textId="56E4AE06" w:rsidR="00EC0B86" w:rsidRPr="000D756E" w:rsidRDefault="00EC0B86">
      <w:pPr>
        <w:rPr>
          <w:rFonts w:ascii="Arial" w:hAnsi="Arial" w:cs="Arial"/>
          <w:sz w:val="24"/>
          <w:szCs w:val="24"/>
        </w:rPr>
      </w:pPr>
      <w:r w:rsidRPr="000D756E">
        <w:rPr>
          <w:rFonts w:ascii="Arial" w:hAnsi="Arial" w:cs="Arial"/>
          <w:sz w:val="24"/>
          <w:szCs w:val="24"/>
        </w:rPr>
        <w:br w:type="page"/>
      </w:r>
    </w:p>
    <w:p w14:paraId="1DF4FB57" w14:textId="77777777" w:rsidR="000417E8" w:rsidRPr="000D756E" w:rsidRDefault="000417E8" w:rsidP="002A7C01">
      <w:pPr>
        <w:rPr>
          <w:rFonts w:ascii="Arial" w:hAnsi="Arial" w:cs="Arial"/>
          <w:sz w:val="24"/>
          <w:szCs w:val="24"/>
        </w:rPr>
      </w:pPr>
    </w:p>
    <w:p w14:paraId="04514205" w14:textId="3FFBD879" w:rsidR="00B921A6" w:rsidRPr="000D756E" w:rsidRDefault="00BE3E59" w:rsidP="001C227A">
      <w:pPr>
        <w:numPr>
          <w:ilvl w:val="0"/>
          <w:numId w:val="15"/>
        </w:numPr>
        <w:rPr>
          <w:rFonts w:ascii="Arial" w:hAnsi="Arial" w:cs="Arial"/>
          <w:b/>
          <w:sz w:val="24"/>
          <w:szCs w:val="24"/>
        </w:rPr>
      </w:pPr>
      <w:r w:rsidRPr="000D756E">
        <w:rPr>
          <w:rFonts w:ascii="Arial" w:hAnsi="Arial" w:cs="Arial"/>
          <w:b/>
          <w:sz w:val="24"/>
          <w:szCs w:val="24"/>
        </w:rPr>
        <w:t>PROPERTY PLANT AND EQUIPMENT</w:t>
      </w:r>
      <w:r w:rsidR="0073705B" w:rsidRPr="000D756E">
        <w:rPr>
          <w:rFonts w:ascii="Arial" w:hAnsi="Arial" w:cs="Arial"/>
          <w:b/>
          <w:sz w:val="24"/>
          <w:szCs w:val="24"/>
        </w:rPr>
        <w:t xml:space="preserve"> </w:t>
      </w:r>
    </w:p>
    <w:p w14:paraId="3C5E6AF8" w14:textId="77777777" w:rsidR="00B921A6" w:rsidRPr="000D756E" w:rsidRDefault="00B921A6" w:rsidP="002A7C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417"/>
        <w:gridCol w:w="1634"/>
        <w:gridCol w:w="1456"/>
      </w:tblGrid>
      <w:tr w:rsidR="006329E6" w:rsidRPr="000D756E" w14:paraId="39B379BD" w14:textId="77777777" w:rsidTr="00176503">
        <w:tc>
          <w:tcPr>
            <w:tcW w:w="4503" w:type="dxa"/>
            <w:tcBorders>
              <w:bottom w:val="single" w:sz="4" w:space="0" w:color="auto"/>
            </w:tcBorders>
          </w:tcPr>
          <w:p w14:paraId="0D3A8BEE" w14:textId="77777777" w:rsidR="00E55E82" w:rsidRPr="000D756E" w:rsidRDefault="00E55E82" w:rsidP="002A7C01">
            <w:pPr>
              <w:rPr>
                <w:rFonts w:ascii="Arial" w:hAnsi="Arial" w:cs="Arial"/>
                <w:b/>
                <w:sz w:val="24"/>
                <w:szCs w:val="24"/>
              </w:rPr>
            </w:pPr>
          </w:p>
          <w:p w14:paraId="1A16E927" w14:textId="77777777" w:rsidR="00E55E82" w:rsidRPr="000D756E" w:rsidRDefault="00E55E82" w:rsidP="002A7C01">
            <w:pPr>
              <w:rPr>
                <w:rFonts w:ascii="Arial" w:hAnsi="Arial" w:cs="Arial"/>
                <w:b/>
                <w:sz w:val="24"/>
                <w:szCs w:val="24"/>
              </w:rPr>
            </w:pPr>
          </w:p>
          <w:p w14:paraId="7BFB3FC7" w14:textId="35B24846" w:rsidR="00B921A6" w:rsidRPr="000D756E" w:rsidRDefault="00E55E82" w:rsidP="00807121">
            <w:pPr>
              <w:rPr>
                <w:rFonts w:ascii="Arial" w:hAnsi="Arial" w:cs="Arial"/>
                <w:sz w:val="24"/>
                <w:szCs w:val="24"/>
              </w:rPr>
            </w:pPr>
            <w:r w:rsidRPr="000D756E">
              <w:rPr>
                <w:rFonts w:ascii="Arial" w:hAnsi="Arial" w:cs="Arial"/>
                <w:b/>
                <w:sz w:val="24"/>
                <w:szCs w:val="24"/>
              </w:rPr>
              <w:t>Movements in 20</w:t>
            </w:r>
            <w:r w:rsidR="002B09E4" w:rsidRPr="000D756E">
              <w:rPr>
                <w:rFonts w:ascii="Arial" w:hAnsi="Arial" w:cs="Arial"/>
                <w:b/>
                <w:sz w:val="24"/>
                <w:szCs w:val="24"/>
              </w:rPr>
              <w:t>2</w:t>
            </w:r>
            <w:r w:rsidR="00DF0B70">
              <w:rPr>
                <w:rFonts w:ascii="Arial" w:hAnsi="Arial" w:cs="Arial"/>
                <w:b/>
                <w:sz w:val="24"/>
                <w:szCs w:val="24"/>
              </w:rPr>
              <w:t>4/25</w:t>
            </w:r>
          </w:p>
        </w:tc>
        <w:tc>
          <w:tcPr>
            <w:tcW w:w="1417" w:type="dxa"/>
            <w:tcBorders>
              <w:bottom w:val="single" w:sz="4" w:space="0" w:color="auto"/>
            </w:tcBorders>
          </w:tcPr>
          <w:p w14:paraId="70CAA17D" w14:textId="77777777" w:rsidR="00B921A6" w:rsidRPr="000D756E" w:rsidRDefault="00B921A6" w:rsidP="0004335B">
            <w:pPr>
              <w:jc w:val="right"/>
              <w:rPr>
                <w:rFonts w:ascii="Arial" w:hAnsi="Arial" w:cs="Arial"/>
                <w:b/>
                <w:sz w:val="24"/>
                <w:szCs w:val="24"/>
              </w:rPr>
            </w:pPr>
          </w:p>
          <w:p w14:paraId="28A21D57" w14:textId="77777777" w:rsidR="00B921A6" w:rsidRPr="000D756E" w:rsidRDefault="00B921A6" w:rsidP="0004335B">
            <w:pPr>
              <w:jc w:val="right"/>
              <w:rPr>
                <w:rFonts w:ascii="Arial" w:hAnsi="Arial" w:cs="Arial"/>
                <w:b/>
                <w:sz w:val="24"/>
                <w:szCs w:val="24"/>
              </w:rPr>
            </w:pPr>
          </w:p>
          <w:p w14:paraId="6E4C5FDB" w14:textId="77777777" w:rsidR="00B921A6" w:rsidRPr="000D756E" w:rsidRDefault="00B921A6" w:rsidP="0004335B">
            <w:pPr>
              <w:jc w:val="right"/>
              <w:rPr>
                <w:rFonts w:ascii="Arial" w:hAnsi="Arial" w:cs="Arial"/>
                <w:b/>
                <w:sz w:val="24"/>
                <w:szCs w:val="24"/>
              </w:rPr>
            </w:pPr>
            <w:r w:rsidRPr="000D756E">
              <w:rPr>
                <w:rFonts w:ascii="Arial" w:hAnsi="Arial" w:cs="Arial"/>
                <w:b/>
                <w:sz w:val="24"/>
                <w:szCs w:val="24"/>
              </w:rPr>
              <w:t>Land &amp; Buildings</w:t>
            </w:r>
          </w:p>
          <w:p w14:paraId="030638D1" w14:textId="77777777" w:rsidR="00B921A6" w:rsidRPr="000D756E" w:rsidRDefault="00B921A6" w:rsidP="0004335B">
            <w:pPr>
              <w:jc w:val="right"/>
              <w:rPr>
                <w:rFonts w:ascii="Arial" w:hAnsi="Arial" w:cs="Arial"/>
                <w:b/>
                <w:sz w:val="24"/>
                <w:szCs w:val="24"/>
              </w:rPr>
            </w:pPr>
            <w:r w:rsidRPr="000D756E">
              <w:rPr>
                <w:rFonts w:ascii="Arial" w:hAnsi="Arial" w:cs="Arial"/>
                <w:b/>
                <w:sz w:val="24"/>
                <w:szCs w:val="24"/>
              </w:rPr>
              <w:t>£’000</w:t>
            </w:r>
          </w:p>
        </w:tc>
        <w:tc>
          <w:tcPr>
            <w:tcW w:w="1634" w:type="dxa"/>
            <w:tcBorders>
              <w:bottom w:val="single" w:sz="4" w:space="0" w:color="auto"/>
            </w:tcBorders>
          </w:tcPr>
          <w:p w14:paraId="20BE5EE7" w14:textId="77777777" w:rsidR="00B921A6" w:rsidRPr="000D756E" w:rsidRDefault="00B921A6" w:rsidP="0004335B">
            <w:pPr>
              <w:jc w:val="right"/>
              <w:rPr>
                <w:rFonts w:ascii="Arial" w:hAnsi="Arial" w:cs="Arial"/>
                <w:b/>
                <w:sz w:val="24"/>
                <w:szCs w:val="24"/>
              </w:rPr>
            </w:pPr>
            <w:r w:rsidRPr="000D756E">
              <w:rPr>
                <w:rFonts w:ascii="Arial" w:hAnsi="Arial" w:cs="Arial"/>
                <w:b/>
                <w:sz w:val="24"/>
                <w:szCs w:val="24"/>
              </w:rPr>
              <w:t>Vehicles, Plant, Furniture &amp; Equipment</w:t>
            </w:r>
          </w:p>
          <w:p w14:paraId="424B8781" w14:textId="77777777" w:rsidR="00B921A6" w:rsidRPr="000D756E" w:rsidRDefault="00B921A6" w:rsidP="0004335B">
            <w:pPr>
              <w:jc w:val="right"/>
              <w:rPr>
                <w:rFonts w:ascii="Arial" w:hAnsi="Arial" w:cs="Arial"/>
                <w:b/>
                <w:sz w:val="24"/>
                <w:szCs w:val="24"/>
              </w:rPr>
            </w:pPr>
            <w:r w:rsidRPr="000D756E">
              <w:rPr>
                <w:rFonts w:ascii="Arial" w:hAnsi="Arial" w:cs="Arial"/>
                <w:b/>
                <w:sz w:val="24"/>
                <w:szCs w:val="24"/>
              </w:rPr>
              <w:t>£’000</w:t>
            </w:r>
          </w:p>
        </w:tc>
        <w:tc>
          <w:tcPr>
            <w:tcW w:w="1456" w:type="dxa"/>
            <w:tcBorders>
              <w:bottom w:val="single" w:sz="4" w:space="0" w:color="auto"/>
            </w:tcBorders>
          </w:tcPr>
          <w:p w14:paraId="669A4A8F" w14:textId="77777777" w:rsidR="00B921A6" w:rsidRPr="000D756E" w:rsidRDefault="00B921A6" w:rsidP="0004335B">
            <w:pPr>
              <w:jc w:val="right"/>
              <w:rPr>
                <w:rFonts w:ascii="Arial" w:hAnsi="Arial" w:cs="Arial"/>
                <w:b/>
                <w:sz w:val="24"/>
                <w:szCs w:val="24"/>
              </w:rPr>
            </w:pPr>
          </w:p>
          <w:p w14:paraId="482B42F7" w14:textId="77777777" w:rsidR="00B921A6" w:rsidRPr="000D756E" w:rsidRDefault="00B921A6" w:rsidP="0004335B">
            <w:pPr>
              <w:jc w:val="right"/>
              <w:rPr>
                <w:rFonts w:ascii="Arial" w:hAnsi="Arial" w:cs="Arial"/>
                <w:b/>
                <w:sz w:val="24"/>
                <w:szCs w:val="24"/>
              </w:rPr>
            </w:pPr>
            <w:r w:rsidRPr="000D756E">
              <w:rPr>
                <w:rFonts w:ascii="Arial" w:hAnsi="Arial" w:cs="Arial"/>
                <w:b/>
                <w:sz w:val="24"/>
                <w:szCs w:val="24"/>
              </w:rPr>
              <w:t>Property Plant &amp; Equipment</w:t>
            </w:r>
          </w:p>
          <w:p w14:paraId="3EB4D09A" w14:textId="77777777" w:rsidR="00B921A6" w:rsidRPr="000D756E" w:rsidRDefault="00B921A6" w:rsidP="0004335B">
            <w:pPr>
              <w:jc w:val="right"/>
              <w:rPr>
                <w:rFonts w:ascii="Arial" w:hAnsi="Arial" w:cs="Arial"/>
                <w:b/>
                <w:sz w:val="24"/>
                <w:szCs w:val="24"/>
              </w:rPr>
            </w:pPr>
            <w:r w:rsidRPr="000D756E">
              <w:rPr>
                <w:rFonts w:ascii="Arial" w:hAnsi="Arial" w:cs="Arial"/>
                <w:b/>
                <w:sz w:val="24"/>
                <w:szCs w:val="24"/>
              </w:rPr>
              <w:t>£’000</w:t>
            </w:r>
          </w:p>
        </w:tc>
      </w:tr>
      <w:tr w:rsidR="001303EB" w:rsidRPr="000D756E" w14:paraId="0041A108" w14:textId="77777777" w:rsidTr="007C23E5">
        <w:tc>
          <w:tcPr>
            <w:tcW w:w="4503" w:type="dxa"/>
            <w:tcBorders>
              <w:top w:val="single" w:sz="4" w:space="0" w:color="auto"/>
              <w:left w:val="single" w:sz="4" w:space="0" w:color="auto"/>
              <w:bottom w:val="nil"/>
              <w:right w:val="single" w:sz="4" w:space="0" w:color="auto"/>
            </w:tcBorders>
          </w:tcPr>
          <w:p w14:paraId="355220AD" w14:textId="77777777" w:rsidR="001303EB" w:rsidRPr="000D756E" w:rsidRDefault="001303EB" w:rsidP="001303EB">
            <w:pPr>
              <w:rPr>
                <w:rFonts w:ascii="Arial" w:hAnsi="Arial" w:cs="Arial"/>
                <w:sz w:val="24"/>
                <w:szCs w:val="24"/>
              </w:rPr>
            </w:pPr>
          </w:p>
          <w:p w14:paraId="2ABC5E99" w14:textId="77777777" w:rsidR="001303EB" w:rsidRPr="000D756E" w:rsidRDefault="001303EB" w:rsidP="001303EB">
            <w:pPr>
              <w:rPr>
                <w:rFonts w:ascii="Arial" w:hAnsi="Arial" w:cs="Arial"/>
                <w:b/>
                <w:sz w:val="24"/>
                <w:szCs w:val="24"/>
              </w:rPr>
            </w:pPr>
            <w:r w:rsidRPr="000D756E">
              <w:rPr>
                <w:rFonts w:ascii="Arial" w:hAnsi="Arial" w:cs="Arial"/>
                <w:b/>
                <w:sz w:val="24"/>
                <w:szCs w:val="24"/>
              </w:rPr>
              <w:t>Cost or Valuation</w:t>
            </w:r>
          </w:p>
          <w:p w14:paraId="1785CD94" w14:textId="77777777" w:rsidR="001303EB" w:rsidRPr="000D756E" w:rsidRDefault="001303EB" w:rsidP="001303EB">
            <w:pPr>
              <w:rPr>
                <w:rFonts w:ascii="Arial" w:hAnsi="Arial" w:cs="Arial"/>
                <w:sz w:val="24"/>
                <w:szCs w:val="24"/>
              </w:rPr>
            </w:pPr>
          </w:p>
          <w:p w14:paraId="032C70E0" w14:textId="5E50D540" w:rsidR="001303EB" w:rsidRPr="000D756E" w:rsidRDefault="001303EB" w:rsidP="001303EB">
            <w:pPr>
              <w:rPr>
                <w:rFonts w:ascii="Arial" w:hAnsi="Arial" w:cs="Arial"/>
                <w:b/>
                <w:sz w:val="24"/>
                <w:szCs w:val="24"/>
              </w:rPr>
            </w:pPr>
            <w:r w:rsidRPr="000D756E">
              <w:rPr>
                <w:rFonts w:ascii="Arial" w:hAnsi="Arial" w:cs="Arial"/>
                <w:b/>
                <w:sz w:val="24"/>
                <w:szCs w:val="24"/>
              </w:rPr>
              <w:t>At 1 April 202</w:t>
            </w:r>
            <w:r w:rsidR="00C0312C">
              <w:rPr>
                <w:rFonts w:ascii="Arial" w:hAnsi="Arial" w:cs="Arial"/>
                <w:b/>
                <w:sz w:val="24"/>
                <w:szCs w:val="24"/>
              </w:rPr>
              <w:t>4</w:t>
            </w:r>
          </w:p>
          <w:p w14:paraId="5AF2E723" w14:textId="77777777" w:rsidR="001303EB" w:rsidRPr="000D756E" w:rsidRDefault="001303EB" w:rsidP="001303EB">
            <w:pPr>
              <w:rPr>
                <w:rFonts w:ascii="Arial" w:hAnsi="Arial" w:cs="Arial"/>
                <w:sz w:val="24"/>
                <w:szCs w:val="24"/>
              </w:rPr>
            </w:pPr>
          </w:p>
        </w:tc>
        <w:tc>
          <w:tcPr>
            <w:tcW w:w="1417" w:type="dxa"/>
            <w:tcBorders>
              <w:top w:val="single" w:sz="4" w:space="0" w:color="auto"/>
              <w:bottom w:val="single" w:sz="4" w:space="0" w:color="auto"/>
            </w:tcBorders>
          </w:tcPr>
          <w:p w14:paraId="61DB9427" w14:textId="77777777" w:rsidR="001303EB" w:rsidRPr="000D756E" w:rsidRDefault="001303EB" w:rsidP="001303EB">
            <w:pPr>
              <w:jc w:val="right"/>
              <w:rPr>
                <w:rFonts w:ascii="Arial" w:hAnsi="Arial" w:cs="Arial"/>
                <w:b/>
                <w:sz w:val="24"/>
                <w:szCs w:val="24"/>
              </w:rPr>
            </w:pPr>
          </w:p>
          <w:p w14:paraId="1AE8F296" w14:textId="3FCF867E" w:rsidR="001303EB" w:rsidRPr="000D756E" w:rsidRDefault="001303EB" w:rsidP="001303EB">
            <w:pPr>
              <w:jc w:val="right"/>
              <w:rPr>
                <w:rFonts w:ascii="Arial" w:hAnsi="Arial" w:cs="Arial"/>
                <w:bCs/>
                <w:sz w:val="24"/>
                <w:szCs w:val="24"/>
              </w:rPr>
            </w:pPr>
            <w:r w:rsidRPr="000D756E">
              <w:rPr>
                <w:rFonts w:ascii="Arial" w:hAnsi="Arial" w:cs="Arial"/>
                <w:b/>
                <w:sz w:val="24"/>
                <w:szCs w:val="24"/>
              </w:rPr>
              <w:t>27,645</w:t>
            </w:r>
          </w:p>
        </w:tc>
        <w:tc>
          <w:tcPr>
            <w:tcW w:w="1634" w:type="dxa"/>
            <w:tcBorders>
              <w:top w:val="single" w:sz="4" w:space="0" w:color="auto"/>
              <w:bottom w:val="single" w:sz="4" w:space="0" w:color="auto"/>
            </w:tcBorders>
          </w:tcPr>
          <w:p w14:paraId="73D8AE63" w14:textId="77777777" w:rsidR="001303EB" w:rsidRPr="000D756E" w:rsidRDefault="001303EB" w:rsidP="001303EB">
            <w:pPr>
              <w:jc w:val="right"/>
              <w:rPr>
                <w:rFonts w:ascii="Arial" w:hAnsi="Arial" w:cs="Arial"/>
                <w:b/>
                <w:sz w:val="24"/>
                <w:szCs w:val="24"/>
              </w:rPr>
            </w:pPr>
          </w:p>
          <w:p w14:paraId="54B5BBD0" w14:textId="06BC7891" w:rsidR="001303EB" w:rsidRPr="000D756E" w:rsidRDefault="001303EB" w:rsidP="001303EB">
            <w:pPr>
              <w:jc w:val="right"/>
              <w:rPr>
                <w:rFonts w:ascii="Arial" w:hAnsi="Arial" w:cs="Arial"/>
                <w:bCs/>
                <w:sz w:val="24"/>
                <w:szCs w:val="24"/>
              </w:rPr>
            </w:pPr>
            <w:r w:rsidRPr="000D756E">
              <w:rPr>
                <w:rFonts w:ascii="Arial" w:hAnsi="Arial" w:cs="Arial"/>
                <w:b/>
                <w:sz w:val="24"/>
                <w:szCs w:val="24"/>
              </w:rPr>
              <w:t>23,44</w:t>
            </w:r>
            <w:r w:rsidR="00034B77">
              <w:rPr>
                <w:rFonts w:ascii="Arial" w:hAnsi="Arial" w:cs="Arial"/>
                <w:b/>
                <w:sz w:val="24"/>
                <w:szCs w:val="24"/>
              </w:rPr>
              <w:t>2</w:t>
            </w:r>
          </w:p>
        </w:tc>
        <w:tc>
          <w:tcPr>
            <w:tcW w:w="1456" w:type="dxa"/>
            <w:tcBorders>
              <w:top w:val="single" w:sz="4" w:space="0" w:color="auto"/>
              <w:bottom w:val="single" w:sz="4" w:space="0" w:color="auto"/>
            </w:tcBorders>
          </w:tcPr>
          <w:p w14:paraId="3A532C46" w14:textId="77777777" w:rsidR="001303EB" w:rsidRPr="000D756E" w:rsidRDefault="001303EB" w:rsidP="001303EB">
            <w:pPr>
              <w:jc w:val="right"/>
              <w:rPr>
                <w:rFonts w:ascii="Arial" w:hAnsi="Arial" w:cs="Arial"/>
                <w:b/>
                <w:sz w:val="24"/>
                <w:szCs w:val="24"/>
              </w:rPr>
            </w:pPr>
          </w:p>
          <w:p w14:paraId="2CD4F181" w14:textId="32ADC751" w:rsidR="001303EB" w:rsidRPr="000D756E" w:rsidRDefault="001303EB" w:rsidP="001303EB">
            <w:pPr>
              <w:jc w:val="right"/>
              <w:rPr>
                <w:rFonts w:ascii="Arial" w:hAnsi="Arial" w:cs="Arial"/>
                <w:bCs/>
                <w:sz w:val="24"/>
                <w:szCs w:val="24"/>
              </w:rPr>
            </w:pPr>
            <w:r w:rsidRPr="000D756E">
              <w:rPr>
                <w:rFonts w:ascii="Arial" w:hAnsi="Arial" w:cs="Arial"/>
                <w:b/>
                <w:sz w:val="24"/>
                <w:szCs w:val="24"/>
              </w:rPr>
              <w:t>51,08</w:t>
            </w:r>
            <w:r w:rsidR="004250CD">
              <w:rPr>
                <w:rFonts w:ascii="Arial" w:hAnsi="Arial" w:cs="Arial"/>
                <w:b/>
                <w:sz w:val="24"/>
                <w:szCs w:val="24"/>
              </w:rPr>
              <w:t>7</w:t>
            </w:r>
          </w:p>
        </w:tc>
      </w:tr>
      <w:tr w:rsidR="006329E6" w:rsidRPr="000D756E" w14:paraId="73B704C3" w14:textId="77777777" w:rsidTr="007C23E5">
        <w:trPr>
          <w:trHeight w:val="367"/>
        </w:trPr>
        <w:tc>
          <w:tcPr>
            <w:tcW w:w="4503" w:type="dxa"/>
            <w:tcBorders>
              <w:top w:val="nil"/>
              <w:left w:val="single" w:sz="4" w:space="0" w:color="auto"/>
              <w:bottom w:val="nil"/>
              <w:right w:val="single" w:sz="4" w:space="0" w:color="auto"/>
            </w:tcBorders>
          </w:tcPr>
          <w:p w14:paraId="70CB681A" w14:textId="77777777" w:rsidR="007C23E5" w:rsidRPr="000D756E" w:rsidRDefault="007C23E5" w:rsidP="002A7C01">
            <w:pPr>
              <w:rPr>
                <w:rFonts w:ascii="Arial" w:hAnsi="Arial" w:cs="Arial"/>
                <w:sz w:val="24"/>
                <w:szCs w:val="24"/>
              </w:rPr>
            </w:pPr>
          </w:p>
          <w:p w14:paraId="46659021" w14:textId="77777777" w:rsidR="00B921A6" w:rsidRPr="000D756E" w:rsidRDefault="00B921A6" w:rsidP="002A7C01">
            <w:pPr>
              <w:rPr>
                <w:rFonts w:ascii="Arial" w:hAnsi="Arial" w:cs="Arial"/>
                <w:sz w:val="24"/>
                <w:szCs w:val="24"/>
              </w:rPr>
            </w:pPr>
            <w:r w:rsidRPr="000D756E">
              <w:rPr>
                <w:rFonts w:ascii="Arial" w:hAnsi="Arial" w:cs="Arial"/>
                <w:sz w:val="24"/>
                <w:szCs w:val="24"/>
              </w:rPr>
              <w:t>Additions</w:t>
            </w:r>
          </w:p>
        </w:tc>
        <w:tc>
          <w:tcPr>
            <w:tcW w:w="1417" w:type="dxa"/>
            <w:tcBorders>
              <w:top w:val="single" w:sz="4" w:space="0" w:color="auto"/>
              <w:left w:val="single" w:sz="4" w:space="0" w:color="auto"/>
              <w:bottom w:val="nil"/>
              <w:right w:val="single" w:sz="4" w:space="0" w:color="auto"/>
            </w:tcBorders>
            <w:vAlign w:val="bottom"/>
          </w:tcPr>
          <w:p w14:paraId="41570C64" w14:textId="369DA9B9" w:rsidR="00B921A6" w:rsidRPr="000D756E" w:rsidRDefault="00B97C41" w:rsidP="0004335B">
            <w:pPr>
              <w:jc w:val="right"/>
              <w:rPr>
                <w:rFonts w:ascii="Arial" w:hAnsi="Arial" w:cs="Arial"/>
                <w:sz w:val="24"/>
                <w:szCs w:val="24"/>
              </w:rPr>
            </w:pPr>
            <w:r>
              <w:rPr>
                <w:rFonts w:ascii="Arial" w:hAnsi="Arial" w:cs="Arial"/>
                <w:sz w:val="24"/>
                <w:szCs w:val="24"/>
              </w:rPr>
              <w:t>2,193</w:t>
            </w:r>
          </w:p>
        </w:tc>
        <w:tc>
          <w:tcPr>
            <w:tcW w:w="1634" w:type="dxa"/>
            <w:tcBorders>
              <w:top w:val="single" w:sz="4" w:space="0" w:color="auto"/>
              <w:left w:val="single" w:sz="4" w:space="0" w:color="auto"/>
              <w:bottom w:val="nil"/>
              <w:right w:val="single" w:sz="4" w:space="0" w:color="auto"/>
            </w:tcBorders>
            <w:vAlign w:val="bottom"/>
          </w:tcPr>
          <w:p w14:paraId="43834054" w14:textId="4C678ECB" w:rsidR="00B921A6" w:rsidRPr="000D756E" w:rsidRDefault="00B97C41" w:rsidP="0004335B">
            <w:pPr>
              <w:jc w:val="right"/>
              <w:rPr>
                <w:rFonts w:ascii="Arial" w:hAnsi="Arial" w:cs="Arial"/>
                <w:sz w:val="24"/>
                <w:szCs w:val="24"/>
              </w:rPr>
            </w:pPr>
            <w:r>
              <w:rPr>
                <w:rFonts w:ascii="Arial" w:hAnsi="Arial" w:cs="Arial"/>
                <w:sz w:val="24"/>
                <w:szCs w:val="24"/>
              </w:rPr>
              <w:t>3,96</w:t>
            </w:r>
            <w:r w:rsidR="00EE60F1">
              <w:rPr>
                <w:rFonts w:ascii="Arial" w:hAnsi="Arial" w:cs="Arial"/>
                <w:sz w:val="24"/>
                <w:szCs w:val="24"/>
              </w:rPr>
              <w:t>9</w:t>
            </w:r>
          </w:p>
        </w:tc>
        <w:tc>
          <w:tcPr>
            <w:tcW w:w="1456" w:type="dxa"/>
            <w:tcBorders>
              <w:top w:val="single" w:sz="4" w:space="0" w:color="auto"/>
              <w:left w:val="single" w:sz="4" w:space="0" w:color="auto"/>
              <w:bottom w:val="nil"/>
              <w:right w:val="single" w:sz="4" w:space="0" w:color="auto"/>
            </w:tcBorders>
            <w:vAlign w:val="bottom"/>
          </w:tcPr>
          <w:p w14:paraId="62F1DCF8" w14:textId="4BE9FC62" w:rsidR="00B84DF7" w:rsidRPr="000D756E" w:rsidRDefault="007340AF" w:rsidP="000B3CF5">
            <w:pPr>
              <w:jc w:val="right"/>
              <w:rPr>
                <w:rFonts w:ascii="Arial" w:hAnsi="Arial" w:cs="Arial"/>
                <w:sz w:val="24"/>
                <w:szCs w:val="24"/>
              </w:rPr>
            </w:pPr>
            <w:r>
              <w:rPr>
                <w:rFonts w:ascii="Arial" w:hAnsi="Arial" w:cs="Arial"/>
                <w:sz w:val="24"/>
                <w:szCs w:val="24"/>
              </w:rPr>
              <w:t>6,16</w:t>
            </w:r>
            <w:r w:rsidR="00EE60F1">
              <w:rPr>
                <w:rFonts w:ascii="Arial" w:hAnsi="Arial" w:cs="Arial"/>
                <w:sz w:val="24"/>
                <w:szCs w:val="24"/>
              </w:rPr>
              <w:t>2</w:t>
            </w:r>
          </w:p>
        </w:tc>
      </w:tr>
      <w:tr w:rsidR="006329E6" w:rsidRPr="000D756E" w14:paraId="5F565186" w14:textId="77777777" w:rsidTr="000B3CF5">
        <w:tc>
          <w:tcPr>
            <w:tcW w:w="4503" w:type="dxa"/>
            <w:tcBorders>
              <w:top w:val="nil"/>
              <w:left w:val="single" w:sz="4" w:space="0" w:color="auto"/>
              <w:bottom w:val="nil"/>
              <w:right w:val="single" w:sz="4" w:space="0" w:color="auto"/>
            </w:tcBorders>
          </w:tcPr>
          <w:p w14:paraId="4F3E918B" w14:textId="77777777" w:rsidR="00A75DE2" w:rsidRPr="000D756E" w:rsidRDefault="00A75DE2" w:rsidP="002A7C01">
            <w:pPr>
              <w:rPr>
                <w:rFonts w:ascii="Arial" w:hAnsi="Arial" w:cs="Arial"/>
                <w:sz w:val="24"/>
                <w:szCs w:val="24"/>
              </w:rPr>
            </w:pPr>
            <w:r w:rsidRPr="000D756E">
              <w:rPr>
                <w:rFonts w:ascii="Arial" w:hAnsi="Arial" w:cs="Arial"/>
                <w:sz w:val="24"/>
                <w:szCs w:val="24"/>
              </w:rPr>
              <w:t>Revaluation increases / -decreases recognised in the Revaluation Reserve</w:t>
            </w:r>
          </w:p>
        </w:tc>
        <w:tc>
          <w:tcPr>
            <w:tcW w:w="1417" w:type="dxa"/>
            <w:tcBorders>
              <w:top w:val="nil"/>
              <w:left w:val="single" w:sz="4" w:space="0" w:color="auto"/>
              <w:bottom w:val="nil"/>
              <w:right w:val="single" w:sz="4" w:space="0" w:color="auto"/>
            </w:tcBorders>
            <w:vAlign w:val="bottom"/>
          </w:tcPr>
          <w:p w14:paraId="0F0EBBA4" w14:textId="0277C3FD" w:rsidR="00190C4B" w:rsidRPr="000D756E" w:rsidRDefault="007340AF" w:rsidP="000B3CF5">
            <w:pPr>
              <w:jc w:val="right"/>
              <w:rPr>
                <w:rFonts w:ascii="Arial" w:hAnsi="Arial" w:cs="Arial"/>
                <w:sz w:val="24"/>
                <w:szCs w:val="24"/>
              </w:rPr>
            </w:pPr>
            <w:r>
              <w:rPr>
                <w:rFonts w:ascii="Arial" w:hAnsi="Arial" w:cs="Arial"/>
                <w:sz w:val="24"/>
                <w:szCs w:val="24"/>
              </w:rPr>
              <w:t>2,717</w:t>
            </w:r>
          </w:p>
        </w:tc>
        <w:tc>
          <w:tcPr>
            <w:tcW w:w="1634" w:type="dxa"/>
            <w:tcBorders>
              <w:top w:val="nil"/>
              <w:left w:val="single" w:sz="4" w:space="0" w:color="auto"/>
              <w:bottom w:val="nil"/>
              <w:right w:val="single" w:sz="4" w:space="0" w:color="auto"/>
            </w:tcBorders>
            <w:vAlign w:val="bottom"/>
          </w:tcPr>
          <w:p w14:paraId="43413A66" w14:textId="47A66CD1" w:rsidR="007C23E5" w:rsidRPr="000D756E" w:rsidRDefault="007340AF" w:rsidP="000B3CF5">
            <w:pPr>
              <w:jc w:val="right"/>
              <w:rPr>
                <w:rFonts w:ascii="Arial" w:hAnsi="Arial" w:cs="Arial"/>
                <w:sz w:val="24"/>
                <w:szCs w:val="24"/>
              </w:rPr>
            </w:pPr>
            <w:r>
              <w:rPr>
                <w:rFonts w:ascii="Arial" w:hAnsi="Arial" w:cs="Arial"/>
                <w:sz w:val="24"/>
                <w:szCs w:val="24"/>
              </w:rPr>
              <w:t>0</w:t>
            </w:r>
          </w:p>
        </w:tc>
        <w:tc>
          <w:tcPr>
            <w:tcW w:w="1456" w:type="dxa"/>
            <w:tcBorders>
              <w:top w:val="nil"/>
              <w:left w:val="single" w:sz="4" w:space="0" w:color="auto"/>
              <w:bottom w:val="nil"/>
              <w:right w:val="single" w:sz="4" w:space="0" w:color="auto"/>
            </w:tcBorders>
            <w:vAlign w:val="bottom"/>
          </w:tcPr>
          <w:p w14:paraId="386A4142" w14:textId="1264315C" w:rsidR="007C23E5" w:rsidRPr="000D756E" w:rsidRDefault="007340AF" w:rsidP="000B3CF5">
            <w:pPr>
              <w:jc w:val="right"/>
              <w:rPr>
                <w:rFonts w:ascii="Arial" w:hAnsi="Arial" w:cs="Arial"/>
                <w:sz w:val="24"/>
                <w:szCs w:val="24"/>
              </w:rPr>
            </w:pPr>
            <w:r>
              <w:rPr>
                <w:rFonts w:ascii="Arial" w:hAnsi="Arial" w:cs="Arial"/>
                <w:sz w:val="24"/>
                <w:szCs w:val="24"/>
              </w:rPr>
              <w:t>2,717</w:t>
            </w:r>
          </w:p>
        </w:tc>
      </w:tr>
      <w:tr w:rsidR="006329E6" w:rsidRPr="000D756E" w14:paraId="54A3EAEF" w14:textId="77777777" w:rsidTr="00317CCA">
        <w:tc>
          <w:tcPr>
            <w:tcW w:w="4503" w:type="dxa"/>
            <w:tcBorders>
              <w:top w:val="nil"/>
              <w:left w:val="single" w:sz="4" w:space="0" w:color="auto"/>
              <w:bottom w:val="nil"/>
              <w:right w:val="single" w:sz="4" w:space="0" w:color="auto"/>
            </w:tcBorders>
          </w:tcPr>
          <w:p w14:paraId="0D8265A3" w14:textId="77777777" w:rsidR="00176503" w:rsidRPr="000D756E" w:rsidRDefault="00176503" w:rsidP="00A75DE2">
            <w:pPr>
              <w:rPr>
                <w:rFonts w:ascii="Arial" w:hAnsi="Arial" w:cs="Arial"/>
                <w:sz w:val="24"/>
                <w:szCs w:val="24"/>
              </w:rPr>
            </w:pPr>
            <w:r w:rsidRPr="000D756E">
              <w:rPr>
                <w:rFonts w:ascii="Arial" w:hAnsi="Arial" w:cs="Arial"/>
                <w:sz w:val="24"/>
                <w:szCs w:val="24"/>
              </w:rPr>
              <w:t>Revaluation increases</w:t>
            </w:r>
            <w:r w:rsidR="00A75DE2" w:rsidRPr="000D756E">
              <w:rPr>
                <w:rFonts w:ascii="Arial" w:hAnsi="Arial" w:cs="Arial"/>
                <w:sz w:val="24"/>
                <w:szCs w:val="24"/>
              </w:rPr>
              <w:t xml:space="preserve"> </w:t>
            </w:r>
            <w:r w:rsidRPr="000D756E">
              <w:rPr>
                <w:rFonts w:ascii="Arial" w:hAnsi="Arial" w:cs="Arial"/>
                <w:sz w:val="24"/>
                <w:szCs w:val="24"/>
              </w:rPr>
              <w:t>/</w:t>
            </w:r>
            <w:r w:rsidR="00A75DE2" w:rsidRPr="000D756E">
              <w:rPr>
                <w:rFonts w:ascii="Arial" w:hAnsi="Arial" w:cs="Arial"/>
                <w:sz w:val="24"/>
                <w:szCs w:val="24"/>
              </w:rPr>
              <w:t xml:space="preserve"> -</w:t>
            </w:r>
            <w:r w:rsidRPr="000D756E">
              <w:rPr>
                <w:rFonts w:ascii="Arial" w:hAnsi="Arial" w:cs="Arial"/>
                <w:sz w:val="24"/>
                <w:szCs w:val="24"/>
              </w:rPr>
              <w:t>decreases recognised in the Surplus/Deficit on the Provision of Services</w:t>
            </w:r>
          </w:p>
        </w:tc>
        <w:tc>
          <w:tcPr>
            <w:tcW w:w="1417" w:type="dxa"/>
            <w:tcBorders>
              <w:top w:val="nil"/>
              <w:left w:val="single" w:sz="4" w:space="0" w:color="auto"/>
              <w:bottom w:val="nil"/>
              <w:right w:val="single" w:sz="4" w:space="0" w:color="auto"/>
            </w:tcBorders>
          </w:tcPr>
          <w:p w14:paraId="5A754992" w14:textId="77777777" w:rsidR="00D8416D" w:rsidRDefault="00D8416D" w:rsidP="00EE7BCA">
            <w:pPr>
              <w:jc w:val="right"/>
              <w:rPr>
                <w:rFonts w:ascii="Arial" w:hAnsi="Arial" w:cs="Arial"/>
                <w:sz w:val="24"/>
                <w:szCs w:val="24"/>
              </w:rPr>
            </w:pPr>
          </w:p>
          <w:p w14:paraId="371C708A" w14:textId="60944486" w:rsidR="007340AF" w:rsidRPr="000D756E" w:rsidRDefault="007340AF" w:rsidP="00EE7BCA">
            <w:pPr>
              <w:jc w:val="right"/>
              <w:rPr>
                <w:rFonts w:ascii="Arial" w:hAnsi="Arial" w:cs="Arial"/>
                <w:sz w:val="24"/>
                <w:szCs w:val="24"/>
              </w:rPr>
            </w:pPr>
            <w:r>
              <w:rPr>
                <w:rFonts w:ascii="Arial" w:hAnsi="Arial" w:cs="Arial"/>
                <w:sz w:val="24"/>
                <w:szCs w:val="24"/>
              </w:rPr>
              <w:t>0</w:t>
            </w:r>
          </w:p>
        </w:tc>
        <w:tc>
          <w:tcPr>
            <w:tcW w:w="1634" w:type="dxa"/>
            <w:tcBorders>
              <w:top w:val="nil"/>
              <w:left w:val="single" w:sz="4" w:space="0" w:color="auto"/>
              <w:bottom w:val="nil"/>
              <w:right w:val="single" w:sz="4" w:space="0" w:color="auto"/>
            </w:tcBorders>
          </w:tcPr>
          <w:p w14:paraId="605076C1" w14:textId="77777777" w:rsidR="00A23F5D" w:rsidRDefault="00A23F5D" w:rsidP="0004335B">
            <w:pPr>
              <w:jc w:val="right"/>
              <w:rPr>
                <w:rFonts w:ascii="Arial" w:hAnsi="Arial" w:cs="Arial"/>
                <w:sz w:val="24"/>
                <w:szCs w:val="24"/>
              </w:rPr>
            </w:pPr>
          </w:p>
          <w:p w14:paraId="44851C18" w14:textId="09E8AF92" w:rsidR="007340AF" w:rsidRPr="000D756E" w:rsidRDefault="007340AF" w:rsidP="0004335B">
            <w:pPr>
              <w:jc w:val="right"/>
              <w:rPr>
                <w:rFonts w:ascii="Arial" w:hAnsi="Arial" w:cs="Arial"/>
                <w:sz w:val="24"/>
                <w:szCs w:val="24"/>
              </w:rPr>
            </w:pPr>
            <w:r>
              <w:rPr>
                <w:rFonts w:ascii="Arial" w:hAnsi="Arial" w:cs="Arial"/>
                <w:sz w:val="24"/>
                <w:szCs w:val="24"/>
              </w:rPr>
              <w:t>0</w:t>
            </w:r>
          </w:p>
        </w:tc>
        <w:tc>
          <w:tcPr>
            <w:tcW w:w="1456" w:type="dxa"/>
            <w:tcBorders>
              <w:top w:val="nil"/>
              <w:left w:val="single" w:sz="4" w:space="0" w:color="auto"/>
              <w:bottom w:val="nil"/>
              <w:right w:val="single" w:sz="4" w:space="0" w:color="auto"/>
            </w:tcBorders>
          </w:tcPr>
          <w:p w14:paraId="3A368881" w14:textId="77777777" w:rsidR="00032D9D" w:rsidRDefault="00032D9D" w:rsidP="00EE7BCA">
            <w:pPr>
              <w:jc w:val="right"/>
              <w:rPr>
                <w:rFonts w:ascii="Arial" w:hAnsi="Arial" w:cs="Arial"/>
                <w:sz w:val="24"/>
                <w:szCs w:val="24"/>
              </w:rPr>
            </w:pPr>
          </w:p>
          <w:p w14:paraId="57F45D16" w14:textId="591F9ECB" w:rsidR="007340AF" w:rsidRPr="000D756E" w:rsidRDefault="007340AF" w:rsidP="00EE7BCA">
            <w:pPr>
              <w:jc w:val="right"/>
              <w:rPr>
                <w:rFonts w:ascii="Arial" w:hAnsi="Arial" w:cs="Arial"/>
                <w:sz w:val="24"/>
                <w:szCs w:val="24"/>
              </w:rPr>
            </w:pPr>
            <w:r>
              <w:rPr>
                <w:rFonts w:ascii="Arial" w:hAnsi="Arial" w:cs="Arial"/>
                <w:sz w:val="24"/>
                <w:szCs w:val="24"/>
              </w:rPr>
              <w:t>0</w:t>
            </w:r>
          </w:p>
        </w:tc>
      </w:tr>
      <w:tr w:rsidR="006329E6" w:rsidRPr="000D756E" w14:paraId="19C4982D" w14:textId="77777777" w:rsidTr="00317CCA">
        <w:tc>
          <w:tcPr>
            <w:tcW w:w="4503" w:type="dxa"/>
            <w:tcBorders>
              <w:top w:val="nil"/>
              <w:left w:val="single" w:sz="4" w:space="0" w:color="auto"/>
              <w:bottom w:val="nil"/>
              <w:right w:val="single" w:sz="4" w:space="0" w:color="auto"/>
            </w:tcBorders>
          </w:tcPr>
          <w:p w14:paraId="23F2F098" w14:textId="77777777" w:rsidR="00317CCA" w:rsidRPr="000D756E" w:rsidRDefault="00317CCA" w:rsidP="00A75DE2">
            <w:pPr>
              <w:rPr>
                <w:rFonts w:ascii="Arial" w:hAnsi="Arial" w:cs="Arial"/>
                <w:sz w:val="24"/>
                <w:szCs w:val="24"/>
              </w:rPr>
            </w:pPr>
          </w:p>
        </w:tc>
        <w:tc>
          <w:tcPr>
            <w:tcW w:w="1417" w:type="dxa"/>
            <w:tcBorders>
              <w:top w:val="nil"/>
              <w:left w:val="single" w:sz="4" w:space="0" w:color="auto"/>
              <w:bottom w:val="nil"/>
              <w:right w:val="single" w:sz="4" w:space="0" w:color="auto"/>
            </w:tcBorders>
          </w:tcPr>
          <w:p w14:paraId="3A04AD51" w14:textId="77777777" w:rsidR="00317CCA" w:rsidRPr="000D756E" w:rsidRDefault="00317CCA" w:rsidP="00EE7BCA">
            <w:pPr>
              <w:jc w:val="right"/>
              <w:rPr>
                <w:rFonts w:ascii="Arial" w:hAnsi="Arial" w:cs="Arial"/>
                <w:sz w:val="24"/>
                <w:szCs w:val="24"/>
              </w:rPr>
            </w:pPr>
          </w:p>
        </w:tc>
        <w:tc>
          <w:tcPr>
            <w:tcW w:w="1634" w:type="dxa"/>
            <w:tcBorders>
              <w:top w:val="nil"/>
              <w:left w:val="single" w:sz="4" w:space="0" w:color="auto"/>
              <w:bottom w:val="nil"/>
              <w:right w:val="single" w:sz="4" w:space="0" w:color="auto"/>
            </w:tcBorders>
          </w:tcPr>
          <w:p w14:paraId="6079DBCF" w14:textId="77777777" w:rsidR="00317CCA" w:rsidRPr="000D756E" w:rsidRDefault="00317CCA" w:rsidP="0004335B">
            <w:pPr>
              <w:jc w:val="right"/>
              <w:rPr>
                <w:rFonts w:ascii="Arial" w:hAnsi="Arial" w:cs="Arial"/>
                <w:sz w:val="24"/>
                <w:szCs w:val="24"/>
              </w:rPr>
            </w:pPr>
          </w:p>
        </w:tc>
        <w:tc>
          <w:tcPr>
            <w:tcW w:w="1456" w:type="dxa"/>
            <w:tcBorders>
              <w:top w:val="nil"/>
              <w:left w:val="single" w:sz="4" w:space="0" w:color="auto"/>
              <w:bottom w:val="nil"/>
              <w:right w:val="single" w:sz="4" w:space="0" w:color="auto"/>
            </w:tcBorders>
          </w:tcPr>
          <w:p w14:paraId="3DF276CE" w14:textId="77777777" w:rsidR="00317CCA" w:rsidRPr="000D756E" w:rsidRDefault="00317CCA" w:rsidP="00EE7BCA">
            <w:pPr>
              <w:jc w:val="right"/>
              <w:rPr>
                <w:rFonts w:ascii="Arial" w:hAnsi="Arial" w:cs="Arial"/>
                <w:sz w:val="24"/>
                <w:szCs w:val="24"/>
              </w:rPr>
            </w:pPr>
          </w:p>
        </w:tc>
      </w:tr>
      <w:tr w:rsidR="006329E6" w:rsidRPr="000D756E" w14:paraId="3E054194" w14:textId="77777777" w:rsidTr="00032D9D">
        <w:tc>
          <w:tcPr>
            <w:tcW w:w="4503" w:type="dxa"/>
            <w:tcBorders>
              <w:top w:val="nil"/>
              <w:left w:val="single" w:sz="4" w:space="0" w:color="auto"/>
              <w:bottom w:val="nil"/>
              <w:right w:val="single" w:sz="4" w:space="0" w:color="auto"/>
            </w:tcBorders>
          </w:tcPr>
          <w:p w14:paraId="2EFF5A53" w14:textId="17454D39" w:rsidR="00317CCA" w:rsidRPr="000D756E" w:rsidRDefault="00317CCA" w:rsidP="00A75DE2">
            <w:pPr>
              <w:rPr>
                <w:rFonts w:ascii="Arial" w:hAnsi="Arial" w:cs="Arial"/>
                <w:sz w:val="24"/>
                <w:szCs w:val="24"/>
              </w:rPr>
            </w:pPr>
            <w:r w:rsidRPr="000D756E">
              <w:rPr>
                <w:rFonts w:ascii="Arial" w:hAnsi="Arial" w:cs="Arial"/>
                <w:sz w:val="24"/>
                <w:szCs w:val="24"/>
              </w:rPr>
              <w:t>Disposals</w:t>
            </w:r>
          </w:p>
        </w:tc>
        <w:tc>
          <w:tcPr>
            <w:tcW w:w="1417" w:type="dxa"/>
            <w:tcBorders>
              <w:top w:val="nil"/>
              <w:left w:val="single" w:sz="4" w:space="0" w:color="auto"/>
              <w:bottom w:val="nil"/>
              <w:right w:val="single" w:sz="4" w:space="0" w:color="auto"/>
            </w:tcBorders>
          </w:tcPr>
          <w:p w14:paraId="15390057" w14:textId="2D1BBB19" w:rsidR="00317CCA" w:rsidRPr="000D756E" w:rsidRDefault="007340AF" w:rsidP="00EE7BCA">
            <w:pPr>
              <w:jc w:val="right"/>
              <w:rPr>
                <w:rFonts w:ascii="Arial" w:hAnsi="Arial" w:cs="Arial"/>
                <w:sz w:val="24"/>
                <w:szCs w:val="24"/>
              </w:rPr>
            </w:pPr>
            <w:r>
              <w:rPr>
                <w:rFonts w:ascii="Arial" w:hAnsi="Arial" w:cs="Arial"/>
                <w:sz w:val="24"/>
                <w:szCs w:val="24"/>
              </w:rPr>
              <w:t>0</w:t>
            </w:r>
          </w:p>
        </w:tc>
        <w:tc>
          <w:tcPr>
            <w:tcW w:w="1634" w:type="dxa"/>
            <w:tcBorders>
              <w:top w:val="nil"/>
              <w:left w:val="single" w:sz="4" w:space="0" w:color="auto"/>
              <w:bottom w:val="nil"/>
              <w:right w:val="single" w:sz="4" w:space="0" w:color="auto"/>
            </w:tcBorders>
          </w:tcPr>
          <w:p w14:paraId="46CED4F2" w14:textId="21843642" w:rsidR="00317CCA" w:rsidRPr="000D756E" w:rsidRDefault="004066A6" w:rsidP="0004335B">
            <w:pPr>
              <w:jc w:val="right"/>
              <w:rPr>
                <w:rFonts w:ascii="Arial" w:hAnsi="Arial" w:cs="Arial"/>
                <w:sz w:val="24"/>
                <w:szCs w:val="24"/>
              </w:rPr>
            </w:pPr>
            <w:r>
              <w:rPr>
                <w:rFonts w:ascii="Arial" w:hAnsi="Arial" w:cs="Arial"/>
                <w:sz w:val="24"/>
                <w:szCs w:val="24"/>
              </w:rPr>
              <w:t>-33</w:t>
            </w:r>
            <w:r w:rsidR="00851D05">
              <w:rPr>
                <w:rFonts w:ascii="Arial" w:hAnsi="Arial" w:cs="Arial"/>
                <w:sz w:val="24"/>
                <w:szCs w:val="24"/>
              </w:rPr>
              <w:t>5</w:t>
            </w:r>
          </w:p>
        </w:tc>
        <w:tc>
          <w:tcPr>
            <w:tcW w:w="1456" w:type="dxa"/>
            <w:tcBorders>
              <w:top w:val="nil"/>
              <w:left w:val="single" w:sz="4" w:space="0" w:color="auto"/>
              <w:bottom w:val="nil"/>
              <w:right w:val="single" w:sz="4" w:space="0" w:color="auto"/>
            </w:tcBorders>
          </w:tcPr>
          <w:p w14:paraId="07CC271D" w14:textId="2E8512BE" w:rsidR="00317CCA" w:rsidRPr="000D756E" w:rsidRDefault="00904F8F" w:rsidP="00EE7BCA">
            <w:pPr>
              <w:jc w:val="right"/>
              <w:rPr>
                <w:rFonts w:ascii="Arial" w:hAnsi="Arial" w:cs="Arial"/>
                <w:sz w:val="24"/>
                <w:szCs w:val="24"/>
              </w:rPr>
            </w:pPr>
            <w:r>
              <w:rPr>
                <w:rFonts w:ascii="Arial" w:hAnsi="Arial" w:cs="Arial"/>
                <w:sz w:val="24"/>
                <w:szCs w:val="24"/>
              </w:rPr>
              <w:t>-335</w:t>
            </w:r>
          </w:p>
        </w:tc>
      </w:tr>
      <w:tr w:rsidR="006329E6" w:rsidRPr="000D756E" w14:paraId="5184E50F" w14:textId="77777777" w:rsidTr="00032D9D">
        <w:tc>
          <w:tcPr>
            <w:tcW w:w="4503" w:type="dxa"/>
            <w:tcBorders>
              <w:top w:val="nil"/>
              <w:left w:val="single" w:sz="4" w:space="0" w:color="auto"/>
              <w:bottom w:val="nil"/>
              <w:right w:val="single" w:sz="4" w:space="0" w:color="auto"/>
            </w:tcBorders>
          </w:tcPr>
          <w:p w14:paraId="2F78B9C7" w14:textId="77777777" w:rsidR="00190C4B" w:rsidRPr="000D756E" w:rsidRDefault="00190C4B" w:rsidP="00A75DE2">
            <w:pPr>
              <w:rPr>
                <w:rFonts w:ascii="Arial" w:hAnsi="Arial" w:cs="Arial"/>
                <w:sz w:val="24"/>
                <w:szCs w:val="24"/>
              </w:rPr>
            </w:pPr>
          </w:p>
        </w:tc>
        <w:tc>
          <w:tcPr>
            <w:tcW w:w="1417" w:type="dxa"/>
            <w:tcBorders>
              <w:top w:val="nil"/>
              <w:left w:val="single" w:sz="4" w:space="0" w:color="auto"/>
              <w:bottom w:val="single" w:sz="4" w:space="0" w:color="auto"/>
              <w:right w:val="single" w:sz="4" w:space="0" w:color="auto"/>
            </w:tcBorders>
          </w:tcPr>
          <w:p w14:paraId="457BD0CC" w14:textId="77777777" w:rsidR="00190C4B" w:rsidRPr="000D756E" w:rsidRDefault="00190C4B" w:rsidP="00EE7BCA">
            <w:pPr>
              <w:jc w:val="right"/>
              <w:rPr>
                <w:rFonts w:ascii="Arial" w:hAnsi="Arial" w:cs="Arial"/>
                <w:sz w:val="24"/>
                <w:szCs w:val="24"/>
              </w:rPr>
            </w:pPr>
          </w:p>
        </w:tc>
        <w:tc>
          <w:tcPr>
            <w:tcW w:w="1634" w:type="dxa"/>
            <w:tcBorders>
              <w:top w:val="nil"/>
              <w:left w:val="single" w:sz="4" w:space="0" w:color="auto"/>
              <w:bottom w:val="single" w:sz="4" w:space="0" w:color="auto"/>
              <w:right w:val="single" w:sz="4" w:space="0" w:color="auto"/>
            </w:tcBorders>
          </w:tcPr>
          <w:p w14:paraId="3A060338" w14:textId="77777777" w:rsidR="00190C4B" w:rsidRPr="000D756E" w:rsidRDefault="00190C4B" w:rsidP="0004335B">
            <w:pPr>
              <w:jc w:val="right"/>
              <w:rPr>
                <w:rFonts w:ascii="Arial" w:hAnsi="Arial" w:cs="Arial"/>
                <w:sz w:val="24"/>
                <w:szCs w:val="24"/>
              </w:rPr>
            </w:pPr>
          </w:p>
        </w:tc>
        <w:tc>
          <w:tcPr>
            <w:tcW w:w="1456" w:type="dxa"/>
            <w:tcBorders>
              <w:top w:val="nil"/>
              <w:left w:val="single" w:sz="4" w:space="0" w:color="auto"/>
              <w:bottom w:val="single" w:sz="4" w:space="0" w:color="auto"/>
              <w:right w:val="single" w:sz="4" w:space="0" w:color="auto"/>
            </w:tcBorders>
          </w:tcPr>
          <w:p w14:paraId="13B63E68" w14:textId="77777777" w:rsidR="00190C4B" w:rsidRPr="000D756E" w:rsidRDefault="00190C4B" w:rsidP="00EE7BCA">
            <w:pPr>
              <w:jc w:val="right"/>
              <w:rPr>
                <w:rFonts w:ascii="Arial" w:hAnsi="Arial" w:cs="Arial"/>
                <w:sz w:val="24"/>
                <w:szCs w:val="24"/>
              </w:rPr>
            </w:pPr>
          </w:p>
        </w:tc>
      </w:tr>
      <w:tr w:rsidR="006329E6" w:rsidRPr="000D756E" w14:paraId="29661FC5" w14:textId="77777777" w:rsidTr="00032D9D">
        <w:tc>
          <w:tcPr>
            <w:tcW w:w="4503" w:type="dxa"/>
            <w:tcBorders>
              <w:top w:val="nil"/>
              <w:bottom w:val="single" w:sz="4" w:space="0" w:color="auto"/>
            </w:tcBorders>
          </w:tcPr>
          <w:p w14:paraId="72546303" w14:textId="77777777" w:rsidR="00176503" w:rsidRPr="000D756E" w:rsidRDefault="00176503" w:rsidP="002A7C01">
            <w:pPr>
              <w:rPr>
                <w:rFonts w:ascii="Arial" w:hAnsi="Arial" w:cs="Arial"/>
                <w:sz w:val="24"/>
                <w:szCs w:val="24"/>
              </w:rPr>
            </w:pPr>
          </w:p>
          <w:p w14:paraId="2A675FE1" w14:textId="6CEF0B70" w:rsidR="00176503" w:rsidRPr="000D756E" w:rsidRDefault="00176503" w:rsidP="003F3F38">
            <w:pPr>
              <w:rPr>
                <w:rFonts w:ascii="Arial" w:hAnsi="Arial" w:cs="Arial"/>
                <w:b/>
                <w:sz w:val="24"/>
                <w:szCs w:val="24"/>
              </w:rPr>
            </w:pPr>
            <w:r w:rsidRPr="000D756E">
              <w:rPr>
                <w:rFonts w:ascii="Arial" w:hAnsi="Arial" w:cs="Arial"/>
                <w:b/>
                <w:sz w:val="24"/>
                <w:szCs w:val="24"/>
              </w:rPr>
              <w:t>At 31 March 20</w:t>
            </w:r>
            <w:r w:rsidR="0063229B" w:rsidRPr="000D756E">
              <w:rPr>
                <w:rFonts w:ascii="Arial" w:hAnsi="Arial" w:cs="Arial"/>
                <w:b/>
                <w:sz w:val="24"/>
                <w:szCs w:val="24"/>
              </w:rPr>
              <w:t>2</w:t>
            </w:r>
            <w:r w:rsidR="00C0312C">
              <w:rPr>
                <w:rFonts w:ascii="Arial" w:hAnsi="Arial" w:cs="Arial"/>
                <w:b/>
                <w:sz w:val="24"/>
                <w:szCs w:val="24"/>
              </w:rPr>
              <w:t>5</w:t>
            </w:r>
          </w:p>
          <w:p w14:paraId="5AD602E5" w14:textId="77777777" w:rsidR="003F3F38" w:rsidRPr="000D756E" w:rsidRDefault="003F3F38" w:rsidP="003F3F38">
            <w:pPr>
              <w:rPr>
                <w:rFonts w:ascii="Arial" w:hAnsi="Arial" w:cs="Arial"/>
                <w:sz w:val="24"/>
                <w:szCs w:val="24"/>
              </w:rPr>
            </w:pPr>
          </w:p>
        </w:tc>
        <w:tc>
          <w:tcPr>
            <w:tcW w:w="1417" w:type="dxa"/>
            <w:tcBorders>
              <w:top w:val="single" w:sz="4" w:space="0" w:color="auto"/>
              <w:bottom w:val="single" w:sz="4" w:space="0" w:color="auto"/>
            </w:tcBorders>
          </w:tcPr>
          <w:p w14:paraId="17575B4A" w14:textId="77777777" w:rsidR="00A23F5D" w:rsidRDefault="00A23F5D" w:rsidP="00EE7BCA">
            <w:pPr>
              <w:jc w:val="right"/>
              <w:rPr>
                <w:rFonts w:ascii="Arial" w:hAnsi="Arial" w:cs="Arial"/>
                <w:b/>
                <w:sz w:val="24"/>
                <w:szCs w:val="24"/>
              </w:rPr>
            </w:pPr>
          </w:p>
          <w:p w14:paraId="4A9E5AE1" w14:textId="3C68F35C" w:rsidR="004066A6" w:rsidRPr="000D756E" w:rsidRDefault="004066A6" w:rsidP="00EE7BCA">
            <w:pPr>
              <w:jc w:val="right"/>
              <w:rPr>
                <w:rFonts w:ascii="Arial" w:hAnsi="Arial" w:cs="Arial"/>
                <w:b/>
                <w:sz w:val="24"/>
                <w:szCs w:val="24"/>
              </w:rPr>
            </w:pPr>
            <w:r>
              <w:rPr>
                <w:rFonts w:ascii="Arial" w:hAnsi="Arial" w:cs="Arial"/>
                <w:b/>
                <w:sz w:val="24"/>
                <w:szCs w:val="24"/>
              </w:rPr>
              <w:t>32,555</w:t>
            </w:r>
          </w:p>
        </w:tc>
        <w:tc>
          <w:tcPr>
            <w:tcW w:w="1634" w:type="dxa"/>
            <w:tcBorders>
              <w:top w:val="single" w:sz="4" w:space="0" w:color="auto"/>
              <w:bottom w:val="single" w:sz="4" w:space="0" w:color="auto"/>
            </w:tcBorders>
          </w:tcPr>
          <w:p w14:paraId="206A6B01" w14:textId="77777777" w:rsidR="00A23F5D" w:rsidRDefault="00A23F5D" w:rsidP="0004335B">
            <w:pPr>
              <w:jc w:val="right"/>
              <w:rPr>
                <w:rFonts w:ascii="Arial" w:hAnsi="Arial" w:cs="Arial"/>
                <w:b/>
                <w:sz w:val="24"/>
                <w:szCs w:val="24"/>
              </w:rPr>
            </w:pPr>
          </w:p>
          <w:p w14:paraId="0B9C1C72" w14:textId="655BB3F0" w:rsidR="004066A6" w:rsidRPr="000D756E" w:rsidRDefault="004066A6" w:rsidP="0004335B">
            <w:pPr>
              <w:jc w:val="right"/>
              <w:rPr>
                <w:rFonts w:ascii="Arial" w:hAnsi="Arial" w:cs="Arial"/>
                <w:b/>
                <w:sz w:val="24"/>
                <w:szCs w:val="24"/>
              </w:rPr>
            </w:pPr>
            <w:r>
              <w:rPr>
                <w:rFonts w:ascii="Arial" w:hAnsi="Arial" w:cs="Arial"/>
                <w:b/>
                <w:sz w:val="24"/>
                <w:szCs w:val="24"/>
              </w:rPr>
              <w:t>27,07</w:t>
            </w:r>
            <w:r w:rsidR="00904F8F">
              <w:rPr>
                <w:rFonts w:ascii="Arial" w:hAnsi="Arial" w:cs="Arial"/>
                <w:b/>
                <w:sz w:val="24"/>
                <w:szCs w:val="24"/>
              </w:rPr>
              <w:t>6</w:t>
            </w:r>
          </w:p>
        </w:tc>
        <w:tc>
          <w:tcPr>
            <w:tcW w:w="1456" w:type="dxa"/>
            <w:tcBorders>
              <w:top w:val="single" w:sz="4" w:space="0" w:color="auto"/>
              <w:bottom w:val="single" w:sz="4" w:space="0" w:color="auto"/>
            </w:tcBorders>
          </w:tcPr>
          <w:p w14:paraId="611BE946" w14:textId="77777777" w:rsidR="00D40AB1" w:rsidRDefault="00D40AB1" w:rsidP="00EE7BCA">
            <w:pPr>
              <w:jc w:val="right"/>
              <w:rPr>
                <w:rFonts w:ascii="Arial" w:hAnsi="Arial" w:cs="Arial"/>
                <w:b/>
                <w:sz w:val="24"/>
                <w:szCs w:val="24"/>
              </w:rPr>
            </w:pPr>
          </w:p>
          <w:p w14:paraId="25362640" w14:textId="4E21DBF5" w:rsidR="004066A6" w:rsidRPr="000D756E" w:rsidRDefault="004066A6" w:rsidP="00EE7BCA">
            <w:pPr>
              <w:jc w:val="right"/>
              <w:rPr>
                <w:rFonts w:ascii="Arial" w:hAnsi="Arial" w:cs="Arial"/>
                <w:b/>
                <w:sz w:val="24"/>
                <w:szCs w:val="24"/>
              </w:rPr>
            </w:pPr>
            <w:r>
              <w:rPr>
                <w:rFonts w:ascii="Arial" w:hAnsi="Arial" w:cs="Arial"/>
                <w:b/>
                <w:sz w:val="24"/>
                <w:szCs w:val="24"/>
              </w:rPr>
              <w:t>59,63</w:t>
            </w:r>
            <w:r w:rsidR="00904F8F">
              <w:rPr>
                <w:rFonts w:ascii="Arial" w:hAnsi="Arial" w:cs="Arial"/>
                <w:b/>
                <w:sz w:val="24"/>
                <w:szCs w:val="24"/>
              </w:rPr>
              <w:t>1</w:t>
            </w:r>
          </w:p>
        </w:tc>
      </w:tr>
      <w:tr w:rsidR="001303EB" w:rsidRPr="000D756E" w14:paraId="5D8213FE" w14:textId="77777777" w:rsidTr="005068D2">
        <w:tc>
          <w:tcPr>
            <w:tcW w:w="4503" w:type="dxa"/>
            <w:tcBorders>
              <w:top w:val="single" w:sz="4" w:space="0" w:color="auto"/>
              <w:left w:val="single" w:sz="4" w:space="0" w:color="auto"/>
              <w:bottom w:val="nil"/>
              <w:right w:val="single" w:sz="4" w:space="0" w:color="auto"/>
            </w:tcBorders>
          </w:tcPr>
          <w:p w14:paraId="4DDD9D16" w14:textId="77777777" w:rsidR="001303EB" w:rsidRPr="000D756E" w:rsidRDefault="001303EB" w:rsidP="001303EB">
            <w:pPr>
              <w:rPr>
                <w:rFonts w:ascii="Arial" w:hAnsi="Arial" w:cs="Arial"/>
                <w:sz w:val="24"/>
                <w:szCs w:val="24"/>
              </w:rPr>
            </w:pPr>
          </w:p>
          <w:p w14:paraId="49E02AA3" w14:textId="77777777" w:rsidR="001303EB" w:rsidRPr="000D756E" w:rsidRDefault="001303EB" w:rsidP="001303EB">
            <w:pPr>
              <w:rPr>
                <w:rFonts w:ascii="Arial" w:hAnsi="Arial" w:cs="Arial"/>
                <w:b/>
                <w:sz w:val="24"/>
                <w:szCs w:val="24"/>
              </w:rPr>
            </w:pPr>
            <w:r w:rsidRPr="000D756E">
              <w:rPr>
                <w:rFonts w:ascii="Arial" w:hAnsi="Arial" w:cs="Arial"/>
                <w:b/>
                <w:sz w:val="24"/>
                <w:szCs w:val="24"/>
              </w:rPr>
              <w:t>Accumulated Depreciation and Impairment</w:t>
            </w:r>
          </w:p>
          <w:p w14:paraId="37D07A4B" w14:textId="77777777" w:rsidR="001303EB" w:rsidRPr="000D756E" w:rsidRDefault="001303EB" w:rsidP="001303EB">
            <w:pPr>
              <w:rPr>
                <w:rFonts w:ascii="Arial" w:hAnsi="Arial" w:cs="Arial"/>
                <w:b/>
                <w:sz w:val="24"/>
                <w:szCs w:val="24"/>
              </w:rPr>
            </w:pPr>
          </w:p>
          <w:p w14:paraId="53F0693C" w14:textId="7DF8C243" w:rsidR="001303EB" w:rsidRPr="000D756E" w:rsidRDefault="001303EB" w:rsidP="001303EB">
            <w:pPr>
              <w:rPr>
                <w:rFonts w:ascii="Arial" w:hAnsi="Arial" w:cs="Arial"/>
                <w:b/>
                <w:sz w:val="24"/>
                <w:szCs w:val="24"/>
              </w:rPr>
            </w:pPr>
            <w:r w:rsidRPr="000D756E">
              <w:rPr>
                <w:rFonts w:ascii="Arial" w:hAnsi="Arial" w:cs="Arial"/>
                <w:b/>
                <w:sz w:val="24"/>
                <w:szCs w:val="24"/>
              </w:rPr>
              <w:t>As at 1 April 202</w:t>
            </w:r>
            <w:r w:rsidR="00DF0B70">
              <w:rPr>
                <w:rFonts w:ascii="Arial" w:hAnsi="Arial" w:cs="Arial"/>
                <w:b/>
                <w:sz w:val="24"/>
                <w:szCs w:val="24"/>
              </w:rPr>
              <w:t>4</w:t>
            </w:r>
          </w:p>
          <w:p w14:paraId="49020268" w14:textId="77777777" w:rsidR="001303EB" w:rsidRPr="000D756E" w:rsidRDefault="001303EB" w:rsidP="001303EB">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C896AA6" w14:textId="77777777" w:rsidR="001303EB" w:rsidRPr="000D756E" w:rsidRDefault="001303EB" w:rsidP="001303EB">
            <w:pPr>
              <w:jc w:val="right"/>
              <w:rPr>
                <w:rFonts w:ascii="Arial" w:hAnsi="Arial" w:cs="Arial"/>
                <w:b/>
                <w:sz w:val="24"/>
                <w:szCs w:val="24"/>
              </w:rPr>
            </w:pPr>
          </w:p>
          <w:p w14:paraId="26D65F5B" w14:textId="1ECD5180" w:rsidR="001303EB" w:rsidRPr="000D756E" w:rsidRDefault="001303EB" w:rsidP="001303EB">
            <w:pPr>
              <w:jc w:val="right"/>
              <w:rPr>
                <w:rFonts w:ascii="Arial" w:hAnsi="Arial" w:cs="Arial"/>
                <w:bCs/>
                <w:sz w:val="24"/>
                <w:szCs w:val="24"/>
              </w:rPr>
            </w:pPr>
            <w:r w:rsidRPr="000D756E">
              <w:rPr>
                <w:rFonts w:ascii="Arial" w:hAnsi="Arial" w:cs="Arial"/>
                <w:b/>
                <w:sz w:val="24"/>
                <w:szCs w:val="24"/>
              </w:rPr>
              <w:t>-35</w:t>
            </w:r>
          </w:p>
        </w:tc>
        <w:tc>
          <w:tcPr>
            <w:tcW w:w="1634" w:type="dxa"/>
            <w:tcBorders>
              <w:top w:val="single" w:sz="4" w:space="0" w:color="auto"/>
              <w:left w:val="single" w:sz="4" w:space="0" w:color="auto"/>
              <w:bottom w:val="single" w:sz="4" w:space="0" w:color="auto"/>
              <w:right w:val="single" w:sz="4" w:space="0" w:color="auto"/>
            </w:tcBorders>
          </w:tcPr>
          <w:p w14:paraId="675EF9C3" w14:textId="77777777" w:rsidR="001303EB" w:rsidRPr="000D756E" w:rsidRDefault="001303EB" w:rsidP="001303EB">
            <w:pPr>
              <w:jc w:val="right"/>
              <w:rPr>
                <w:rFonts w:ascii="Arial" w:hAnsi="Arial" w:cs="Arial"/>
                <w:b/>
                <w:sz w:val="24"/>
                <w:szCs w:val="24"/>
              </w:rPr>
            </w:pPr>
          </w:p>
          <w:p w14:paraId="12B0822C" w14:textId="41A09A1D" w:rsidR="001303EB" w:rsidRPr="000D756E" w:rsidRDefault="001303EB" w:rsidP="001303EB">
            <w:pPr>
              <w:jc w:val="right"/>
              <w:rPr>
                <w:rFonts w:ascii="Arial" w:hAnsi="Arial" w:cs="Arial"/>
                <w:bCs/>
                <w:sz w:val="24"/>
                <w:szCs w:val="24"/>
              </w:rPr>
            </w:pPr>
            <w:r w:rsidRPr="000D756E">
              <w:rPr>
                <w:rFonts w:ascii="Arial" w:hAnsi="Arial" w:cs="Arial"/>
                <w:b/>
                <w:sz w:val="24"/>
                <w:szCs w:val="24"/>
              </w:rPr>
              <w:t>-16,590</w:t>
            </w:r>
          </w:p>
        </w:tc>
        <w:tc>
          <w:tcPr>
            <w:tcW w:w="1456" w:type="dxa"/>
            <w:tcBorders>
              <w:top w:val="single" w:sz="4" w:space="0" w:color="auto"/>
              <w:left w:val="single" w:sz="4" w:space="0" w:color="auto"/>
              <w:bottom w:val="single" w:sz="4" w:space="0" w:color="auto"/>
              <w:right w:val="single" w:sz="4" w:space="0" w:color="auto"/>
            </w:tcBorders>
          </w:tcPr>
          <w:p w14:paraId="79864B97" w14:textId="77777777" w:rsidR="001303EB" w:rsidRPr="000D756E" w:rsidRDefault="001303EB" w:rsidP="001303EB">
            <w:pPr>
              <w:jc w:val="right"/>
              <w:rPr>
                <w:rFonts w:ascii="Arial" w:hAnsi="Arial" w:cs="Arial"/>
                <w:b/>
                <w:sz w:val="24"/>
                <w:szCs w:val="24"/>
              </w:rPr>
            </w:pPr>
          </w:p>
          <w:p w14:paraId="4C0B0315" w14:textId="300EE3E1" w:rsidR="001303EB" w:rsidRPr="000D756E" w:rsidRDefault="001303EB" w:rsidP="001303EB">
            <w:pPr>
              <w:jc w:val="right"/>
              <w:rPr>
                <w:rFonts w:ascii="Arial" w:hAnsi="Arial" w:cs="Arial"/>
                <w:bCs/>
                <w:sz w:val="24"/>
                <w:szCs w:val="24"/>
              </w:rPr>
            </w:pPr>
            <w:r w:rsidRPr="000D756E">
              <w:rPr>
                <w:rFonts w:ascii="Arial" w:hAnsi="Arial" w:cs="Arial"/>
                <w:b/>
                <w:sz w:val="24"/>
                <w:szCs w:val="24"/>
              </w:rPr>
              <w:t>-16,625</w:t>
            </w:r>
          </w:p>
        </w:tc>
      </w:tr>
      <w:tr w:rsidR="006329E6" w:rsidRPr="000D756E" w14:paraId="5FAC422F" w14:textId="77777777" w:rsidTr="003A3559">
        <w:trPr>
          <w:trHeight w:val="624"/>
        </w:trPr>
        <w:tc>
          <w:tcPr>
            <w:tcW w:w="4503" w:type="dxa"/>
            <w:tcBorders>
              <w:top w:val="nil"/>
              <w:left w:val="single" w:sz="4" w:space="0" w:color="auto"/>
              <w:bottom w:val="nil"/>
              <w:right w:val="single" w:sz="4" w:space="0" w:color="auto"/>
            </w:tcBorders>
            <w:vAlign w:val="bottom"/>
          </w:tcPr>
          <w:p w14:paraId="6245EF88" w14:textId="7AEB9418" w:rsidR="00176503" w:rsidRPr="000D756E" w:rsidRDefault="00176503" w:rsidP="002A7C01">
            <w:pPr>
              <w:rPr>
                <w:rFonts w:ascii="Arial" w:hAnsi="Arial" w:cs="Arial"/>
                <w:sz w:val="24"/>
                <w:szCs w:val="24"/>
              </w:rPr>
            </w:pPr>
            <w:r w:rsidRPr="000D756E">
              <w:rPr>
                <w:rFonts w:ascii="Arial" w:hAnsi="Arial" w:cs="Arial"/>
                <w:sz w:val="24"/>
                <w:szCs w:val="24"/>
              </w:rPr>
              <w:t>Depreciation charge</w:t>
            </w:r>
          </w:p>
        </w:tc>
        <w:tc>
          <w:tcPr>
            <w:tcW w:w="1417" w:type="dxa"/>
            <w:tcBorders>
              <w:top w:val="nil"/>
              <w:left w:val="single" w:sz="4" w:space="0" w:color="auto"/>
              <w:bottom w:val="nil"/>
              <w:right w:val="single" w:sz="4" w:space="0" w:color="auto"/>
            </w:tcBorders>
            <w:vAlign w:val="bottom"/>
          </w:tcPr>
          <w:p w14:paraId="300322B4" w14:textId="6CE29FAF" w:rsidR="00176503" w:rsidRPr="000D756E" w:rsidRDefault="002C5328" w:rsidP="0004335B">
            <w:pPr>
              <w:jc w:val="right"/>
              <w:rPr>
                <w:rFonts w:ascii="Arial" w:hAnsi="Arial" w:cs="Arial"/>
                <w:sz w:val="24"/>
                <w:szCs w:val="24"/>
              </w:rPr>
            </w:pPr>
            <w:r>
              <w:rPr>
                <w:rFonts w:ascii="Arial" w:hAnsi="Arial" w:cs="Arial"/>
                <w:sz w:val="24"/>
                <w:szCs w:val="24"/>
              </w:rPr>
              <w:t>-</w:t>
            </w:r>
            <w:r w:rsidR="007853D7">
              <w:rPr>
                <w:rFonts w:ascii="Arial" w:hAnsi="Arial" w:cs="Arial"/>
                <w:sz w:val="24"/>
                <w:szCs w:val="24"/>
              </w:rPr>
              <w:t>1,338</w:t>
            </w:r>
          </w:p>
        </w:tc>
        <w:tc>
          <w:tcPr>
            <w:tcW w:w="1634" w:type="dxa"/>
            <w:tcBorders>
              <w:top w:val="nil"/>
              <w:left w:val="single" w:sz="4" w:space="0" w:color="auto"/>
              <w:bottom w:val="nil"/>
              <w:right w:val="single" w:sz="4" w:space="0" w:color="auto"/>
            </w:tcBorders>
            <w:vAlign w:val="bottom"/>
          </w:tcPr>
          <w:p w14:paraId="03571542" w14:textId="4D14E5FF" w:rsidR="00176503" w:rsidRPr="000D756E" w:rsidRDefault="002C5328" w:rsidP="0004335B">
            <w:pPr>
              <w:jc w:val="right"/>
              <w:rPr>
                <w:rFonts w:ascii="Arial" w:hAnsi="Arial" w:cs="Arial"/>
                <w:sz w:val="24"/>
                <w:szCs w:val="24"/>
              </w:rPr>
            </w:pPr>
            <w:r>
              <w:rPr>
                <w:rFonts w:ascii="Arial" w:hAnsi="Arial" w:cs="Arial"/>
                <w:sz w:val="24"/>
                <w:szCs w:val="24"/>
              </w:rPr>
              <w:t>-</w:t>
            </w:r>
            <w:r w:rsidR="007853D7">
              <w:rPr>
                <w:rFonts w:ascii="Arial" w:hAnsi="Arial" w:cs="Arial"/>
                <w:sz w:val="24"/>
                <w:szCs w:val="24"/>
              </w:rPr>
              <w:t>1,565</w:t>
            </w:r>
          </w:p>
        </w:tc>
        <w:tc>
          <w:tcPr>
            <w:tcW w:w="1456" w:type="dxa"/>
            <w:tcBorders>
              <w:top w:val="nil"/>
              <w:left w:val="single" w:sz="4" w:space="0" w:color="auto"/>
              <w:bottom w:val="nil"/>
              <w:right w:val="single" w:sz="4" w:space="0" w:color="auto"/>
            </w:tcBorders>
            <w:vAlign w:val="bottom"/>
          </w:tcPr>
          <w:p w14:paraId="3ED72B7D" w14:textId="35C8575B" w:rsidR="00176503" w:rsidRPr="000D756E" w:rsidRDefault="002C5328" w:rsidP="0004335B">
            <w:pPr>
              <w:jc w:val="right"/>
              <w:rPr>
                <w:rFonts w:ascii="Arial" w:hAnsi="Arial" w:cs="Arial"/>
                <w:sz w:val="24"/>
                <w:szCs w:val="24"/>
              </w:rPr>
            </w:pPr>
            <w:r>
              <w:rPr>
                <w:rFonts w:ascii="Arial" w:hAnsi="Arial" w:cs="Arial"/>
                <w:sz w:val="24"/>
                <w:szCs w:val="24"/>
              </w:rPr>
              <w:t>-</w:t>
            </w:r>
            <w:r w:rsidR="007853D7">
              <w:rPr>
                <w:rFonts w:ascii="Arial" w:hAnsi="Arial" w:cs="Arial"/>
                <w:sz w:val="24"/>
                <w:szCs w:val="24"/>
              </w:rPr>
              <w:t>2,903</w:t>
            </w:r>
          </w:p>
        </w:tc>
      </w:tr>
      <w:tr w:rsidR="006329E6" w:rsidRPr="000D756E" w14:paraId="011F13D4" w14:textId="77777777" w:rsidTr="007C23E5">
        <w:trPr>
          <w:trHeight w:val="624"/>
        </w:trPr>
        <w:tc>
          <w:tcPr>
            <w:tcW w:w="4503" w:type="dxa"/>
            <w:tcBorders>
              <w:top w:val="nil"/>
              <w:left w:val="single" w:sz="4" w:space="0" w:color="auto"/>
              <w:bottom w:val="nil"/>
              <w:right w:val="single" w:sz="4" w:space="0" w:color="auto"/>
            </w:tcBorders>
            <w:vAlign w:val="bottom"/>
          </w:tcPr>
          <w:p w14:paraId="6E73F4DD" w14:textId="77777777" w:rsidR="007C23E5" w:rsidRPr="000D756E" w:rsidRDefault="007C23E5" w:rsidP="002A7C01">
            <w:pPr>
              <w:rPr>
                <w:rFonts w:ascii="Arial" w:hAnsi="Arial" w:cs="Arial"/>
                <w:sz w:val="24"/>
                <w:szCs w:val="24"/>
              </w:rPr>
            </w:pPr>
          </w:p>
          <w:p w14:paraId="7185C2C9" w14:textId="77777777" w:rsidR="007C23E5" w:rsidRPr="000D756E" w:rsidRDefault="00195FDE" w:rsidP="002A7C01">
            <w:pPr>
              <w:rPr>
                <w:rFonts w:ascii="Arial" w:hAnsi="Arial" w:cs="Arial"/>
                <w:sz w:val="24"/>
                <w:szCs w:val="24"/>
              </w:rPr>
            </w:pPr>
            <w:r w:rsidRPr="000D756E">
              <w:rPr>
                <w:rFonts w:ascii="Arial" w:hAnsi="Arial" w:cs="Arial"/>
                <w:sz w:val="24"/>
                <w:szCs w:val="24"/>
              </w:rPr>
              <w:t>R</w:t>
            </w:r>
            <w:r w:rsidR="007C23E5" w:rsidRPr="000D756E">
              <w:rPr>
                <w:rFonts w:ascii="Arial" w:hAnsi="Arial" w:cs="Arial"/>
                <w:sz w:val="24"/>
                <w:szCs w:val="24"/>
              </w:rPr>
              <w:t>evaluation</w:t>
            </w:r>
          </w:p>
          <w:p w14:paraId="6D90299A" w14:textId="77777777" w:rsidR="009D3241" w:rsidRPr="000D756E" w:rsidRDefault="009D3241" w:rsidP="002A7C01">
            <w:pPr>
              <w:rPr>
                <w:rFonts w:ascii="Arial" w:hAnsi="Arial" w:cs="Arial"/>
                <w:sz w:val="24"/>
                <w:szCs w:val="24"/>
              </w:rPr>
            </w:pPr>
          </w:p>
          <w:p w14:paraId="598D4750" w14:textId="3E09F7D6" w:rsidR="009D3241" w:rsidRPr="000D756E" w:rsidRDefault="009D3241" w:rsidP="002A7C01">
            <w:pPr>
              <w:rPr>
                <w:rFonts w:ascii="Arial" w:hAnsi="Arial" w:cs="Arial"/>
                <w:sz w:val="24"/>
                <w:szCs w:val="24"/>
              </w:rPr>
            </w:pPr>
            <w:r w:rsidRPr="000D756E">
              <w:rPr>
                <w:rFonts w:ascii="Arial" w:hAnsi="Arial" w:cs="Arial"/>
                <w:sz w:val="24"/>
                <w:szCs w:val="24"/>
              </w:rPr>
              <w:t>Disposals</w:t>
            </w:r>
          </w:p>
          <w:p w14:paraId="338E86A4" w14:textId="77777777" w:rsidR="007C23E5" w:rsidRPr="000D756E" w:rsidRDefault="007C23E5" w:rsidP="002A7C01">
            <w:pPr>
              <w:rPr>
                <w:rFonts w:ascii="Arial" w:hAnsi="Arial" w:cs="Arial"/>
                <w:sz w:val="24"/>
                <w:szCs w:val="24"/>
              </w:rPr>
            </w:pPr>
          </w:p>
        </w:tc>
        <w:tc>
          <w:tcPr>
            <w:tcW w:w="1417" w:type="dxa"/>
            <w:tcBorders>
              <w:top w:val="nil"/>
              <w:left w:val="single" w:sz="4" w:space="0" w:color="auto"/>
              <w:bottom w:val="nil"/>
              <w:right w:val="single" w:sz="4" w:space="0" w:color="auto"/>
            </w:tcBorders>
          </w:tcPr>
          <w:p w14:paraId="374EB0AD" w14:textId="77777777" w:rsidR="00054DEC" w:rsidRDefault="00054DEC" w:rsidP="007C23E5">
            <w:pPr>
              <w:jc w:val="right"/>
              <w:rPr>
                <w:rFonts w:ascii="Arial" w:hAnsi="Arial" w:cs="Arial"/>
                <w:sz w:val="24"/>
                <w:szCs w:val="24"/>
              </w:rPr>
            </w:pPr>
          </w:p>
          <w:p w14:paraId="3407DFE9" w14:textId="61CC113A" w:rsidR="007853D7" w:rsidRDefault="00E969AA" w:rsidP="007C23E5">
            <w:pPr>
              <w:jc w:val="right"/>
              <w:rPr>
                <w:rFonts w:ascii="Arial" w:hAnsi="Arial" w:cs="Arial"/>
                <w:sz w:val="24"/>
                <w:szCs w:val="24"/>
              </w:rPr>
            </w:pPr>
            <w:r>
              <w:rPr>
                <w:rFonts w:ascii="Arial" w:hAnsi="Arial" w:cs="Arial"/>
                <w:sz w:val="24"/>
                <w:szCs w:val="24"/>
              </w:rPr>
              <w:t>1,338</w:t>
            </w:r>
          </w:p>
          <w:p w14:paraId="1E9923C1" w14:textId="77777777" w:rsidR="00E969AA" w:rsidRDefault="00E969AA" w:rsidP="007C23E5">
            <w:pPr>
              <w:jc w:val="right"/>
              <w:rPr>
                <w:rFonts w:ascii="Arial" w:hAnsi="Arial" w:cs="Arial"/>
                <w:sz w:val="24"/>
                <w:szCs w:val="24"/>
              </w:rPr>
            </w:pPr>
          </w:p>
          <w:p w14:paraId="323D3A9D" w14:textId="73FD656C" w:rsidR="00E969AA" w:rsidRPr="000D756E" w:rsidRDefault="00E969AA" w:rsidP="007C23E5">
            <w:pPr>
              <w:jc w:val="right"/>
              <w:rPr>
                <w:rFonts w:ascii="Arial" w:hAnsi="Arial" w:cs="Arial"/>
                <w:sz w:val="24"/>
                <w:szCs w:val="24"/>
              </w:rPr>
            </w:pPr>
            <w:r>
              <w:rPr>
                <w:rFonts w:ascii="Arial" w:hAnsi="Arial" w:cs="Arial"/>
                <w:sz w:val="24"/>
                <w:szCs w:val="24"/>
              </w:rPr>
              <w:t>0</w:t>
            </w:r>
          </w:p>
        </w:tc>
        <w:tc>
          <w:tcPr>
            <w:tcW w:w="1634" w:type="dxa"/>
            <w:tcBorders>
              <w:top w:val="nil"/>
              <w:left w:val="single" w:sz="4" w:space="0" w:color="auto"/>
              <w:bottom w:val="nil"/>
              <w:right w:val="single" w:sz="4" w:space="0" w:color="auto"/>
            </w:tcBorders>
          </w:tcPr>
          <w:p w14:paraId="3AAE1FBE" w14:textId="77777777" w:rsidR="00131E48" w:rsidRDefault="00131E48" w:rsidP="00B34F2A">
            <w:pPr>
              <w:jc w:val="right"/>
              <w:rPr>
                <w:rFonts w:ascii="Arial" w:hAnsi="Arial" w:cs="Arial"/>
                <w:sz w:val="24"/>
                <w:szCs w:val="24"/>
              </w:rPr>
            </w:pPr>
          </w:p>
          <w:p w14:paraId="48C9EAC9" w14:textId="77777777" w:rsidR="00E969AA" w:rsidRDefault="00E969AA" w:rsidP="00B34F2A">
            <w:pPr>
              <w:jc w:val="right"/>
              <w:rPr>
                <w:rFonts w:ascii="Arial" w:hAnsi="Arial" w:cs="Arial"/>
                <w:sz w:val="24"/>
                <w:szCs w:val="24"/>
              </w:rPr>
            </w:pPr>
            <w:r>
              <w:rPr>
                <w:rFonts w:ascii="Arial" w:hAnsi="Arial" w:cs="Arial"/>
                <w:sz w:val="24"/>
                <w:szCs w:val="24"/>
              </w:rPr>
              <w:t>0</w:t>
            </w:r>
          </w:p>
          <w:p w14:paraId="26C5540A" w14:textId="77777777" w:rsidR="00E969AA" w:rsidRDefault="00E969AA" w:rsidP="00B34F2A">
            <w:pPr>
              <w:jc w:val="right"/>
              <w:rPr>
                <w:rFonts w:ascii="Arial" w:hAnsi="Arial" w:cs="Arial"/>
                <w:sz w:val="24"/>
                <w:szCs w:val="24"/>
              </w:rPr>
            </w:pPr>
          </w:p>
          <w:p w14:paraId="4A86C1AA" w14:textId="48D74E31" w:rsidR="00E969AA" w:rsidRPr="000D756E" w:rsidRDefault="00E969AA" w:rsidP="00B34F2A">
            <w:pPr>
              <w:jc w:val="right"/>
              <w:rPr>
                <w:rFonts w:ascii="Arial" w:hAnsi="Arial" w:cs="Arial"/>
                <w:sz w:val="24"/>
                <w:szCs w:val="24"/>
              </w:rPr>
            </w:pPr>
            <w:r>
              <w:rPr>
                <w:rFonts w:ascii="Arial" w:hAnsi="Arial" w:cs="Arial"/>
                <w:sz w:val="24"/>
                <w:szCs w:val="24"/>
              </w:rPr>
              <w:t>218</w:t>
            </w:r>
          </w:p>
        </w:tc>
        <w:tc>
          <w:tcPr>
            <w:tcW w:w="1456" w:type="dxa"/>
            <w:tcBorders>
              <w:top w:val="nil"/>
              <w:left w:val="single" w:sz="4" w:space="0" w:color="auto"/>
              <w:bottom w:val="nil"/>
              <w:right w:val="single" w:sz="4" w:space="0" w:color="auto"/>
            </w:tcBorders>
          </w:tcPr>
          <w:p w14:paraId="313654BE" w14:textId="77777777" w:rsidR="00264074" w:rsidRDefault="00264074" w:rsidP="00B34F2A">
            <w:pPr>
              <w:jc w:val="right"/>
              <w:rPr>
                <w:rFonts w:ascii="Arial" w:hAnsi="Arial" w:cs="Arial"/>
                <w:sz w:val="24"/>
                <w:szCs w:val="24"/>
              </w:rPr>
            </w:pPr>
          </w:p>
          <w:p w14:paraId="18684B31" w14:textId="6CBDCFBC" w:rsidR="00E969AA" w:rsidRDefault="00E969AA" w:rsidP="00B34F2A">
            <w:pPr>
              <w:jc w:val="right"/>
              <w:rPr>
                <w:rFonts w:ascii="Arial" w:hAnsi="Arial" w:cs="Arial"/>
                <w:sz w:val="24"/>
                <w:szCs w:val="24"/>
              </w:rPr>
            </w:pPr>
            <w:r>
              <w:rPr>
                <w:rFonts w:ascii="Arial" w:hAnsi="Arial" w:cs="Arial"/>
                <w:sz w:val="24"/>
                <w:szCs w:val="24"/>
              </w:rPr>
              <w:t>1,338</w:t>
            </w:r>
          </w:p>
          <w:p w14:paraId="0B5FBF28" w14:textId="77777777" w:rsidR="00E969AA" w:rsidRDefault="00E969AA" w:rsidP="00B34F2A">
            <w:pPr>
              <w:jc w:val="right"/>
              <w:rPr>
                <w:rFonts w:ascii="Arial" w:hAnsi="Arial" w:cs="Arial"/>
                <w:sz w:val="24"/>
                <w:szCs w:val="24"/>
              </w:rPr>
            </w:pPr>
          </w:p>
          <w:p w14:paraId="2AC5CB90" w14:textId="06DF810D" w:rsidR="00E969AA" w:rsidRPr="000D756E" w:rsidRDefault="00E969AA" w:rsidP="00B34F2A">
            <w:pPr>
              <w:jc w:val="right"/>
              <w:rPr>
                <w:rFonts w:ascii="Arial" w:hAnsi="Arial" w:cs="Arial"/>
                <w:sz w:val="24"/>
                <w:szCs w:val="24"/>
              </w:rPr>
            </w:pPr>
            <w:r>
              <w:rPr>
                <w:rFonts w:ascii="Arial" w:hAnsi="Arial" w:cs="Arial"/>
                <w:sz w:val="24"/>
                <w:szCs w:val="24"/>
              </w:rPr>
              <w:t>218</w:t>
            </w:r>
          </w:p>
        </w:tc>
      </w:tr>
      <w:tr w:rsidR="006329E6" w:rsidRPr="000D756E" w14:paraId="420AF21C" w14:textId="77777777" w:rsidTr="005E7048">
        <w:tc>
          <w:tcPr>
            <w:tcW w:w="4503" w:type="dxa"/>
            <w:tcBorders>
              <w:top w:val="nil"/>
              <w:left w:val="single" w:sz="4" w:space="0" w:color="auto"/>
              <w:bottom w:val="nil"/>
              <w:right w:val="single" w:sz="4" w:space="0" w:color="auto"/>
            </w:tcBorders>
          </w:tcPr>
          <w:p w14:paraId="20486E8E" w14:textId="77777777" w:rsidR="00176503" w:rsidRPr="000D756E" w:rsidRDefault="00176503" w:rsidP="002A7C01">
            <w:pPr>
              <w:rPr>
                <w:rFonts w:ascii="Arial" w:hAnsi="Arial" w:cs="Arial"/>
                <w:sz w:val="24"/>
                <w:szCs w:val="24"/>
              </w:rPr>
            </w:pPr>
          </w:p>
          <w:p w14:paraId="15C5FC74" w14:textId="2B69DB8A" w:rsidR="00176503" w:rsidRPr="000D756E" w:rsidRDefault="00176503" w:rsidP="002A7C01">
            <w:pPr>
              <w:rPr>
                <w:rFonts w:ascii="Arial" w:hAnsi="Arial" w:cs="Arial"/>
                <w:b/>
                <w:sz w:val="24"/>
                <w:szCs w:val="24"/>
              </w:rPr>
            </w:pPr>
            <w:r w:rsidRPr="000D756E">
              <w:rPr>
                <w:rFonts w:ascii="Arial" w:hAnsi="Arial" w:cs="Arial"/>
                <w:b/>
                <w:sz w:val="24"/>
                <w:szCs w:val="24"/>
              </w:rPr>
              <w:t xml:space="preserve">At 31 March </w:t>
            </w:r>
            <w:r w:rsidR="00001482" w:rsidRPr="000D756E">
              <w:rPr>
                <w:rFonts w:ascii="Arial" w:hAnsi="Arial" w:cs="Arial"/>
                <w:b/>
                <w:sz w:val="24"/>
                <w:szCs w:val="24"/>
              </w:rPr>
              <w:t>202</w:t>
            </w:r>
            <w:r w:rsidR="00DF0B70">
              <w:rPr>
                <w:rFonts w:ascii="Arial" w:hAnsi="Arial" w:cs="Arial"/>
                <w:b/>
                <w:sz w:val="24"/>
                <w:szCs w:val="24"/>
              </w:rPr>
              <w:t>5</w:t>
            </w:r>
          </w:p>
          <w:p w14:paraId="6772BC54" w14:textId="77777777" w:rsidR="00176503" w:rsidRPr="000D756E" w:rsidRDefault="00176503" w:rsidP="002A7C01">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1A1BA43" w14:textId="77777777" w:rsidR="00054DEC" w:rsidRDefault="00054DEC" w:rsidP="0004335B">
            <w:pPr>
              <w:jc w:val="right"/>
              <w:rPr>
                <w:rFonts w:ascii="Arial" w:hAnsi="Arial" w:cs="Arial"/>
                <w:b/>
                <w:sz w:val="24"/>
                <w:szCs w:val="24"/>
              </w:rPr>
            </w:pPr>
          </w:p>
          <w:p w14:paraId="6C178DFC" w14:textId="1A4C883C" w:rsidR="002C5328" w:rsidRPr="000D756E" w:rsidRDefault="00D2138B" w:rsidP="0004335B">
            <w:pPr>
              <w:jc w:val="right"/>
              <w:rPr>
                <w:rFonts w:ascii="Arial" w:hAnsi="Arial" w:cs="Arial"/>
                <w:b/>
                <w:sz w:val="24"/>
                <w:szCs w:val="24"/>
              </w:rPr>
            </w:pPr>
            <w:r>
              <w:rPr>
                <w:rFonts w:ascii="Arial" w:hAnsi="Arial" w:cs="Arial"/>
                <w:b/>
                <w:sz w:val="24"/>
                <w:szCs w:val="24"/>
              </w:rPr>
              <w:t>-35</w:t>
            </w:r>
          </w:p>
        </w:tc>
        <w:tc>
          <w:tcPr>
            <w:tcW w:w="1634" w:type="dxa"/>
            <w:tcBorders>
              <w:top w:val="single" w:sz="4" w:space="0" w:color="auto"/>
              <w:left w:val="single" w:sz="4" w:space="0" w:color="auto"/>
              <w:bottom w:val="single" w:sz="4" w:space="0" w:color="auto"/>
              <w:right w:val="single" w:sz="4" w:space="0" w:color="auto"/>
            </w:tcBorders>
          </w:tcPr>
          <w:p w14:paraId="5439F824" w14:textId="77777777" w:rsidR="00131E48" w:rsidRDefault="00131E48" w:rsidP="00190C4B">
            <w:pPr>
              <w:jc w:val="right"/>
              <w:rPr>
                <w:rFonts w:ascii="Arial" w:hAnsi="Arial" w:cs="Arial"/>
                <w:b/>
                <w:sz w:val="24"/>
                <w:szCs w:val="24"/>
              </w:rPr>
            </w:pPr>
          </w:p>
          <w:p w14:paraId="78CFF2C1" w14:textId="16E7FFEC" w:rsidR="002C5328" w:rsidRPr="000D756E" w:rsidRDefault="00D2138B" w:rsidP="00190C4B">
            <w:pPr>
              <w:jc w:val="right"/>
              <w:rPr>
                <w:rFonts w:ascii="Arial" w:hAnsi="Arial" w:cs="Arial"/>
                <w:b/>
                <w:sz w:val="24"/>
                <w:szCs w:val="24"/>
              </w:rPr>
            </w:pPr>
            <w:r>
              <w:rPr>
                <w:rFonts w:ascii="Arial" w:hAnsi="Arial" w:cs="Arial"/>
                <w:b/>
                <w:sz w:val="24"/>
                <w:szCs w:val="24"/>
              </w:rPr>
              <w:t>-17,937</w:t>
            </w:r>
          </w:p>
        </w:tc>
        <w:tc>
          <w:tcPr>
            <w:tcW w:w="1456" w:type="dxa"/>
            <w:tcBorders>
              <w:top w:val="single" w:sz="4" w:space="0" w:color="auto"/>
              <w:left w:val="single" w:sz="4" w:space="0" w:color="auto"/>
              <w:bottom w:val="single" w:sz="4" w:space="0" w:color="auto"/>
              <w:right w:val="single" w:sz="4" w:space="0" w:color="auto"/>
            </w:tcBorders>
          </w:tcPr>
          <w:p w14:paraId="4A1094D7" w14:textId="77777777" w:rsidR="00936B3A" w:rsidRDefault="00936B3A" w:rsidP="00190C4B">
            <w:pPr>
              <w:jc w:val="right"/>
              <w:rPr>
                <w:rFonts w:ascii="Arial" w:hAnsi="Arial" w:cs="Arial"/>
                <w:b/>
                <w:sz w:val="24"/>
                <w:szCs w:val="24"/>
              </w:rPr>
            </w:pPr>
          </w:p>
          <w:p w14:paraId="20679D51" w14:textId="0B376A3A" w:rsidR="00D2138B" w:rsidRPr="000D756E" w:rsidRDefault="003E10AB" w:rsidP="00190C4B">
            <w:pPr>
              <w:jc w:val="right"/>
              <w:rPr>
                <w:rFonts w:ascii="Arial" w:hAnsi="Arial" w:cs="Arial"/>
                <w:b/>
                <w:sz w:val="24"/>
                <w:szCs w:val="24"/>
              </w:rPr>
            </w:pPr>
            <w:r>
              <w:rPr>
                <w:rFonts w:ascii="Arial" w:hAnsi="Arial" w:cs="Arial"/>
                <w:b/>
                <w:sz w:val="24"/>
                <w:szCs w:val="24"/>
              </w:rPr>
              <w:t>-17,972</w:t>
            </w:r>
          </w:p>
        </w:tc>
      </w:tr>
      <w:tr w:rsidR="006329E6" w:rsidRPr="000D756E" w14:paraId="7ECF2E76" w14:textId="77777777" w:rsidTr="005E7048">
        <w:tc>
          <w:tcPr>
            <w:tcW w:w="4503" w:type="dxa"/>
            <w:tcBorders>
              <w:top w:val="nil"/>
            </w:tcBorders>
          </w:tcPr>
          <w:p w14:paraId="38F6F32A" w14:textId="77777777" w:rsidR="00176503" w:rsidRPr="000D756E" w:rsidRDefault="00176503" w:rsidP="002A7C01">
            <w:pPr>
              <w:rPr>
                <w:rFonts w:ascii="Arial" w:hAnsi="Arial" w:cs="Arial"/>
                <w:sz w:val="24"/>
                <w:szCs w:val="24"/>
              </w:rPr>
            </w:pPr>
          </w:p>
          <w:p w14:paraId="74DB67AC" w14:textId="0DDDB22E" w:rsidR="00176503" w:rsidRPr="000D756E" w:rsidRDefault="00176503" w:rsidP="002A7C01">
            <w:pPr>
              <w:rPr>
                <w:rFonts w:ascii="Arial" w:hAnsi="Arial" w:cs="Arial"/>
                <w:b/>
                <w:sz w:val="24"/>
                <w:szCs w:val="24"/>
              </w:rPr>
            </w:pPr>
            <w:r w:rsidRPr="000D756E">
              <w:rPr>
                <w:rFonts w:ascii="Arial" w:hAnsi="Arial" w:cs="Arial"/>
                <w:b/>
                <w:sz w:val="24"/>
                <w:szCs w:val="24"/>
              </w:rPr>
              <w:t xml:space="preserve">Net Book Value at 31 March </w:t>
            </w:r>
            <w:r w:rsidR="00001482" w:rsidRPr="000D756E">
              <w:rPr>
                <w:rFonts w:ascii="Arial" w:hAnsi="Arial" w:cs="Arial"/>
                <w:b/>
                <w:sz w:val="24"/>
                <w:szCs w:val="24"/>
              </w:rPr>
              <w:t>202</w:t>
            </w:r>
            <w:r w:rsidR="00DF0B70">
              <w:rPr>
                <w:rFonts w:ascii="Arial" w:hAnsi="Arial" w:cs="Arial"/>
                <w:b/>
                <w:sz w:val="24"/>
                <w:szCs w:val="24"/>
              </w:rPr>
              <w:t>5</w:t>
            </w:r>
          </w:p>
          <w:p w14:paraId="20253463" w14:textId="77777777" w:rsidR="00176503" w:rsidRPr="000D756E" w:rsidRDefault="00176503" w:rsidP="002A7C01">
            <w:pPr>
              <w:rPr>
                <w:rFonts w:ascii="Arial" w:hAnsi="Arial" w:cs="Arial"/>
                <w:sz w:val="24"/>
                <w:szCs w:val="24"/>
              </w:rPr>
            </w:pPr>
          </w:p>
          <w:p w14:paraId="4E577A07" w14:textId="0BD75A1D" w:rsidR="00176503" w:rsidRPr="000D756E" w:rsidRDefault="00176503" w:rsidP="00FA1C5F">
            <w:pPr>
              <w:rPr>
                <w:rFonts w:ascii="Arial" w:hAnsi="Arial" w:cs="Arial"/>
                <w:b/>
                <w:sz w:val="24"/>
                <w:szCs w:val="24"/>
              </w:rPr>
            </w:pPr>
            <w:r w:rsidRPr="000D756E">
              <w:rPr>
                <w:rFonts w:ascii="Arial" w:hAnsi="Arial" w:cs="Arial"/>
                <w:b/>
                <w:sz w:val="24"/>
                <w:szCs w:val="24"/>
              </w:rPr>
              <w:t xml:space="preserve">At 31 March </w:t>
            </w:r>
            <w:r w:rsidR="00001482" w:rsidRPr="000D756E">
              <w:rPr>
                <w:rFonts w:ascii="Arial" w:hAnsi="Arial" w:cs="Arial"/>
                <w:b/>
                <w:sz w:val="24"/>
                <w:szCs w:val="24"/>
              </w:rPr>
              <w:t>202</w:t>
            </w:r>
            <w:r w:rsidR="00C0312C">
              <w:rPr>
                <w:rFonts w:ascii="Arial" w:hAnsi="Arial" w:cs="Arial"/>
                <w:b/>
                <w:sz w:val="24"/>
                <w:szCs w:val="24"/>
              </w:rPr>
              <w:t>4</w:t>
            </w:r>
          </w:p>
        </w:tc>
        <w:tc>
          <w:tcPr>
            <w:tcW w:w="1417" w:type="dxa"/>
            <w:tcBorders>
              <w:top w:val="single" w:sz="4" w:space="0" w:color="auto"/>
            </w:tcBorders>
          </w:tcPr>
          <w:p w14:paraId="06DA5BF8" w14:textId="77777777" w:rsidR="00345489" w:rsidRPr="000D756E" w:rsidRDefault="00345489" w:rsidP="002003EB">
            <w:pPr>
              <w:rPr>
                <w:rFonts w:ascii="Arial" w:hAnsi="Arial" w:cs="Arial"/>
                <w:b/>
                <w:sz w:val="24"/>
                <w:szCs w:val="24"/>
              </w:rPr>
            </w:pPr>
          </w:p>
          <w:p w14:paraId="6CDFE61A" w14:textId="5B73B8DC" w:rsidR="00F23F72" w:rsidRDefault="003E10AB" w:rsidP="006B412C">
            <w:pPr>
              <w:jc w:val="right"/>
              <w:rPr>
                <w:rFonts w:ascii="Arial" w:hAnsi="Arial" w:cs="Arial"/>
                <w:b/>
                <w:sz w:val="24"/>
                <w:szCs w:val="24"/>
              </w:rPr>
            </w:pPr>
            <w:r>
              <w:rPr>
                <w:rFonts w:ascii="Arial" w:hAnsi="Arial" w:cs="Arial"/>
                <w:b/>
                <w:sz w:val="24"/>
                <w:szCs w:val="24"/>
              </w:rPr>
              <w:t>32,520</w:t>
            </w:r>
          </w:p>
          <w:p w14:paraId="3B446933" w14:textId="77777777" w:rsidR="00C0312C" w:rsidRPr="000D756E" w:rsidRDefault="00C0312C" w:rsidP="006B412C">
            <w:pPr>
              <w:jc w:val="right"/>
              <w:rPr>
                <w:rFonts w:ascii="Arial" w:hAnsi="Arial" w:cs="Arial"/>
                <w:b/>
                <w:sz w:val="24"/>
                <w:szCs w:val="24"/>
              </w:rPr>
            </w:pPr>
          </w:p>
          <w:p w14:paraId="1AEA74F2" w14:textId="5B30E8C7" w:rsidR="006B412C" w:rsidRPr="000D756E" w:rsidRDefault="00F23F72" w:rsidP="006B412C">
            <w:pPr>
              <w:jc w:val="right"/>
              <w:rPr>
                <w:rFonts w:ascii="Arial" w:hAnsi="Arial" w:cs="Arial"/>
                <w:b/>
                <w:sz w:val="24"/>
                <w:szCs w:val="24"/>
              </w:rPr>
            </w:pPr>
            <w:r w:rsidRPr="000D756E">
              <w:rPr>
                <w:rFonts w:ascii="Arial" w:hAnsi="Arial" w:cs="Arial"/>
                <w:b/>
                <w:sz w:val="24"/>
                <w:szCs w:val="24"/>
              </w:rPr>
              <w:t>27,</w:t>
            </w:r>
            <w:r w:rsidR="001303EB">
              <w:rPr>
                <w:rFonts w:ascii="Arial" w:hAnsi="Arial" w:cs="Arial"/>
                <w:b/>
                <w:sz w:val="24"/>
                <w:szCs w:val="24"/>
              </w:rPr>
              <w:t>610</w:t>
            </w:r>
          </w:p>
        </w:tc>
        <w:tc>
          <w:tcPr>
            <w:tcW w:w="1634" w:type="dxa"/>
            <w:tcBorders>
              <w:top w:val="single" w:sz="4" w:space="0" w:color="auto"/>
            </w:tcBorders>
          </w:tcPr>
          <w:p w14:paraId="2F952AE7" w14:textId="77777777" w:rsidR="00DB10CA" w:rsidRPr="000D756E" w:rsidRDefault="00DB10CA" w:rsidP="00DB10CA">
            <w:pPr>
              <w:jc w:val="right"/>
              <w:rPr>
                <w:rFonts w:ascii="Arial" w:hAnsi="Arial" w:cs="Arial"/>
                <w:b/>
                <w:sz w:val="24"/>
                <w:szCs w:val="24"/>
              </w:rPr>
            </w:pPr>
          </w:p>
          <w:p w14:paraId="74023B6E" w14:textId="44F6DA1E" w:rsidR="00505EA4" w:rsidRPr="000D756E" w:rsidRDefault="00A753E9" w:rsidP="00001482">
            <w:pPr>
              <w:jc w:val="right"/>
              <w:rPr>
                <w:rFonts w:ascii="Arial" w:hAnsi="Arial" w:cs="Arial"/>
                <w:b/>
                <w:sz w:val="24"/>
                <w:szCs w:val="24"/>
              </w:rPr>
            </w:pPr>
            <w:r>
              <w:rPr>
                <w:rFonts w:ascii="Arial" w:hAnsi="Arial" w:cs="Arial"/>
                <w:b/>
                <w:sz w:val="24"/>
                <w:szCs w:val="24"/>
              </w:rPr>
              <w:t>9,139</w:t>
            </w:r>
          </w:p>
          <w:p w14:paraId="5353CAE6" w14:textId="77777777" w:rsidR="00F23F72" w:rsidRPr="000D756E" w:rsidRDefault="00F23F72" w:rsidP="00807121">
            <w:pPr>
              <w:jc w:val="right"/>
              <w:rPr>
                <w:rFonts w:ascii="Arial" w:hAnsi="Arial" w:cs="Arial"/>
                <w:b/>
                <w:sz w:val="24"/>
                <w:szCs w:val="24"/>
              </w:rPr>
            </w:pPr>
          </w:p>
          <w:p w14:paraId="2F9DBE87" w14:textId="174006C7" w:rsidR="00A75DE2" w:rsidRPr="000D756E" w:rsidRDefault="001303EB" w:rsidP="00807121">
            <w:pPr>
              <w:jc w:val="right"/>
              <w:rPr>
                <w:rFonts w:ascii="Arial" w:hAnsi="Arial" w:cs="Arial"/>
                <w:b/>
                <w:sz w:val="24"/>
                <w:szCs w:val="24"/>
              </w:rPr>
            </w:pPr>
            <w:r>
              <w:rPr>
                <w:rFonts w:ascii="Arial" w:hAnsi="Arial" w:cs="Arial"/>
                <w:b/>
                <w:sz w:val="24"/>
                <w:szCs w:val="24"/>
              </w:rPr>
              <w:t>6,852</w:t>
            </w:r>
          </w:p>
        </w:tc>
        <w:tc>
          <w:tcPr>
            <w:tcW w:w="1456" w:type="dxa"/>
            <w:tcBorders>
              <w:top w:val="single" w:sz="4" w:space="0" w:color="auto"/>
            </w:tcBorders>
          </w:tcPr>
          <w:p w14:paraId="6F531CB1" w14:textId="77777777" w:rsidR="00E1399B" w:rsidRPr="000D756E" w:rsidRDefault="00E1399B" w:rsidP="00E1399B">
            <w:pPr>
              <w:rPr>
                <w:rFonts w:ascii="Arial" w:hAnsi="Arial" w:cs="Arial"/>
                <w:b/>
                <w:sz w:val="24"/>
                <w:szCs w:val="24"/>
              </w:rPr>
            </w:pPr>
          </w:p>
          <w:p w14:paraId="3CA71DED" w14:textId="7A22446A" w:rsidR="006B412C" w:rsidRPr="000D756E" w:rsidRDefault="00A753E9" w:rsidP="00807121">
            <w:pPr>
              <w:jc w:val="right"/>
              <w:rPr>
                <w:rFonts w:ascii="Arial" w:hAnsi="Arial" w:cs="Arial"/>
                <w:b/>
                <w:sz w:val="24"/>
                <w:szCs w:val="24"/>
              </w:rPr>
            </w:pPr>
            <w:r>
              <w:rPr>
                <w:rFonts w:ascii="Arial" w:hAnsi="Arial" w:cs="Arial"/>
                <w:b/>
                <w:sz w:val="24"/>
                <w:szCs w:val="24"/>
              </w:rPr>
              <w:t>41,659</w:t>
            </w:r>
          </w:p>
          <w:p w14:paraId="00355BC1" w14:textId="77777777" w:rsidR="00F23F72" w:rsidRPr="000D756E" w:rsidRDefault="00F23F72" w:rsidP="00807121">
            <w:pPr>
              <w:jc w:val="right"/>
              <w:rPr>
                <w:rFonts w:ascii="Arial" w:hAnsi="Arial" w:cs="Arial"/>
                <w:b/>
                <w:sz w:val="24"/>
                <w:szCs w:val="24"/>
              </w:rPr>
            </w:pPr>
          </w:p>
          <w:p w14:paraId="2C4C1BB1" w14:textId="2B439FDA" w:rsidR="00A75DE2" w:rsidRPr="000D756E" w:rsidRDefault="00F23F72" w:rsidP="00807121">
            <w:pPr>
              <w:jc w:val="right"/>
              <w:rPr>
                <w:rFonts w:ascii="Arial" w:hAnsi="Arial" w:cs="Arial"/>
                <w:b/>
                <w:sz w:val="24"/>
                <w:szCs w:val="24"/>
              </w:rPr>
            </w:pPr>
            <w:r w:rsidRPr="000D756E">
              <w:rPr>
                <w:rFonts w:ascii="Arial" w:hAnsi="Arial" w:cs="Arial"/>
                <w:b/>
                <w:sz w:val="24"/>
                <w:szCs w:val="24"/>
              </w:rPr>
              <w:t>34,</w:t>
            </w:r>
            <w:r w:rsidR="001303EB">
              <w:rPr>
                <w:rFonts w:ascii="Arial" w:hAnsi="Arial" w:cs="Arial"/>
                <w:b/>
                <w:sz w:val="24"/>
                <w:szCs w:val="24"/>
              </w:rPr>
              <w:t>462</w:t>
            </w:r>
          </w:p>
        </w:tc>
      </w:tr>
    </w:tbl>
    <w:p w14:paraId="6D366AE9" w14:textId="77777777" w:rsidR="00A629F1" w:rsidRPr="000D756E" w:rsidRDefault="000417E8" w:rsidP="002A7C01">
      <w:pPr>
        <w:rPr>
          <w:rFonts w:ascii="Arial" w:hAnsi="Arial" w:cs="Arial"/>
          <w:sz w:val="24"/>
          <w:szCs w:val="24"/>
        </w:rPr>
      </w:pPr>
      <w:r w:rsidRPr="000D756E">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417"/>
        <w:gridCol w:w="1634"/>
        <w:gridCol w:w="1456"/>
      </w:tblGrid>
      <w:tr w:rsidR="006329E6" w:rsidRPr="000D756E" w14:paraId="6D3E9A26" w14:textId="77777777" w:rsidTr="00E90405">
        <w:tc>
          <w:tcPr>
            <w:tcW w:w="4503" w:type="dxa"/>
            <w:tcBorders>
              <w:bottom w:val="single" w:sz="4" w:space="0" w:color="auto"/>
            </w:tcBorders>
          </w:tcPr>
          <w:p w14:paraId="65AAE29B" w14:textId="77777777" w:rsidR="00CE72D3" w:rsidRPr="000D756E" w:rsidRDefault="00CE72D3" w:rsidP="00CE72D3">
            <w:pPr>
              <w:rPr>
                <w:rFonts w:ascii="Arial" w:hAnsi="Arial" w:cs="Arial"/>
                <w:b/>
                <w:sz w:val="24"/>
                <w:szCs w:val="24"/>
              </w:rPr>
            </w:pPr>
          </w:p>
          <w:p w14:paraId="67C4466C" w14:textId="77777777" w:rsidR="00CE72D3" w:rsidRPr="000D756E" w:rsidRDefault="00CE72D3" w:rsidP="00CE72D3">
            <w:pPr>
              <w:rPr>
                <w:rFonts w:ascii="Arial" w:hAnsi="Arial" w:cs="Arial"/>
                <w:b/>
                <w:sz w:val="24"/>
                <w:szCs w:val="24"/>
              </w:rPr>
            </w:pPr>
          </w:p>
          <w:p w14:paraId="0C92FE88" w14:textId="0180DE9D" w:rsidR="00CE72D3" w:rsidRPr="000D756E" w:rsidRDefault="00CE72D3" w:rsidP="00CE72D3">
            <w:pPr>
              <w:rPr>
                <w:rFonts w:ascii="Arial" w:hAnsi="Arial" w:cs="Arial"/>
                <w:sz w:val="24"/>
                <w:szCs w:val="24"/>
              </w:rPr>
            </w:pPr>
            <w:r w:rsidRPr="000D756E">
              <w:rPr>
                <w:rFonts w:ascii="Arial" w:hAnsi="Arial" w:cs="Arial"/>
                <w:b/>
                <w:sz w:val="24"/>
                <w:szCs w:val="24"/>
              </w:rPr>
              <w:t>Movements in 20</w:t>
            </w:r>
            <w:r w:rsidR="006B412C" w:rsidRPr="000D756E">
              <w:rPr>
                <w:rFonts w:ascii="Arial" w:hAnsi="Arial" w:cs="Arial"/>
                <w:b/>
                <w:sz w:val="24"/>
                <w:szCs w:val="24"/>
              </w:rPr>
              <w:t>2</w:t>
            </w:r>
            <w:r w:rsidR="00DF0B70">
              <w:rPr>
                <w:rFonts w:ascii="Arial" w:hAnsi="Arial" w:cs="Arial"/>
                <w:b/>
                <w:sz w:val="24"/>
                <w:szCs w:val="24"/>
              </w:rPr>
              <w:t>3/24</w:t>
            </w:r>
          </w:p>
        </w:tc>
        <w:tc>
          <w:tcPr>
            <w:tcW w:w="1417" w:type="dxa"/>
            <w:tcBorders>
              <w:bottom w:val="single" w:sz="4" w:space="0" w:color="auto"/>
            </w:tcBorders>
          </w:tcPr>
          <w:p w14:paraId="1EF7541E" w14:textId="77777777" w:rsidR="00CE72D3" w:rsidRPr="000D756E" w:rsidRDefault="00CE72D3" w:rsidP="00CE72D3">
            <w:pPr>
              <w:jc w:val="right"/>
              <w:rPr>
                <w:rFonts w:ascii="Arial" w:hAnsi="Arial" w:cs="Arial"/>
                <w:b/>
                <w:sz w:val="24"/>
                <w:szCs w:val="24"/>
              </w:rPr>
            </w:pPr>
          </w:p>
          <w:p w14:paraId="1162B926" w14:textId="77777777" w:rsidR="00CE72D3" w:rsidRPr="000D756E" w:rsidRDefault="00CE72D3" w:rsidP="00CE72D3">
            <w:pPr>
              <w:jc w:val="right"/>
              <w:rPr>
                <w:rFonts w:ascii="Arial" w:hAnsi="Arial" w:cs="Arial"/>
                <w:b/>
                <w:sz w:val="24"/>
                <w:szCs w:val="24"/>
              </w:rPr>
            </w:pPr>
          </w:p>
          <w:p w14:paraId="1365ADC4" w14:textId="77777777" w:rsidR="00CE72D3" w:rsidRPr="000D756E" w:rsidRDefault="00CE72D3" w:rsidP="00CE72D3">
            <w:pPr>
              <w:jc w:val="right"/>
              <w:rPr>
                <w:rFonts w:ascii="Arial" w:hAnsi="Arial" w:cs="Arial"/>
                <w:b/>
                <w:sz w:val="24"/>
                <w:szCs w:val="24"/>
              </w:rPr>
            </w:pPr>
            <w:r w:rsidRPr="000D756E">
              <w:rPr>
                <w:rFonts w:ascii="Arial" w:hAnsi="Arial" w:cs="Arial"/>
                <w:b/>
                <w:sz w:val="24"/>
                <w:szCs w:val="24"/>
              </w:rPr>
              <w:t>Land &amp; Buildings</w:t>
            </w:r>
          </w:p>
          <w:p w14:paraId="25DE78B0" w14:textId="3EC7EC34" w:rsidR="00CE72D3" w:rsidRPr="000D756E" w:rsidRDefault="00CE72D3" w:rsidP="00CE72D3">
            <w:pPr>
              <w:jc w:val="right"/>
              <w:rPr>
                <w:rFonts w:ascii="Arial" w:hAnsi="Arial" w:cs="Arial"/>
                <w:b/>
                <w:sz w:val="24"/>
                <w:szCs w:val="24"/>
              </w:rPr>
            </w:pPr>
            <w:r w:rsidRPr="000D756E">
              <w:rPr>
                <w:rFonts w:ascii="Arial" w:hAnsi="Arial" w:cs="Arial"/>
                <w:b/>
                <w:sz w:val="24"/>
                <w:szCs w:val="24"/>
              </w:rPr>
              <w:t>£’000</w:t>
            </w:r>
          </w:p>
        </w:tc>
        <w:tc>
          <w:tcPr>
            <w:tcW w:w="1634" w:type="dxa"/>
            <w:tcBorders>
              <w:bottom w:val="single" w:sz="4" w:space="0" w:color="auto"/>
            </w:tcBorders>
          </w:tcPr>
          <w:p w14:paraId="7A8AF3B9" w14:textId="77777777" w:rsidR="00CE72D3" w:rsidRPr="000D756E" w:rsidRDefault="00CE72D3" w:rsidP="00CE72D3">
            <w:pPr>
              <w:jc w:val="right"/>
              <w:rPr>
                <w:rFonts w:ascii="Arial" w:hAnsi="Arial" w:cs="Arial"/>
                <w:b/>
                <w:sz w:val="24"/>
                <w:szCs w:val="24"/>
              </w:rPr>
            </w:pPr>
            <w:r w:rsidRPr="000D756E">
              <w:rPr>
                <w:rFonts w:ascii="Arial" w:hAnsi="Arial" w:cs="Arial"/>
                <w:b/>
                <w:sz w:val="24"/>
                <w:szCs w:val="24"/>
              </w:rPr>
              <w:t>Vehicles, Plant, Furniture &amp; Equipment</w:t>
            </w:r>
          </w:p>
          <w:p w14:paraId="4BF3DEAC" w14:textId="3FB4F76B" w:rsidR="00CE72D3" w:rsidRPr="000D756E" w:rsidRDefault="00CE72D3" w:rsidP="00CE72D3">
            <w:pPr>
              <w:jc w:val="right"/>
              <w:rPr>
                <w:rFonts w:ascii="Arial" w:hAnsi="Arial" w:cs="Arial"/>
                <w:b/>
                <w:sz w:val="24"/>
                <w:szCs w:val="24"/>
              </w:rPr>
            </w:pPr>
            <w:r w:rsidRPr="000D756E">
              <w:rPr>
                <w:rFonts w:ascii="Arial" w:hAnsi="Arial" w:cs="Arial"/>
                <w:b/>
                <w:sz w:val="24"/>
                <w:szCs w:val="24"/>
              </w:rPr>
              <w:t>£’000</w:t>
            </w:r>
          </w:p>
        </w:tc>
        <w:tc>
          <w:tcPr>
            <w:tcW w:w="1456" w:type="dxa"/>
            <w:tcBorders>
              <w:bottom w:val="single" w:sz="4" w:space="0" w:color="auto"/>
            </w:tcBorders>
          </w:tcPr>
          <w:p w14:paraId="2697A14F" w14:textId="77777777" w:rsidR="00CE72D3" w:rsidRPr="000D756E" w:rsidRDefault="00CE72D3" w:rsidP="00CE72D3">
            <w:pPr>
              <w:jc w:val="right"/>
              <w:rPr>
                <w:rFonts w:ascii="Arial" w:hAnsi="Arial" w:cs="Arial"/>
                <w:b/>
                <w:sz w:val="24"/>
                <w:szCs w:val="24"/>
              </w:rPr>
            </w:pPr>
          </w:p>
          <w:p w14:paraId="22141736" w14:textId="77777777" w:rsidR="00CE72D3" w:rsidRPr="000D756E" w:rsidRDefault="00CE72D3" w:rsidP="00CE72D3">
            <w:pPr>
              <w:jc w:val="right"/>
              <w:rPr>
                <w:rFonts w:ascii="Arial" w:hAnsi="Arial" w:cs="Arial"/>
                <w:b/>
                <w:sz w:val="24"/>
                <w:szCs w:val="24"/>
              </w:rPr>
            </w:pPr>
            <w:r w:rsidRPr="000D756E">
              <w:rPr>
                <w:rFonts w:ascii="Arial" w:hAnsi="Arial" w:cs="Arial"/>
                <w:b/>
                <w:sz w:val="24"/>
                <w:szCs w:val="24"/>
              </w:rPr>
              <w:t>Property Plant &amp; Equipment</w:t>
            </w:r>
          </w:p>
          <w:p w14:paraId="1875760D" w14:textId="77CB3F57" w:rsidR="00CE72D3" w:rsidRPr="000D756E" w:rsidRDefault="00CE72D3" w:rsidP="00CE72D3">
            <w:pPr>
              <w:jc w:val="right"/>
              <w:rPr>
                <w:rFonts w:ascii="Arial" w:hAnsi="Arial" w:cs="Arial"/>
                <w:b/>
                <w:sz w:val="24"/>
                <w:szCs w:val="24"/>
              </w:rPr>
            </w:pPr>
            <w:r w:rsidRPr="000D756E">
              <w:rPr>
                <w:rFonts w:ascii="Arial" w:hAnsi="Arial" w:cs="Arial"/>
                <w:b/>
                <w:sz w:val="24"/>
                <w:szCs w:val="24"/>
              </w:rPr>
              <w:t>£’000</w:t>
            </w:r>
          </w:p>
        </w:tc>
      </w:tr>
      <w:tr w:rsidR="001303EB" w:rsidRPr="000D756E" w14:paraId="1331D2E4" w14:textId="77777777" w:rsidTr="00E90405">
        <w:tc>
          <w:tcPr>
            <w:tcW w:w="4503" w:type="dxa"/>
            <w:tcBorders>
              <w:top w:val="single" w:sz="4" w:space="0" w:color="auto"/>
              <w:left w:val="single" w:sz="4" w:space="0" w:color="auto"/>
              <w:bottom w:val="nil"/>
              <w:right w:val="single" w:sz="4" w:space="0" w:color="auto"/>
            </w:tcBorders>
          </w:tcPr>
          <w:p w14:paraId="4711B1C1" w14:textId="77777777" w:rsidR="001303EB" w:rsidRPr="000D756E" w:rsidRDefault="001303EB" w:rsidP="001303EB">
            <w:pPr>
              <w:rPr>
                <w:rFonts w:ascii="Arial" w:hAnsi="Arial" w:cs="Arial"/>
                <w:sz w:val="24"/>
                <w:szCs w:val="24"/>
              </w:rPr>
            </w:pPr>
          </w:p>
          <w:p w14:paraId="0CDD1547" w14:textId="77777777" w:rsidR="001303EB" w:rsidRPr="000D756E" w:rsidRDefault="001303EB" w:rsidP="001303EB">
            <w:pPr>
              <w:rPr>
                <w:rFonts w:ascii="Arial" w:hAnsi="Arial" w:cs="Arial"/>
                <w:b/>
                <w:sz w:val="24"/>
                <w:szCs w:val="24"/>
              </w:rPr>
            </w:pPr>
            <w:r w:rsidRPr="000D756E">
              <w:rPr>
                <w:rFonts w:ascii="Arial" w:hAnsi="Arial" w:cs="Arial"/>
                <w:b/>
                <w:sz w:val="24"/>
                <w:szCs w:val="24"/>
              </w:rPr>
              <w:t>Cost or Valuation</w:t>
            </w:r>
          </w:p>
          <w:p w14:paraId="1886084E" w14:textId="77777777" w:rsidR="001303EB" w:rsidRPr="000D756E" w:rsidRDefault="001303EB" w:rsidP="001303EB">
            <w:pPr>
              <w:rPr>
                <w:rFonts w:ascii="Arial" w:hAnsi="Arial" w:cs="Arial"/>
                <w:sz w:val="24"/>
                <w:szCs w:val="24"/>
              </w:rPr>
            </w:pPr>
          </w:p>
          <w:p w14:paraId="68F9650F" w14:textId="49326345" w:rsidR="001303EB" w:rsidRPr="000D756E" w:rsidRDefault="001303EB" w:rsidP="001303EB">
            <w:pPr>
              <w:rPr>
                <w:rFonts w:ascii="Arial" w:hAnsi="Arial" w:cs="Arial"/>
                <w:b/>
                <w:sz w:val="24"/>
                <w:szCs w:val="24"/>
              </w:rPr>
            </w:pPr>
            <w:r w:rsidRPr="000D756E">
              <w:rPr>
                <w:rFonts w:ascii="Arial" w:hAnsi="Arial" w:cs="Arial"/>
                <w:b/>
                <w:sz w:val="24"/>
                <w:szCs w:val="24"/>
              </w:rPr>
              <w:t>At 1 April 202</w:t>
            </w:r>
            <w:r w:rsidR="00DF0B70">
              <w:rPr>
                <w:rFonts w:ascii="Arial" w:hAnsi="Arial" w:cs="Arial"/>
                <w:b/>
                <w:sz w:val="24"/>
                <w:szCs w:val="24"/>
              </w:rPr>
              <w:t>3</w:t>
            </w:r>
          </w:p>
          <w:p w14:paraId="1752B016" w14:textId="77777777" w:rsidR="001303EB" w:rsidRPr="000D756E" w:rsidRDefault="001303EB" w:rsidP="001303EB">
            <w:pPr>
              <w:rPr>
                <w:rFonts w:ascii="Arial" w:hAnsi="Arial" w:cs="Arial"/>
                <w:sz w:val="24"/>
                <w:szCs w:val="24"/>
              </w:rPr>
            </w:pPr>
          </w:p>
        </w:tc>
        <w:tc>
          <w:tcPr>
            <w:tcW w:w="1417" w:type="dxa"/>
            <w:tcBorders>
              <w:top w:val="single" w:sz="4" w:space="0" w:color="auto"/>
              <w:bottom w:val="single" w:sz="4" w:space="0" w:color="auto"/>
            </w:tcBorders>
          </w:tcPr>
          <w:p w14:paraId="5AF31738" w14:textId="77777777" w:rsidR="001303EB" w:rsidRPr="000D756E" w:rsidRDefault="001303EB" w:rsidP="001303EB">
            <w:pPr>
              <w:jc w:val="right"/>
              <w:rPr>
                <w:rFonts w:ascii="Arial" w:hAnsi="Arial" w:cs="Arial"/>
                <w:bCs/>
                <w:sz w:val="24"/>
                <w:szCs w:val="24"/>
              </w:rPr>
            </w:pPr>
          </w:p>
          <w:p w14:paraId="3ACEB43C" w14:textId="77777777" w:rsidR="001303EB" w:rsidRPr="000D756E" w:rsidRDefault="001303EB" w:rsidP="001303EB">
            <w:pPr>
              <w:jc w:val="right"/>
              <w:rPr>
                <w:rFonts w:ascii="Arial" w:hAnsi="Arial" w:cs="Arial"/>
                <w:bCs/>
                <w:sz w:val="24"/>
                <w:szCs w:val="24"/>
              </w:rPr>
            </w:pPr>
          </w:p>
          <w:p w14:paraId="2FD5B551" w14:textId="26E52310" w:rsidR="001303EB" w:rsidRPr="000D756E" w:rsidRDefault="001303EB" w:rsidP="001303EB">
            <w:pPr>
              <w:jc w:val="right"/>
              <w:rPr>
                <w:rFonts w:ascii="Arial" w:hAnsi="Arial" w:cs="Arial"/>
                <w:sz w:val="24"/>
                <w:szCs w:val="24"/>
              </w:rPr>
            </w:pPr>
            <w:r w:rsidRPr="000D756E">
              <w:rPr>
                <w:rFonts w:ascii="Arial" w:hAnsi="Arial" w:cs="Arial"/>
                <w:bCs/>
                <w:sz w:val="24"/>
                <w:szCs w:val="24"/>
              </w:rPr>
              <w:t>27,605</w:t>
            </w:r>
          </w:p>
        </w:tc>
        <w:tc>
          <w:tcPr>
            <w:tcW w:w="1634" w:type="dxa"/>
            <w:tcBorders>
              <w:top w:val="single" w:sz="4" w:space="0" w:color="auto"/>
              <w:bottom w:val="single" w:sz="4" w:space="0" w:color="auto"/>
            </w:tcBorders>
          </w:tcPr>
          <w:p w14:paraId="003D0AB9" w14:textId="77777777" w:rsidR="001303EB" w:rsidRPr="000D756E" w:rsidRDefault="001303EB" w:rsidP="001303EB">
            <w:pPr>
              <w:jc w:val="right"/>
              <w:rPr>
                <w:rFonts w:ascii="Arial" w:hAnsi="Arial" w:cs="Arial"/>
                <w:bCs/>
                <w:sz w:val="24"/>
                <w:szCs w:val="24"/>
              </w:rPr>
            </w:pPr>
          </w:p>
          <w:p w14:paraId="40D0FB47" w14:textId="77777777" w:rsidR="001303EB" w:rsidRPr="000D756E" w:rsidRDefault="001303EB" w:rsidP="001303EB">
            <w:pPr>
              <w:jc w:val="right"/>
              <w:rPr>
                <w:rFonts w:ascii="Arial" w:hAnsi="Arial" w:cs="Arial"/>
                <w:bCs/>
                <w:sz w:val="24"/>
                <w:szCs w:val="24"/>
              </w:rPr>
            </w:pPr>
          </w:p>
          <w:p w14:paraId="38082726" w14:textId="2C44A2BF" w:rsidR="001303EB" w:rsidRPr="000D756E" w:rsidRDefault="001303EB" w:rsidP="001303EB">
            <w:pPr>
              <w:jc w:val="right"/>
              <w:rPr>
                <w:rFonts w:ascii="Arial" w:hAnsi="Arial" w:cs="Arial"/>
                <w:sz w:val="24"/>
                <w:szCs w:val="24"/>
              </w:rPr>
            </w:pPr>
            <w:r w:rsidRPr="000D756E">
              <w:rPr>
                <w:rFonts w:ascii="Arial" w:hAnsi="Arial" w:cs="Arial"/>
                <w:bCs/>
                <w:sz w:val="24"/>
                <w:szCs w:val="24"/>
              </w:rPr>
              <w:t>22,861</w:t>
            </w:r>
          </w:p>
        </w:tc>
        <w:tc>
          <w:tcPr>
            <w:tcW w:w="1456" w:type="dxa"/>
            <w:tcBorders>
              <w:top w:val="single" w:sz="4" w:space="0" w:color="auto"/>
              <w:bottom w:val="single" w:sz="4" w:space="0" w:color="auto"/>
            </w:tcBorders>
          </w:tcPr>
          <w:p w14:paraId="67EAFFAB" w14:textId="77777777" w:rsidR="001303EB" w:rsidRPr="000D756E" w:rsidRDefault="001303EB" w:rsidP="001303EB">
            <w:pPr>
              <w:jc w:val="right"/>
              <w:rPr>
                <w:rFonts w:ascii="Arial" w:hAnsi="Arial" w:cs="Arial"/>
                <w:bCs/>
                <w:sz w:val="24"/>
                <w:szCs w:val="24"/>
              </w:rPr>
            </w:pPr>
          </w:p>
          <w:p w14:paraId="3D5F3B02" w14:textId="77777777" w:rsidR="001303EB" w:rsidRPr="000D756E" w:rsidRDefault="001303EB" w:rsidP="001303EB">
            <w:pPr>
              <w:jc w:val="right"/>
              <w:rPr>
                <w:rFonts w:ascii="Arial" w:hAnsi="Arial" w:cs="Arial"/>
                <w:bCs/>
                <w:sz w:val="24"/>
                <w:szCs w:val="24"/>
              </w:rPr>
            </w:pPr>
          </w:p>
          <w:p w14:paraId="76E03A84" w14:textId="0967872F" w:rsidR="001303EB" w:rsidRPr="000D756E" w:rsidRDefault="001303EB" w:rsidP="001303EB">
            <w:pPr>
              <w:jc w:val="right"/>
              <w:rPr>
                <w:rFonts w:ascii="Arial" w:hAnsi="Arial" w:cs="Arial"/>
                <w:sz w:val="24"/>
                <w:szCs w:val="24"/>
              </w:rPr>
            </w:pPr>
            <w:r w:rsidRPr="000D756E">
              <w:rPr>
                <w:rFonts w:ascii="Arial" w:hAnsi="Arial" w:cs="Arial"/>
                <w:bCs/>
                <w:sz w:val="24"/>
                <w:szCs w:val="24"/>
              </w:rPr>
              <w:t>50,466</w:t>
            </w:r>
          </w:p>
        </w:tc>
      </w:tr>
      <w:tr w:rsidR="001303EB" w:rsidRPr="000D756E" w14:paraId="268B773A" w14:textId="77777777" w:rsidTr="00014B5E">
        <w:trPr>
          <w:trHeight w:val="367"/>
        </w:trPr>
        <w:tc>
          <w:tcPr>
            <w:tcW w:w="4503" w:type="dxa"/>
            <w:tcBorders>
              <w:top w:val="nil"/>
              <w:left w:val="single" w:sz="4" w:space="0" w:color="auto"/>
              <w:bottom w:val="nil"/>
              <w:right w:val="single" w:sz="4" w:space="0" w:color="auto"/>
            </w:tcBorders>
          </w:tcPr>
          <w:p w14:paraId="0788F15A" w14:textId="77777777" w:rsidR="001303EB" w:rsidRPr="000D756E" w:rsidRDefault="001303EB" w:rsidP="001303EB">
            <w:pPr>
              <w:rPr>
                <w:rFonts w:ascii="Arial" w:hAnsi="Arial" w:cs="Arial"/>
                <w:sz w:val="24"/>
                <w:szCs w:val="24"/>
              </w:rPr>
            </w:pPr>
          </w:p>
          <w:p w14:paraId="7937FEA0" w14:textId="2B9FB77A" w:rsidR="001303EB" w:rsidRPr="000D756E" w:rsidRDefault="001303EB" w:rsidP="001303EB">
            <w:pPr>
              <w:rPr>
                <w:rFonts w:ascii="Arial" w:hAnsi="Arial" w:cs="Arial"/>
                <w:sz w:val="24"/>
                <w:szCs w:val="24"/>
              </w:rPr>
            </w:pPr>
            <w:r w:rsidRPr="000D756E">
              <w:rPr>
                <w:rFonts w:ascii="Arial" w:hAnsi="Arial" w:cs="Arial"/>
                <w:sz w:val="24"/>
                <w:szCs w:val="24"/>
              </w:rPr>
              <w:t>Additions</w:t>
            </w:r>
          </w:p>
        </w:tc>
        <w:tc>
          <w:tcPr>
            <w:tcW w:w="1417" w:type="dxa"/>
            <w:tcBorders>
              <w:top w:val="single" w:sz="4" w:space="0" w:color="auto"/>
              <w:left w:val="single" w:sz="4" w:space="0" w:color="auto"/>
              <w:bottom w:val="nil"/>
              <w:right w:val="single" w:sz="4" w:space="0" w:color="auto"/>
            </w:tcBorders>
            <w:vAlign w:val="bottom"/>
          </w:tcPr>
          <w:p w14:paraId="74302EA4" w14:textId="68F49DB6" w:rsidR="001303EB" w:rsidRPr="000D756E" w:rsidRDefault="001303EB" w:rsidP="001303EB">
            <w:pPr>
              <w:jc w:val="right"/>
              <w:rPr>
                <w:rFonts w:ascii="Arial" w:hAnsi="Arial" w:cs="Arial"/>
                <w:sz w:val="24"/>
                <w:szCs w:val="24"/>
              </w:rPr>
            </w:pPr>
            <w:r w:rsidRPr="000D756E">
              <w:rPr>
                <w:rFonts w:ascii="Arial" w:hAnsi="Arial" w:cs="Arial"/>
                <w:sz w:val="24"/>
                <w:szCs w:val="24"/>
              </w:rPr>
              <w:t>5,675</w:t>
            </w:r>
          </w:p>
        </w:tc>
        <w:tc>
          <w:tcPr>
            <w:tcW w:w="1634" w:type="dxa"/>
            <w:tcBorders>
              <w:top w:val="single" w:sz="4" w:space="0" w:color="auto"/>
              <w:left w:val="single" w:sz="4" w:space="0" w:color="auto"/>
              <w:bottom w:val="nil"/>
              <w:right w:val="single" w:sz="4" w:space="0" w:color="auto"/>
            </w:tcBorders>
            <w:vAlign w:val="bottom"/>
          </w:tcPr>
          <w:p w14:paraId="777A46C8" w14:textId="15113A3C" w:rsidR="001303EB" w:rsidRPr="000D756E" w:rsidRDefault="001303EB" w:rsidP="001303EB">
            <w:pPr>
              <w:jc w:val="right"/>
              <w:rPr>
                <w:rFonts w:ascii="Arial" w:hAnsi="Arial" w:cs="Arial"/>
                <w:sz w:val="24"/>
                <w:szCs w:val="24"/>
              </w:rPr>
            </w:pPr>
            <w:r w:rsidRPr="000D756E">
              <w:rPr>
                <w:rFonts w:ascii="Arial" w:hAnsi="Arial" w:cs="Arial"/>
                <w:sz w:val="24"/>
                <w:szCs w:val="24"/>
              </w:rPr>
              <w:t>834</w:t>
            </w:r>
          </w:p>
        </w:tc>
        <w:tc>
          <w:tcPr>
            <w:tcW w:w="1456" w:type="dxa"/>
            <w:tcBorders>
              <w:top w:val="single" w:sz="4" w:space="0" w:color="auto"/>
              <w:left w:val="single" w:sz="4" w:space="0" w:color="auto"/>
              <w:bottom w:val="nil"/>
              <w:right w:val="single" w:sz="4" w:space="0" w:color="auto"/>
            </w:tcBorders>
            <w:vAlign w:val="bottom"/>
          </w:tcPr>
          <w:p w14:paraId="28FA5494" w14:textId="313B55C0" w:rsidR="001303EB" w:rsidRPr="000D756E" w:rsidRDefault="001303EB" w:rsidP="001303EB">
            <w:pPr>
              <w:jc w:val="right"/>
              <w:rPr>
                <w:rFonts w:ascii="Arial" w:hAnsi="Arial" w:cs="Arial"/>
                <w:sz w:val="24"/>
                <w:szCs w:val="24"/>
              </w:rPr>
            </w:pPr>
            <w:r w:rsidRPr="000D756E">
              <w:rPr>
                <w:rFonts w:ascii="Arial" w:hAnsi="Arial" w:cs="Arial"/>
                <w:sz w:val="24"/>
                <w:szCs w:val="24"/>
              </w:rPr>
              <w:t>6,509</w:t>
            </w:r>
          </w:p>
        </w:tc>
      </w:tr>
      <w:tr w:rsidR="001303EB" w:rsidRPr="000D756E" w14:paraId="4659E9FD" w14:textId="77777777" w:rsidTr="00135DC4">
        <w:tc>
          <w:tcPr>
            <w:tcW w:w="4503" w:type="dxa"/>
            <w:tcBorders>
              <w:top w:val="nil"/>
              <w:left w:val="single" w:sz="4" w:space="0" w:color="auto"/>
              <w:bottom w:val="nil"/>
              <w:right w:val="single" w:sz="4" w:space="0" w:color="auto"/>
            </w:tcBorders>
          </w:tcPr>
          <w:p w14:paraId="4F69AE28" w14:textId="0521F4AB" w:rsidR="001303EB" w:rsidRPr="000D756E" w:rsidRDefault="001303EB" w:rsidP="001303EB">
            <w:pPr>
              <w:rPr>
                <w:rFonts w:ascii="Arial" w:hAnsi="Arial" w:cs="Arial"/>
                <w:sz w:val="24"/>
                <w:szCs w:val="24"/>
              </w:rPr>
            </w:pPr>
            <w:r w:rsidRPr="000D756E">
              <w:rPr>
                <w:rFonts w:ascii="Arial" w:hAnsi="Arial" w:cs="Arial"/>
                <w:sz w:val="24"/>
                <w:szCs w:val="24"/>
              </w:rPr>
              <w:t>Revaluation increases / -decreases recognised in the Revaluation Reserve</w:t>
            </w:r>
          </w:p>
        </w:tc>
        <w:tc>
          <w:tcPr>
            <w:tcW w:w="1417" w:type="dxa"/>
            <w:tcBorders>
              <w:top w:val="nil"/>
              <w:left w:val="single" w:sz="4" w:space="0" w:color="auto"/>
              <w:bottom w:val="nil"/>
              <w:right w:val="single" w:sz="4" w:space="0" w:color="auto"/>
            </w:tcBorders>
            <w:vAlign w:val="bottom"/>
          </w:tcPr>
          <w:p w14:paraId="6FA3D679" w14:textId="071ED370" w:rsidR="001303EB" w:rsidRPr="000D756E" w:rsidRDefault="001303EB" w:rsidP="001303EB">
            <w:pPr>
              <w:jc w:val="right"/>
              <w:rPr>
                <w:rFonts w:ascii="Arial" w:hAnsi="Arial" w:cs="Arial"/>
                <w:sz w:val="24"/>
                <w:szCs w:val="24"/>
              </w:rPr>
            </w:pPr>
            <w:r w:rsidRPr="000D756E">
              <w:rPr>
                <w:rFonts w:ascii="Arial" w:hAnsi="Arial" w:cs="Arial"/>
                <w:sz w:val="24"/>
                <w:szCs w:val="24"/>
              </w:rPr>
              <w:t>-470</w:t>
            </w:r>
          </w:p>
        </w:tc>
        <w:tc>
          <w:tcPr>
            <w:tcW w:w="1634" w:type="dxa"/>
            <w:tcBorders>
              <w:top w:val="nil"/>
              <w:left w:val="single" w:sz="4" w:space="0" w:color="auto"/>
              <w:bottom w:val="nil"/>
              <w:right w:val="single" w:sz="4" w:space="0" w:color="auto"/>
            </w:tcBorders>
            <w:vAlign w:val="bottom"/>
          </w:tcPr>
          <w:p w14:paraId="58C4F106" w14:textId="19AD8522" w:rsidR="001303EB" w:rsidRPr="000D756E" w:rsidRDefault="001303EB" w:rsidP="001303EB">
            <w:pPr>
              <w:jc w:val="right"/>
              <w:rPr>
                <w:rFonts w:ascii="Arial" w:hAnsi="Arial" w:cs="Arial"/>
                <w:sz w:val="24"/>
                <w:szCs w:val="24"/>
              </w:rPr>
            </w:pPr>
            <w:r w:rsidRPr="000D756E">
              <w:rPr>
                <w:rFonts w:ascii="Arial" w:hAnsi="Arial" w:cs="Arial"/>
                <w:sz w:val="24"/>
                <w:szCs w:val="24"/>
              </w:rPr>
              <w:t>0</w:t>
            </w:r>
          </w:p>
        </w:tc>
        <w:tc>
          <w:tcPr>
            <w:tcW w:w="1456" w:type="dxa"/>
            <w:tcBorders>
              <w:top w:val="nil"/>
              <w:left w:val="single" w:sz="4" w:space="0" w:color="auto"/>
              <w:bottom w:val="nil"/>
              <w:right w:val="single" w:sz="4" w:space="0" w:color="auto"/>
            </w:tcBorders>
            <w:vAlign w:val="bottom"/>
          </w:tcPr>
          <w:p w14:paraId="619904CC" w14:textId="15C91075" w:rsidR="001303EB" w:rsidRPr="000D756E" w:rsidRDefault="001303EB" w:rsidP="001303EB">
            <w:pPr>
              <w:jc w:val="right"/>
              <w:rPr>
                <w:rFonts w:ascii="Arial" w:hAnsi="Arial" w:cs="Arial"/>
                <w:sz w:val="24"/>
                <w:szCs w:val="24"/>
              </w:rPr>
            </w:pPr>
            <w:r w:rsidRPr="000D756E">
              <w:rPr>
                <w:rFonts w:ascii="Arial" w:hAnsi="Arial" w:cs="Arial"/>
                <w:sz w:val="24"/>
                <w:szCs w:val="24"/>
              </w:rPr>
              <w:t>-470</w:t>
            </w:r>
          </w:p>
        </w:tc>
      </w:tr>
      <w:tr w:rsidR="001303EB" w:rsidRPr="000D756E" w14:paraId="04240AD0" w14:textId="77777777" w:rsidTr="00014B5E">
        <w:tc>
          <w:tcPr>
            <w:tcW w:w="4503" w:type="dxa"/>
            <w:tcBorders>
              <w:top w:val="nil"/>
              <w:left w:val="single" w:sz="4" w:space="0" w:color="auto"/>
              <w:bottom w:val="nil"/>
              <w:right w:val="single" w:sz="4" w:space="0" w:color="auto"/>
            </w:tcBorders>
          </w:tcPr>
          <w:p w14:paraId="02726DA0" w14:textId="774730EE" w:rsidR="001303EB" w:rsidRPr="000D756E" w:rsidRDefault="001303EB" w:rsidP="001303EB">
            <w:pPr>
              <w:rPr>
                <w:rFonts w:ascii="Arial" w:hAnsi="Arial" w:cs="Arial"/>
                <w:sz w:val="24"/>
                <w:szCs w:val="24"/>
              </w:rPr>
            </w:pPr>
            <w:r w:rsidRPr="000D756E">
              <w:rPr>
                <w:rFonts w:ascii="Arial" w:hAnsi="Arial" w:cs="Arial"/>
                <w:sz w:val="24"/>
                <w:szCs w:val="24"/>
              </w:rPr>
              <w:t>Revaluation increases / -decreases recognised in the Surplus/Deficit on the Provision of Services</w:t>
            </w:r>
          </w:p>
        </w:tc>
        <w:tc>
          <w:tcPr>
            <w:tcW w:w="1417" w:type="dxa"/>
            <w:tcBorders>
              <w:top w:val="nil"/>
              <w:left w:val="single" w:sz="4" w:space="0" w:color="auto"/>
              <w:bottom w:val="nil"/>
              <w:right w:val="single" w:sz="4" w:space="0" w:color="auto"/>
            </w:tcBorders>
          </w:tcPr>
          <w:p w14:paraId="6CB49854" w14:textId="77777777" w:rsidR="001303EB" w:rsidRPr="000D756E" w:rsidRDefault="001303EB" w:rsidP="001303EB">
            <w:pPr>
              <w:jc w:val="right"/>
              <w:rPr>
                <w:rFonts w:ascii="Arial" w:hAnsi="Arial" w:cs="Arial"/>
                <w:sz w:val="24"/>
                <w:szCs w:val="24"/>
              </w:rPr>
            </w:pPr>
          </w:p>
          <w:p w14:paraId="201F6E86" w14:textId="6744C2CD" w:rsidR="001303EB" w:rsidRPr="000D756E" w:rsidRDefault="001303EB" w:rsidP="001303EB">
            <w:pPr>
              <w:jc w:val="right"/>
              <w:rPr>
                <w:rFonts w:ascii="Arial" w:hAnsi="Arial" w:cs="Arial"/>
                <w:sz w:val="24"/>
                <w:szCs w:val="24"/>
              </w:rPr>
            </w:pPr>
            <w:r w:rsidRPr="000D756E">
              <w:rPr>
                <w:rFonts w:ascii="Arial" w:hAnsi="Arial" w:cs="Arial"/>
                <w:sz w:val="24"/>
                <w:szCs w:val="24"/>
              </w:rPr>
              <w:t>-5,165</w:t>
            </w:r>
          </w:p>
        </w:tc>
        <w:tc>
          <w:tcPr>
            <w:tcW w:w="1634" w:type="dxa"/>
            <w:tcBorders>
              <w:top w:val="nil"/>
              <w:left w:val="single" w:sz="4" w:space="0" w:color="auto"/>
              <w:bottom w:val="nil"/>
              <w:right w:val="single" w:sz="4" w:space="0" w:color="auto"/>
            </w:tcBorders>
          </w:tcPr>
          <w:p w14:paraId="0D04EEBB" w14:textId="77777777" w:rsidR="001303EB" w:rsidRPr="000D756E" w:rsidRDefault="001303EB" w:rsidP="001303EB">
            <w:pPr>
              <w:jc w:val="right"/>
              <w:rPr>
                <w:rFonts w:ascii="Arial" w:hAnsi="Arial" w:cs="Arial"/>
                <w:sz w:val="24"/>
                <w:szCs w:val="24"/>
              </w:rPr>
            </w:pPr>
          </w:p>
          <w:p w14:paraId="522D1A99" w14:textId="114734F5" w:rsidR="001303EB" w:rsidRPr="000D756E" w:rsidRDefault="001303EB" w:rsidP="001303EB">
            <w:pPr>
              <w:jc w:val="right"/>
              <w:rPr>
                <w:rFonts w:ascii="Arial" w:hAnsi="Arial" w:cs="Arial"/>
                <w:sz w:val="24"/>
                <w:szCs w:val="24"/>
              </w:rPr>
            </w:pPr>
            <w:r w:rsidRPr="000D756E">
              <w:rPr>
                <w:rFonts w:ascii="Arial" w:hAnsi="Arial" w:cs="Arial"/>
                <w:sz w:val="24"/>
                <w:szCs w:val="24"/>
              </w:rPr>
              <w:t>0</w:t>
            </w:r>
          </w:p>
        </w:tc>
        <w:tc>
          <w:tcPr>
            <w:tcW w:w="1456" w:type="dxa"/>
            <w:tcBorders>
              <w:top w:val="nil"/>
              <w:left w:val="single" w:sz="4" w:space="0" w:color="auto"/>
              <w:bottom w:val="nil"/>
              <w:right w:val="single" w:sz="4" w:space="0" w:color="auto"/>
            </w:tcBorders>
          </w:tcPr>
          <w:p w14:paraId="416AE739" w14:textId="77777777" w:rsidR="001303EB" w:rsidRPr="000D756E" w:rsidRDefault="001303EB" w:rsidP="001303EB">
            <w:pPr>
              <w:jc w:val="right"/>
              <w:rPr>
                <w:rFonts w:ascii="Arial" w:hAnsi="Arial" w:cs="Arial"/>
                <w:sz w:val="24"/>
                <w:szCs w:val="24"/>
              </w:rPr>
            </w:pPr>
          </w:p>
          <w:p w14:paraId="01F08B7E" w14:textId="3D355FBB" w:rsidR="001303EB" w:rsidRPr="000D756E" w:rsidRDefault="001303EB" w:rsidP="001303EB">
            <w:pPr>
              <w:jc w:val="right"/>
              <w:rPr>
                <w:rFonts w:ascii="Arial" w:hAnsi="Arial" w:cs="Arial"/>
                <w:sz w:val="24"/>
                <w:szCs w:val="24"/>
              </w:rPr>
            </w:pPr>
            <w:r w:rsidRPr="000D756E">
              <w:rPr>
                <w:rFonts w:ascii="Arial" w:hAnsi="Arial" w:cs="Arial"/>
                <w:sz w:val="24"/>
                <w:szCs w:val="24"/>
              </w:rPr>
              <w:t>-5,165</w:t>
            </w:r>
          </w:p>
        </w:tc>
      </w:tr>
      <w:tr w:rsidR="001303EB" w:rsidRPr="000D756E" w14:paraId="63FF47CD" w14:textId="77777777" w:rsidTr="00753B86">
        <w:tc>
          <w:tcPr>
            <w:tcW w:w="4503" w:type="dxa"/>
            <w:tcBorders>
              <w:top w:val="nil"/>
              <w:left w:val="single" w:sz="4" w:space="0" w:color="auto"/>
              <w:bottom w:val="nil"/>
              <w:right w:val="single" w:sz="4" w:space="0" w:color="auto"/>
            </w:tcBorders>
          </w:tcPr>
          <w:p w14:paraId="005D8B83" w14:textId="77777777" w:rsidR="001303EB" w:rsidRPr="000D756E" w:rsidRDefault="001303EB" w:rsidP="001303EB">
            <w:pPr>
              <w:rPr>
                <w:rFonts w:ascii="Arial" w:hAnsi="Arial" w:cs="Arial"/>
                <w:sz w:val="24"/>
                <w:szCs w:val="24"/>
              </w:rPr>
            </w:pPr>
          </w:p>
        </w:tc>
        <w:tc>
          <w:tcPr>
            <w:tcW w:w="1417" w:type="dxa"/>
            <w:tcBorders>
              <w:top w:val="nil"/>
              <w:left w:val="single" w:sz="4" w:space="0" w:color="auto"/>
              <w:bottom w:val="nil"/>
              <w:right w:val="single" w:sz="4" w:space="0" w:color="auto"/>
            </w:tcBorders>
          </w:tcPr>
          <w:p w14:paraId="1FBDD15F" w14:textId="77777777" w:rsidR="001303EB" w:rsidRPr="000D756E" w:rsidRDefault="001303EB" w:rsidP="001303EB">
            <w:pPr>
              <w:jc w:val="right"/>
              <w:rPr>
                <w:rFonts w:ascii="Arial" w:hAnsi="Arial" w:cs="Arial"/>
                <w:sz w:val="24"/>
                <w:szCs w:val="24"/>
              </w:rPr>
            </w:pPr>
          </w:p>
        </w:tc>
        <w:tc>
          <w:tcPr>
            <w:tcW w:w="1634" w:type="dxa"/>
            <w:tcBorders>
              <w:top w:val="nil"/>
              <w:left w:val="single" w:sz="4" w:space="0" w:color="auto"/>
              <w:bottom w:val="nil"/>
              <w:right w:val="single" w:sz="4" w:space="0" w:color="auto"/>
            </w:tcBorders>
          </w:tcPr>
          <w:p w14:paraId="5015E681" w14:textId="77777777" w:rsidR="001303EB" w:rsidRPr="000D756E" w:rsidRDefault="001303EB" w:rsidP="001303EB">
            <w:pPr>
              <w:jc w:val="right"/>
              <w:rPr>
                <w:rFonts w:ascii="Arial" w:hAnsi="Arial" w:cs="Arial"/>
                <w:sz w:val="24"/>
                <w:szCs w:val="24"/>
              </w:rPr>
            </w:pPr>
          </w:p>
        </w:tc>
        <w:tc>
          <w:tcPr>
            <w:tcW w:w="1456" w:type="dxa"/>
            <w:tcBorders>
              <w:top w:val="nil"/>
              <w:left w:val="single" w:sz="4" w:space="0" w:color="auto"/>
              <w:bottom w:val="nil"/>
              <w:right w:val="single" w:sz="4" w:space="0" w:color="auto"/>
            </w:tcBorders>
          </w:tcPr>
          <w:p w14:paraId="7338C58B" w14:textId="77777777" w:rsidR="001303EB" w:rsidRPr="000D756E" w:rsidRDefault="001303EB" w:rsidP="001303EB">
            <w:pPr>
              <w:jc w:val="right"/>
              <w:rPr>
                <w:rFonts w:ascii="Arial" w:hAnsi="Arial" w:cs="Arial"/>
                <w:sz w:val="24"/>
                <w:szCs w:val="24"/>
              </w:rPr>
            </w:pPr>
          </w:p>
        </w:tc>
      </w:tr>
      <w:tr w:rsidR="001303EB" w:rsidRPr="000D756E" w14:paraId="3602B72A" w14:textId="77777777" w:rsidTr="0059761A">
        <w:tc>
          <w:tcPr>
            <w:tcW w:w="4503" w:type="dxa"/>
            <w:tcBorders>
              <w:top w:val="nil"/>
              <w:left w:val="single" w:sz="4" w:space="0" w:color="auto"/>
              <w:bottom w:val="nil"/>
              <w:right w:val="single" w:sz="4" w:space="0" w:color="auto"/>
            </w:tcBorders>
          </w:tcPr>
          <w:p w14:paraId="41F102A8" w14:textId="6E1A4BBD" w:rsidR="001303EB" w:rsidRPr="000D756E" w:rsidRDefault="001303EB" w:rsidP="001303EB">
            <w:pPr>
              <w:rPr>
                <w:rFonts w:ascii="Arial" w:hAnsi="Arial" w:cs="Arial"/>
                <w:sz w:val="24"/>
                <w:szCs w:val="24"/>
              </w:rPr>
            </w:pPr>
            <w:r w:rsidRPr="000D756E">
              <w:rPr>
                <w:rFonts w:ascii="Arial" w:hAnsi="Arial" w:cs="Arial"/>
                <w:sz w:val="24"/>
                <w:szCs w:val="24"/>
              </w:rPr>
              <w:t>Disposals</w:t>
            </w:r>
          </w:p>
        </w:tc>
        <w:tc>
          <w:tcPr>
            <w:tcW w:w="1417" w:type="dxa"/>
            <w:tcBorders>
              <w:top w:val="nil"/>
              <w:left w:val="single" w:sz="4" w:space="0" w:color="auto"/>
              <w:bottom w:val="nil"/>
              <w:right w:val="single" w:sz="4" w:space="0" w:color="auto"/>
            </w:tcBorders>
          </w:tcPr>
          <w:p w14:paraId="55FFC67D" w14:textId="43A66399" w:rsidR="001303EB" w:rsidRPr="000D756E" w:rsidRDefault="001303EB" w:rsidP="001303EB">
            <w:pPr>
              <w:jc w:val="right"/>
              <w:rPr>
                <w:rFonts w:ascii="Arial" w:hAnsi="Arial" w:cs="Arial"/>
                <w:sz w:val="24"/>
                <w:szCs w:val="24"/>
              </w:rPr>
            </w:pPr>
            <w:r w:rsidRPr="000D756E">
              <w:rPr>
                <w:rFonts w:ascii="Arial" w:hAnsi="Arial" w:cs="Arial"/>
                <w:sz w:val="24"/>
                <w:szCs w:val="24"/>
              </w:rPr>
              <w:t>0</w:t>
            </w:r>
          </w:p>
        </w:tc>
        <w:tc>
          <w:tcPr>
            <w:tcW w:w="1634" w:type="dxa"/>
            <w:tcBorders>
              <w:top w:val="nil"/>
              <w:left w:val="single" w:sz="4" w:space="0" w:color="auto"/>
              <w:bottom w:val="nil"/>
              <w:right w:val="single" w:sz="4" w:space="0" w:color="auto"/>
            </w:tcBorders>
          </w:tcPr>
          <w:p w14:paraId="506E92FC" w14:textId="1724D523" w:rsidR="001303EB" w:rsidRPr="000D756E" w:rsidRDefault="001303EB" w:rsidP="001303EB">
            <w:pPr>
              <w:jc w:val="right"/>
              <w:rPr>
                <w:rFonts w:ascii="Arial" w:hAnsi="Arial" w:cs="Arial"/>
                <w:sz w:val="24"/>
                <w:szCs w:val="24"/>
              </w:rPr>
            </w:pPr>
            <w:r w:rsidRPr="000D756E">
              <w:rPr>
                <w:rFonts w:ascii="Arial" w:hAnsi="Arial" w:cs="Arial"/>
                <w:sz w:val="24"/>
                <w:szCs w:val="24"/>
              </w:rPr>
              <w:t>-253</w:t>
            </w:r>
          </w:p>
        </w:tc>
        <w:tc>
          <w:tcPr>
            <w:tcW w:w="1456" w:type="dxa"/>
            <w:tcBorders>
              <w:top w:val="nil"/>
              <w:left w:val="single" w:sz="4" w:space="0" w:color="auto"/>
              <w:bottom w:val="nil"/>
              <w:right w:val="single" w:sz="4" w:space="0" w:color="auto"/>
            </w:tcBorders>
          </w:tcPr>
          <w:p w14:paraId="3D09A4C4" w14:textId="6191DD67" w:rsidR="001303EB" w:rsidRPr="000D756E" w:rsidRDefault="001303EB" w:rsidP="001303EB">
            <w:pPr>
              <w:jc w:val="right"/>
              <w:rPr>
                <w:rFonts w:ascii="Arial" w:hAnsi="Arial" w:cs="Arial"/>
                <w:sz w:val="24"/>
                <w:szCs w:val="24"/>
              </w:rPr>
            </w:pPr>
            <w:r w:rsidRPr="000D756E">
              <w:rPr>
                <w:rFonts w:ascii="Arial" w:hAnsi="Arial" w:cs="Arial"/>
                <w:sz w:val="24"/>
                <w:szCs w:val="24"/>
              </w:rPr>
              <w:t>-253</w:t>
            </w:r>
          </w:p>
        </w:tc>
      </w:tr>
      <w:tr w:rsidR="001303EB" w:rsidRPr="000D756E" w14:paraId="6A19D656" w14:textId="77777777">
        <w:tc>
          <w:tcPr>
            <w:tcW w:w="4503" w:type="dxa"/>
            <w:tcBorders>
              <w:top w:val="nil"/>
              <w:left w:val="single" w:sz="4" w:space="0" w:color="auto"/>
              <w:bottom w:val="nil"/>
              <w:right w:val="single" w:sz="4" w:space="0" w:color="auto"/>
            </w:tcBorders>
          </w:tcPr>
          <w:p w14:paraId="75BF7D37" w14:textId="40F5576D" w:rsidR="001303EB" w:rsidRPr="000D756E" w:rsidRDefault="001303EB" w:rsidP="001303EB">
            <w:pPr>
              <w:rPr>
                <w:rFonts w:ascii="Arial" w:hAnsi="Arial" w:cs="Arial"/>
                <w:sz w:val="24"/>
                <w:szCs w:val="24"/>
              </w:rPr>
            </w:pPr>
          </w:p>
        </w:tc>
        <w:tc>
          <w:tcPr>
            <w:tcW w:w="1417" w:type="dxa"/>
            <w:tcBorders>
              <w:top w:val="nil"/>
              <w:left w:val="single" w:sz="4" w:space="0" w:color="auto"/>
              <w:bottom w:val="single" w:sz="4" w:space="0" w:color="auto"/>
              <w:right w:val="single" w:sz="4" w:space="0" w:color="auto"/>
            </w:tcBorders>
          </w:tcPr>
          <w:p w14:paraId="4E33ABE5" w14:textId="1F27BB4E" w:rsidR="001303EB" w:rsidRPr="000D756E" w:rsidRDefault="001303EB" w:rsidP="001303EB">
            <w:pPr>
              <w:jc w:val="right"/>
              <w:rPr>
                <w:rFonts w:ascii="Arial" w:hAnsi="Arial" w:cs="Arial"/>
                <w:sz w:val="24"/>
                <w:szCs w:val="24"/>
              </w:rPr>
            </w:pPr>
          </w:p>
        </w:tc>
        <w:tc>
          <w:tcPr>
            <w:tcW w:w="1634" w:type="dxa"/>
            <w:tcBorders>
              <w:top w:val="nil"/>
              <w:left w:val="single" w:sz="4" w:space="0" w:color="auto"/>
              <w:bottom w:val="single" w:sz="4" w:space="0" w:color="auto"/>
              <w:right w:val="single" w:sz="4" w:space="0" w:color="auto"/>
            </w:tcBorders>
          </w:tcPr>
          <w:p w14:paraId="2F5643BD" w14:textId="5249567B" w:rsidR="001303EB" w:rsidRPr="000D756E" w:rsidRDefault="001303EB" w:rsidP="001303EB">
            <w:pPr>
              <w:jc w:val="right"/>
              <w:rPr>
                <w:rFonts w:ascii="Arial" w:hAnsi="Arial" w:cs="Arial"/>
                <w:sz w:val="24"/>
                <w:szCs w:val="24"/>
              </w:rPr>
            </w:pPr>
          </w:p>
        </w:tc>
        <w:tc>
          <w:tcPr>
            <w:tcW w:w="1456" w:type="dxa"/>
            <w:tcBorders>
              <w:top w:val="nil"/>
              <w:left w:val="single" w:sz="4" w:space="0" w:color="auto"/>
              <w:bottom w:val="single" w:sz="4" w:space="0" w:color="auto"/>
              <w:right w:val="single" w:sz="4" w:space="0" w:color="auto"/>
            </w:tcBorders>
          </w:tcPr>
          <w:p w14:paraId="1B717172" w14:textId="6287A0E5" w:rsidR="001303EB" w:rsidRPr="000D756E" w:rsidRDefault="001303EB" w:rsidP="001303EB">
            <w:pPr>
              <w:jc w:val="right"/>
              <w:rPr>
                <w:rFonts w:ascii="Arial" w:hAnsi="Arial" w:cs="Arial"/>
                <w:sz w:val="24"/>
                <w:szCs w:val="24"/>
              </w:rPr>
            </w:pPr>
          </w:p>
        </w:tc>
      </w:tr>
      <w:tr w:rsidR="001303EB" w:rsidRPr="000D756E" w14:paraId="18E73451" w14:textId="77777777">
        <w:tc>
          <w:tcPr>
            <w:tcW w:w="4503" w:type="dxa"/>
            <w:tcBorders>
              <w:top w:val="nil"/>
              <w:bottom w:val="single" w:sz="4" w:space="0" w:color="auto"/>
            </w:tcBorders>
          </w:tcPr>
          <w:p w14:paraId="62236194" w14:textId="77777777" w:rsidR="001303EB" w:rsidRPr="000D756E" w:rsidRDefault="001303EB" w:rsidP="001303EB">
            <w:pPr>
              <w:rPr>
                <w:rFonts w:ascii="Arial" w:hAnsi="Arial" w:cs="Arial"/>
                <w:sz w:val="24"/>
                <w:szCs w:val="24"/>
              </w:rPr>
            </w:pPr>
          </w:p>
          <w:p w14:paraId="02635924" w14:textId="6E8AA81F" w:rsidR="001303EB" w:rsidRPr="000D756E" w:rsidRDefault="001303EB" w:rsidP="001303EB">
            <w:pPr>
              <w:rPr>
                <w:rFonts w:ascii="Arial" w:hAnsi="Arial" w:cs="Arial"/>
                <w:b/>
                <w:sz w:val="24"/>
                <w:szCs w:val="24"/>
              </w:rPr>
            </w:pPr>
            <w:r w:rsidRPr="000D756E">
              <w:rPr>
                <w:rFonts w:ascii="Arial" w:hAnsi="Arial" w:cs="Arial"/>
                <w:b/>
                <w:sz w:val="24"/>
                <w:szCs w:val="24"/>
              </w:rPr>
              <w:t>At 31 March 202</w:t>
            </w:r>
            <w:r w:rsidR="00DF0B70">
              <w:rPr>
                <w:rFonts w:ascii="Arial" w:hAnsi="Arial" w:cs="Arial"/>
                <w:b/>
                <w:sz w:val="24"/>
                <w:szCs w:val="24"/>
              </w:rPr>
              <w:t>4</w:t>
            </w:r>
          </w:p>
          <w:p w14:paraId="267E6A59" w14:textId="77777777" w:rsidR="001303EB" w:rsidRPr="000D756E" w:rsidRDefault="001303EB" w:rsidP="001303EB">
            <w:pPr>
              <w:rPr>
                <w:rFonts w:ascii="Arial" w:hAnsi="Arial" w:cs="Arial"/>
                <w:sz w:val="24"/>
                <w:szCs w:val="24"/>
              </w:rPr>
            </w:pPr>
          </w:p>
        </w:tc>
        <w:tc>
          <w:tcPr>
            <w:tcW w:w="1417" w:type="dxa"/>
            <w:tcBorders>
              <w:top w:val="single" w:sz="4" w:space="0" w:color="auto"/>
              <w:bottom w:val="single" w:sz="4" w:space="0" w:color="auto"/>
            </w:tcBorders>
          </w:tcPr>
          <w:p w14:paraId="5A1B8F05" w14:textId="77777777" w:rsidR="001303EB" w:rsidRPr="000D756E" w:rsidRDefault="001303EB" w:rsidP="001303EB">
            <w:pPr>
              <w:jc w:val="right"/>
              <w:rPr>
                <w:rFonts w:ascii="Arial" w:hAnsi="Arial" w:cs="Arial"/>
                <w:b/>
                <w:sz w:val="24"/>
                <w:szCs w:val="24"/>
              </w:rPr>
            </w:pPr>
          </w:p>
          <w:p w14:paraId="75FE6469" w14:textId="6E4AA395" w:rsidR="001303EB" w:rsidRPr="000D756E" w:rsidRDefault="001303EB" w:rsidP="001303EB">
            <w:pPr>
              <w:jc w:val="right"/>
              <w:rPr>
                <w:rFonts w:ascii="Arial" w:hAnsi="Arial" w:cs="Arial"/>
                <w:b/>
                <w:sz w:val="24"/>
                <w:szCs w:val="24"/>
              </w:rPr>
            </w:pPr>
            <w:r w:rsidRPr="000D756E">
              <w:rPr>
                <w:rFonts w:ascii="Arial" w:hAnsi="Arial" w:cs="Arial"/>
                <w:b/>
                <w:sz w:val="24"/>
                <w:szCs w:val="24"/>
              </w:rPr>
              <w:t>27,645</w:t>
            </w:r>
          </w:p>
        </w:tc>
        <w:tc>
          <w:tcPr>
            <w:tcW w:w="1634" w:type="dxa"/>
            <w:tcBorders>
              <w:top w:val="single" w:sz="4" w:space="0" w:color="auto"/>
              <w:bottom w:val="single" w:sz="4" w:space="0" w:color="auto"/>
            </w:tcBorders>
          </w:tcPr>
          <w:p w14:paraId="01B79754" w14:textId="77777777" w:rsidR="001303EB" w:rsidRPr="000D756E" w:rsidRDefault="001303EB" w:rsidP="001303EB">
            <w:pPr>
              <w:jc w:val="right"/>
              <w:rPr>
                <w:rFonts w:ascii="Arial" w:hAnsi="Arial" w:cs="Arial"/>
                <w:b/>
                <w:sz w:val="24"/>
                <w:szCs w:val="24"/>
              </w:rPr>
            </w:pPr>
          </w:p>
          <w:p w14:paraId="460EFA04" w14:textId="7B3518ED" w:rsidR="001303EB" w:rsidRPr="000D756E" w:rsidRDefault="001303EB" w:rsidP="001303EB">
            <w:pPr>
              <w:jc w:val="right"/>
              <w:rPr>
                <w:rFonts w:ascii="Arial" w:hAnsi="Arial" w:cs="Arial"/>
                <w:b/>
                <w:sz w:val="24"/>
                <w:szCs w:val="24"/>
              </w:rPr>
            </w:pPr>
            <w:r w:rsidRPr="000D756E">
              <w:rPr>
                <w:rFonts w:ascii="Arial" w:hAnsi="Arial" w:cs="Arial"/>
                <w:b/>
                <w:sz w:val="24"/>
                <w:szCs w:val="24"/>
              </w:rPr>
              <w:t>23,442</w:t>
            </w:r>
          </w:p>
        </w:tc>
        <w:tc>
          <w:tcPr>
            <w:tcW w:w="1456" w:type="dxa"/>
            <w:tcBorders>
              <w:top w:val="single" w:sz="4" w:space="0" w:color="auto"/>
              <w:bottom w:val="single" w:sz="4" w:space="0" w:color="auto"/>
            </w:tcBorders>
          </w:tcPr>
          <w:p w14:paraId="04179CEA" w14:textId="77777777" w:rsidR="001303EB" w:rsidRPr="000D756E" w:rsidRDefault="001303EB" w:rsidP="001303EB">
            <w:pPr>
              <w:jc w:val="right"/>
              <w:rPr>
                <w:rFonts w:ascii="Arial" w:hAnsi="Arial" w:cs="Arial"/>
                <w:b/>
                <w:sz w:val="24"/>
                <w:szCs w:val="24"/>
              </w:rPr>
            </w:pPr>
          </w:p>
          <w:p w14:paraId="05C2B004" w14:textId="18EB6C37" w:rsidR="001303EB" w:rsidRPr="000D756E" w:rsidRDefault="001303EB" w:rsidP="001303EB">
            <w:pPr>
              <w:jc w:val="right"/>
              <w:rPr>
                <w:rFonts w:ascii="Arial" w:hAnsi="Arial" w:cs="Arial"/>
                <w:b/>
                <w:sz w:val="24"/>
                <w:szCs w:val="24"/>
              </w:rPr>
            </w:pPr>
            <w:r w:rsidRPr="000D756E">
              <w:rPr>
                <w:rFonts w:ascii="Arial" w:hAnsi="Arial" w:cs="Arial"/>
                <w:b/>
                <w:sz w:val="24"/>
                <w:szCs w:val="24"/>
              </w:rPr>
              <w:t>51,087</w:t>
            </w:r>
          </w:p>
        </w:tc>
      </w:tr>
      <w:tr w:rsidR="001303EB" w:rsidRPr="000D756E" w14:paraId="0D4A4F49" w14:textId="77777777" w:rsidTr="00E90405">
        <w:tc>
          <w:tcPr>
            <w:tcW w:w="4503" w:type="dxa"/>
            <w:tcBorders>
              <w:top w:val="single" w:sz="4" w:space="0" w:color="auto"/>
              <w:left w:val="single" w:sz="4" w:space="0" w:color="auto"/>
              <w:bottom w:val="nil"/>
              <w:right w:val="single" w:sz="4" w:space="0" w:color="auto"/>
            </w:tcBorders>
          </w:tcPr>
          <w:p w14:paraId="1343327D" w14:textId="77777777" w:rsidR="001303EB" w:rsidRPr="000D756E" w:rsidRDefault="001303EB" w:rsidP="001303EB">
            <w:pPr>
              <w:rPr>
                <w:rFonts w:ascii="Arial" w:hAnsi="Arial" w:cs="Arial"/>
                <w:sz w:val="24"/>
                <w:szCs w:val="24"/>
              </w:rPr>
            </w:pPr>
          </w:p>
          <w:p w14:paraId="13F4AB9F" w14:textId="77777777" w:rsidR="001303EB" w:rsidRPr="000D756E" w:rsidRDefault="001303EB" w:rsidP="001303EB">
            <w:pPr>
              <w:rPr>
                <w:rFonts w:ascii="Arial" w:hAnsi="Arial" w:cs="Arial"/>
                <w:b/>
                <w:sz w:val="24"/>
                <w:szCs w:val="24"/>
              </w:rPr>
            </w:pPr>
            <w:r w:rsidRPr="000D756E">
              <w:rPr>
                <w:rFonts w:ascii="Arial" w:hAnsi="Arial" w:cs="Arial"/>
                <w:b/>
                <w:sz w:val="24"/>
                <w:szCs w:val="24"/>
              </w:rPr>
              <w:t>Accumulated Depreciation and Impairment</w:t>
            </w:r>
          </w:p>
          <w:p w14:paraId="2C68ADCF" w14:textId="77777777" w:rsidR="001303EB" w:rsidRPr="000D756E" w:rsidRDefault="001303EB" w:rsidP="001303EB">
            <w:pPr>
              <w:rPr>
                <w:rFonts w:ascii="Arial" w:hAnsi="Arial" w:cs="Arial"/>
                <w:b/>
                <w:sz w:val="24"/>
                <w:szCs w:val="24"/>
              </w:rPr>
            </w:pPr>
          </w:p>
          <w:p w14:paraId="46E096C5" w14:textId="0C426A24" w:rsidR="001303EB" w:rsidRPr="000D756E" w:rsidRDefault="001303EB" w:rsidP="001303EB">
            <w:pPr>
              <w:rPr>
                <w:rFonts w:ascii="Arial" w:hAnsi="Arial" w:cs="Arial"/>
                <w:b/>
                <w:sz w:val="24"/>
                <w:szCs w:val="24"/>
              </w:rPr>
            </w:pPr>
            <w:r w:rsidRPr="000D756E">
              <w:rPr>
                <w:rFonts w:ascii="Arial" w:hAnsi="Arial" w:cs="Arial"/>
                <w:b/>
                <w:sz w:val="24"/>
                <w:szCs w:val="24"/>
              </w:rPr>
              <w:t>As at 1 April 202</w:t>
            </w:r>
            <w:r w:rsidR="00DF0B70">
              <w:rPr>
                <w:rFonts w:ascii="Arial" w:hAnsi="Arial" w:cs="Arial"/>
                <w:b/>
                <w:sz w:val="24"/>
                <w:szCs w:val="24"/>
              </w:rPr>
              <w:t>3</w:t>
            </w:r>
          </w:p>
          <w:p w14:paraId="6A8EEAE1" w14:textId="77777777" w:rsidR="001303EB" w:rsidRPr="000D756E" w:rsidRDefault="001303EB" w:rsidP="001303EB">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91D678" w14:textId="77777777" w:rsidR="001303EB" w:rsidRPr="000D756E" w:rsidRDefault="001303EB" w:rsidP="001303EB">
            <w:pPr>
              <w:jc w:val="right"/>
              <w:rPr>
                <w:rFonts w:ascii="Arial" w:hAnsi="Arial" w:cs="Arial"/>
                <w:bCs/>
                <w:sz w:val="24"/>
                <w:szCs w:val="24"/>
              </w:rPr>
            </w:pPr>
          </w:p>
          <w:p w14:paraId="0CDD7278" w14:textId="77777777" w:rsidR="001303EB" w:rsidRPr="000D756E" w:rsidRDefault="001303EB" w:rsidP="001303EB">
            <w:pPr>
              <w:jc w:val="right"/>
              <w:rPr>
                <w:rFonts w:ascii="Arial" w:hAnsi="Arial" w:cs="Arial"/>
                <w:bCs/>
                <w:sz w:val="24"/>
                <w:szCs w:val="24"/>
              </w:rPr>
            </w:pPr>
          </w:p>
          <w:p w14:paraId="5BAF9098" w14:textId="267D13E7" w:rsidR="001303EB" w:rsidRPr="000D756E" w:rsidRDefault="001303EB" w:rsidP="001303EB">
            <w:pPr>
              <w:jc w:val="right"/>
              <w:rPr>
                <w:rFonts w:ascii="Arial" w:hAnsi="Arial" w:cs="Arial"/>
                <w:sz w:val="24"/>
                <w:szCs w:val="24"/>
              </w:rPr>
            </w:pPr>
            <w:r w:rsidRPr="000D756E">
              <w:rPr>
                <w:rFonts w:ascii="Arial" w:hAnsi="Arial" w:cs="Arial"/>
                <w:bCs/>
                <w:sz w:val="24"/>
                <w:szCs w:val="24"/>
              </w:rPr>
              <w:t>-35</w:t>
            </w:r>
          </w:p>
        </w:tc>
        <w:tc>
          <w:tcPr>
            <w:tcW w:w="1634" w:type="dxa"/>
            <w:tcBorders>
              <w:top w:val="single" w:sz="4" w:space="0" w:color="auto"/>
              <w:left w:val="single" w:sz="4" w:space="0" w:color="auto"/>
              <w:bottom w:val="single" w:sz="4" w:space="0" w:color="auto"/>
              <w:right w:val="single" w:sz="4" w:space="0" w:color="auto"/>
            </w:tcBorders>
          </w:tcPr>
          <w:p w14:paraId="3F02FB8D" w14:textId="77777777" w:rsidR="001303EB" w:rsidRPr="000D756E" w:rsidRDefault="001303EB" w:rsidP="001303EB">
            <w:pPr>
              <w:jc w:val="right"/>
              <w:rPr>
                <w:rFonts w:ascii="Arial" w:hAnsi="Arial" w:cs="Arial"/>
                <w:bCs/>
                <w:sz w:val="24"/>
                <w:szCs w:val="24"/>
              </w:rPr>
            </w:pPr>
          </w:p>
          <w:p w14:paraId="70792AF5" w14:textId="77777777" w:rsidR="001303EB" w:rsidRPr="000D756E" w:rsidRDefault="001303EB" w:rsidP="001303EB">
            <w:pPr>
              <w:jc w:val="right"/>
              <w:rPr>
                <w:rFonts w:ascii="Arial" w:hAnsi="Arial" w:cs="Arial"/>
                <w:bCs/>
                <w:sz w:val="24"/>
                <w:szCs w:val="24"/>
              </w:rPr>
            </w:pPr>
          </w:p>
          <w:p w14:paraId="515F82D2" w14:textId="7371F7EE" w:rsidR="001303EB" w:rsidRPr="000D756E" w:rsidRDefault="001303EB" w:rsidP="001303EB">
            <w:pPr>
              <w:jc w:val="right"/>
              <w:rPr>
                <w:rFonts w:ascii="Arial" w:hAnsi="Arial" w:cs="Arial"/>
                <w:sz w:val="24"/>
                <w:szCs w:val="24"/>
              </w:rPr>
            </w:pPr>
            <w:r w:rsidRPr="000D756E">
              <w:rPr>
                <w:rFonts w:ascii="Arial" w:hAnsi="Arial" w:cs="Arial"/>
                <w:bCs/>
                <w:sz w:val="24"/>
                <w:szCs w:val="24"/>
              </w:rPr>
              <w:t>-15,473</w:t>
            </w:r>
          </w:p>
        </w:tc>
        <w:tc>
          <w:tcPr>
            <w:tcW w:w="1456" w:type="dxa"/>
            <w:tcBorders>
              <w:top w:val="single" w:sz="4" w:space="0" w:color="auto"/>
              <w:left w:val="single" w:sz="4" w:space="0" w:color="auto"/>
              <w:bottom w:val="single" w:sz="4" w:space="0" w:color="auto"/>
              <w:right w:val="single" w:sz="4" w:space="0" w:color="auto"/>
            </w:tcBorders>
          </w:tcPr>
          <w:p w14:paraId="4431102A" w14:textId="77777777" w:rsidR="001303EB" w:rsidRPr="000D756E" w:rsidRDefault="001303EB" w:rsidP="001303EB">
            <w:pPr>
              <w:jc w:val="right"/>
              <w:rPr>
                <w:rFonts w:ascii="Arial" w:hAnsi="Arial" w:cs="Arial"/>
                <w:bCs/>
                <w:sz w:val="24"/>
                <w:szCs w:val="24"/>
              </w:rPr>
            </w:pPr>
          </w:p>
          <w:p w14:paraId="2945E1EB" w14:textId="77777777" w:rsidR="001303EB" w:rsidRPr="000D756E" w:rsidRDefault="001303EB" w:rsidP="001303EB">
            <w:pPr>
              <w:jc w:val="right"/>
              <w:rPr>
                <w:rFonts w:ascii="Arial" w:hAnsi="Arial" w:cs="Arial"/>
                <w:bCs/>
                <w:sz w:val="24"/>
                <w:szCs w:val="24"/>
              </w:rPr>
            </w:pPr>
          </w:p>
          <w:p w14:paraId="43C23A7B" w14:textId="78F8B2DC" w:rsidR="001303EB" w:rsidRPr="000D756E" w:rsidRDefault="001303EB" w:rsidP="001303EB">
            <w:pPr>
              <w:jc w:val="right"/>
              <w:rPr>
                <w:rFonts w:ascii="Arial" w:hAnsi="Arial" w:cs="Arial"/>
                <w:sz w:val="24"/>
                <w:szCs w:val="24"/>
              </w:rPr>
            </w:pPr>
            <w:r w:rsidRPr="000D756E">
              <w:rPr>
                <w:rFonts w:ascii="Arial" w:hAnsi="Arial" w:cs="Arial"/>
                <w:bCs/>
                <w:sz w:val="24"/>
                <w:szCs w:val="24"/>
              </w:rPr>
              <w:t>-15,508</w:t>
            </w:r>
          </w:p>
        </w:tc>
      </w:tr>
      <w:tr w:rsidR="001303EB" w:rsidRPr="000D756E" w14:paraId="551B60FC" w14:textId="77777777" w:rsidTr="00E90405">
        <w:trPr>
          <w:trHeight w:val="624"/>
        </w:trPr>
        <w:tc>
          <w:tcPr>
            <w:tcW w:w="4503" w:type="dxa"/>
            <w:tcBorders>
              <w:top w:val="nil"/>
              <w:left w:val="single" w:sz="4" w:space="0" w:color="auto"/>
              <w:bottom w:val="nil"/>
              <w:right w:val="single" w:sz="4" w:space="0" w:color="auto"/>
            </w:tcBorders>
            <w:vAlign w:val="bottom"/>
          </w:tcPr>
          <w:p w14:paraId="76D06BBF" w14:textId="0928F5D0" w:rsidR="001303EB" w:rsidRPr="000D756E" w:rsidRDefault="001303EB" w:rsidP="001303EB">
            <w:pPr>
              <w:rPr>
                <w:rFonts w:ascii="Arial" w:hAnsi="Arial" w:cs="Arial"/>
                <w:sz w:val="24"/>
                <w:szCs w:val="24"/>
              </w:rPr>
            </w:pPr>
            <w:r w:rsidRPr="000D756E">
              <w:rPr>
                <w:rFonts w:ascii="Arial" w:hAnsi="Arial" w:cs="Arial"/>
                <w:sz w:val="24"/>
                <w:szCs w:val="24"/>
              </w:rPr>
              <w:t>Depreciation charge</w:t>
            </w:r>
          </w:p>
        </w:tc>
        <w:tc>
          <w:tcPr>
            <w:tcW w:w="1417" w:type="dxa"/>
            <w:tcBorders>
              <w:top w:val="nil"/>
              <w:left w:val="single" w:sz="4" w:space="0" w:color="auto"/>
              <w:bottom w:val="nil"/>
              <w:right w:val="single" w:sz="4" w:space="0" w:color="auto"/>
            </w:tcBorders>
            <w:vAlign w:val="bottom"/>
          </w:tcPr>
          <w:p w14:paraId="34C2827C" w14:textId="2F515942" w:rsidR="001303EB" w:rsidRPr="000D756E" w:rsidRDefault="001303EB" w:rsidP="001303EB">
            <w:pPr>
              <w:jc w:val="right"/>
              <w:rPr>
                <w:rFonts w:ascii="Arial" w:hAnsi="Arial" w:cs="Arial"/>
                <w:sz w:val="24"/>
                <w:szCs w:val="24"/>
              </w:rPr>
            </w:pPr>
            <w:r w:rsidRPr="000D756E">
              <w:rPr>
                <w:rFonts w:ascii="Arial" w:hAnsi="Arial" w:cs="Arial"/>
                <w:sz w:val="24"/>
                <w:szCs w:val="24"/>
              </w:rPr>
              <w:t>-1,400</w:t>
            </w:r>
          </w:p>
        </w:tc>
        <w:tc>
          <w:tcPr>
            <w:tcW w:w="1634" w:type="dxa"/>
            <w:tcBorders>
              <w:top w:val="nil"/>
              <w:left w:val="single" w:sz="4" w:space="0" w:color="auto"/>
              <w:bottom w:val="nil"/>
              <w:right w:val="single" w:sz="4" w:space="0" w:color="auto"/>
            </w:tcBorders>
            <w:vAlign w:val="bottom"/>
          </w:tcPr>
          <w:p w14:paraId="2514B1E1" w14:textId="6B229ADC" w:rsidR="001303EB" w:rsidRPr="000D756E" w:rsidRDefault="001303EB" w:rsidP="001303EB">
            <w:pPr>
              <w:jc w:val="right"/>
              <w:rPr>
                <w:rFonts w:ascii="Arial" w:hAnsi="Arial" w:cs="Arial"/>
                <w:sz w:val="24"/>
                <w:szCs w:val="24"/>
              </w:rPr>
            </w:pPr>
            <w:r w:rsidRPr="000D756E">
              <w:rPr>
                <w:rFonts w:ascii="Arial" w:hAnsi="Arial" w:cs="Arial"/>
                <w:sz w:val="24"/>
                <w:szCs w:val="24"/>
              </w:rPr>
              <w:t>-1,277</w:t>
            </w:r>
          </w:p>
        </w:tc>
        <w:tc>
          <w:tcPr>
            <w:tcW w:w="1456" w:type="dxa"/>
            <w:tcBorders>
              <w:top w:val="nil"/>
              <w:left w:val="single" w:sz="4" w:space="0" w:color="auto"/>
              <w:bottom w:val="nil"/>
              <w:right w:val="single" w:sz="4" w:space="0" w:color="auto"/>
            </w:tcBorders>
            <w:vAlign w:val="bottom"/>
          </w:tcPr>
          <w:p w14:paraId="25F8CE9F" w14:textId="5B103ACA" w:rsidR="001303EB" w:rsidRPr="000D756E" w:rsidRDefault="001303EB" w:rsidP="001303EB">
            <w:pPr>
              <w:jc w:val="right"/>
              <w:rPr>
                <w:rFonts w:ascii="Arial" w:hAnsi="Arial" w:cs="Arial"/>
                <w:sz w:val="24"/>
                <w:szCs w:val="24"/>
              </w:rPr>
            </w:pPr>
            <w:r w:rsidRPr="000D756E">
              <w:rPr>
                <w:rFonts w:ascii="Arial" w:hAnsi="Arial" w:cs="Arial"/>
                <w:sz w:val="24"/>
                <w:szCs w:val="24"/>
              </w:rPr>
              <w:t>-2,677</w:t>
            </w:r>
          </w:p>
        </w:tc>
      </w:tr>
      <w:tr w:rsidR="001303EB" w:rsidRPr="000D756E" w14:paraId="50431D78" w14:textId="77777777" w:rsidTr="00014B5E">
        <w:trPr>
          <w:trHeight w:val="624"/>
        </w:trPr>
        <w:tc>
          <w:tcPr>
            <w:tcW w:w="4503" w:type="dxa"/>
            <w:tcBorders>
              <w:top w:val="nil"/>
              <w:left w:val="single" w:sz="4" w:space="0" w:color="auto"/>
              <w:bottom w:val="nil"/>
              <w:right w:val="single" w:sz="4" w:space="0" w:color="auto"/>
            </w:tcBorders>
            <w:vAlign w:val="bottom"/>
          </w:tcPr>
          <w:p w14:paraId="5CEA3025" w14:textId="77777777" w:rsidR="001303EB" w:rsidRPr="000D756E" w:rsidRDefault="001303EB" w:rsidP="001303EB">
            <w:pPr>
              <w:rPr>
                <w:rFonts w:ascii="Arial" w:hAnsi="Arial" w:cs="Arial"/>
                <w:sz w:val="24"/>
                <w:szCs w:val="24"/>
              </w:rPr>
            </w:pPr>
          </w:p>
          <w:p w14:paraId="1F45DCDA" w14:textId="77777777" w:rsidR="001303EB" w:rsidRPr="000D756E" w:rsidRDefault="001303EB" w:rsidP="001303EB">
            <w:pPr>
              <w:rPr>
                <w:rFonts w:ascii="Arial" w:hAnsi="Arial" w:cs="Arial"/>
                <w:sz w:val="24"/>
                <w:szCs w:val="24"/>
              </w:rPr>
            </w:pPr>
            <w:r w:rsidRPr="000D756E">
              <w:rPr>
                <w:rFonts w:ascii="Arial" w:hAnsi="Arial" w:cs="Arial"/>
                <w:sz w:val="24"/>
                <w:szCs w:val="24"/>
              </w:rPr>
              <w:t>Revaluation</w:t>
            </w:r>
          </w:p>
          <w:p w14:paraId="409923CD" w14:textId="77777777" w:rsidR="001303EB" w:rsidRPr="000D756E" w:rsidRDefault="001303EB" w:rsidP="001303EB">
            <w:pPr>
              <w:rPr>
                <w:rFonts w:ascii="Arial" w:hAnsi="Arial" w:cs="Arial"/>
                <w:sz w:val="24"/>
                <w:szCs w:val="24"/>
              </w:rPr>
            </w:pPr>
          </w:p>
        </w:tc>
        <w:tc>
          <w:tcPr>
            <w:tcW w:w="1417" w:type="dxa"/>
            <w:tcBorders>
              <w:top w:val="nil"/>
              <w:left w:val="single" w:sz="4" w:space="0" w:color="auto"/>
              <w:bottom w:val="nil"/>
              <w:right w:val="single" w:sz="4" w:space="0" w:color="auto"/>
            </w:tcBorders>
          </w:tcPr>
          <w:p w14:paraId="2095CD22" w14:textId="77777777" w:rsidR="001303EB" w:rsidRPr="000D756E" w:rsidRDefault="001303EB" w:rsidP="001303EB">
            <w:pPr>
              <w:jc w:val="right"/>
              <w:rPr>
                <w:rFonts w:ascii="Arial" w:hAnsi="Arial" w:cs="Arial"/>
                <w:sz w:val="24"/>
                <w:szCs w:val="24"/>
              </w:rPr>
            </w:pPr>
          </w:p>
          <w:p w14:paraId="2DEB48CD" w14:textId="77777777" w:rsidR="001303EB" w:rsidRPr="000D756E" w:rsidRDefault="001303EB" w:rsidP="001303EB">
            <w:pPr>
              <w:jc w:val="right"/>
              <w:rPr>
                <w:rFonts w:ascii="Arial" w:hAnsi="Arial" w:cs="Arial"/>
                <w:sz w:val="24"/>
                <w:szCs w:val="24"/>
              </w:rPr>
            </w:pPr>
            <w:r w:rsidRPr="000D756E">
              <w:rPr>
                <w:rFonts w:ascii="Arial" w:hAnsi="Arial" w:cs="Arial"/>
                <w:sz w:val="24"/>
                <w:szCs w:val="24"/>
              </w:rPr>
              <w:t>1,400</w:t>
            </w:r>
          </w:p>
          <w:p w14:paraId="3654A3D6" w14:textId="77777777" w:rsidR="001303EB" w:rsidRPr="000D756E" w:rsidRDefault="001303EB" w:rsidP="001303EB">
            <w:pPr>
              <w:jc w:val="right"/>
              <w:rPr>
                <w:rFonts w:ascii="Arial" w:hAnsi="Arial" w:cs="Arial"/>
                <w:sz w:val="24"/>
                <w:szCs w:val="24"/>
              </w:rPr>
            </w:pPr>
          </w:p>
          <w:p w14:paraId="0124033C" w14:textId="681E0788" w:rsidR="001303EB" w:rsidRPr="000D756E" w:rsidRDefault="001303EB" w:rsidP="001303EB">
            <w:pPr>
              <w:jc w:val="right"/>
              <w:rPr>
                <w:rFonts w:ascii="Arial" w:hAnsi="Arial" w:cs="Arial"/>
                <w:sz w:val="24"/>
                <w:szCs w:val="24"/>
              </w:rPr>
            </w:pPr>
            <w:r w:rsidRPr="000D756E">
              <w:rPr>
                <w:rFonts w:ascii="Arial" w:hAnsi="Arial" w:cs="Arial"/>
                <w:sz w:val="24"/>
                <w:szCs w:val="24"/>
              </w:rPr>
              <w:t>0</w:t>
            </w:r>
          </w:p>
        </w:tc>
        <w:tc>
          <w:tcPr>
            <w:tcW w:w="1634" w:type="dxa"/>
            <w:tcBorders>
              <w:top w:val="nil"/>
              <w:left w:val="single" w:sz="4" w:space="0" w:color="auto"/>
              <w:bottom w:val="nil"/>
              <w:right w:val="single" w:sz="4" w:space="0" w:color="auto"/>
            </w:tcBorders>
          </w:tcPr>
          <w:p w14:paraId="09E56256" w14:textId="77777777" w:rsidR="001303EB" w:rsidRPr="000D756E" w:rsidRDefault="001303EB" w:rsidP="001303EB">
            <w:pPr>
              <w:jc w:val="right"/>
              <w:rPr>
                <w:rFonts w:ascii="Arial" w:hAnsi="Arial" w:cs="Arial"/>
                <w:sz w:val="24"/>
                <w:szCs w:val="24"/>
              </w:rPr>
            </w:pPr>
          </w:p>
          <w:p w14:paraId="3FFA3750" w14:textId="77777777" w:rsidR="001303EB" w:rsidRPr="000D756E" w:rsidRDefault="001303EB" w:rsidP="001303EB">
            <w:pPr>
              <w:jc w:val="right"/>
              <w:rPr>
                <w:rFonts w:ascii="Arial" w:hAnsi="Arial" w:cs="Arial"/>
                <w:sz w:val="24"/>
                <w:szCs w:val="24"/>
              </w:rPr>
            </w:pPr>
            <w:r w:rsidRPr="000D756E">
              <w:rPr>
                <w:rFonts w:ascii="Arial" w:hAnsi="Arial" w:cs="Arial"/>
                <w:sz w:val="24"/>
                <w:szCs w:val="24"/>
              </w:rPr>
              <w:t>0</w:t>
            </w:r>
          </w:p>
          <w:p w14:paraId="7D28C922" w14:textId="77777777" w:rsidR="001303EB" w:rsidRPr="000D756E" w:rsidRDefault="001303EB" w:rsidP="001303EB">
            <w:pPr>
              <w:jc w:val="right"/>
              <w:rPr>
                <w:rFonts w:ascii="Arial" w:hAnsi="Arial" w:cs="Arial"/>
                <w:sz w:val="24"/>
                <w:szCs w:val="24"/>
              </w:rPr>
            </w:pPr>
          </w:p>
          <w:p w14:paraId="3576FBF2" w14:textId="20B90BB9" w:rsidR="001303EB" w:rsidRPr="000D756E" w:rsidRDefault="001303EB" w:rsidP="001303EB">
            <w:pPr>
              <w:jc w:val="right"/>
              <w:rPr>
                <w:rFonts w:ascii="Arial" w:hAnsi="Arial" w:cs="Arial"/>
                <w:sz w:val="24"/>
                <w:szCs w:val="24"/>
              </w:rPr>
            </w:pPr>
            <w:r w:rsidRPr="000D756E">
              <w:rPr>
                <w:rFonts w:ascii="Arial" w:hAnsi="Arial" w:cs="Arial"/>
                <w:sz w:val="24"/>
                <w:szCs w:val="24"/>
              </w:rPr>
              <w:t>160</w:t>
            </w:r>
          </w:p>
        </w:tc>
        <w:tc>
          <w:tcPr>
            <w:tcW w:w="1456" w:type="dxa"/>
            <w:tcBorders>
              <w:top w:val="nil"/>
              <w:left w:val="single" w:sz="4" w:space="0" w:color="auto"/>
              <w:bottom w:val="nil"/>
              <w:right w:val="single" w:sz="4" w:space="0" w:color="auto"/>
            </w:tcBorders>
          </w:tcPr>
          <w:p w14:paraId="7F7D0541" w14:textId="77777777" w:rsidR="001303EB" w:rsidRPr="000D756E" w:rsidRDefault="001303EB" w:rsidP="001303EB">
            <w:pPr>
              <w:jc w:val="right"/>
              <w:rPr>
                <w:rFonts w:ascii="Arial" w:hAnsi="Arial" w:cs="Arial"/>
                <w:sz w:val="24"/>
                <w:szCs w:val="24"/>
              </w:rPr>
            </w:pPr>
          </w:p>
          <w:p w14:paraId="7A3F9901" w14:textId="77777777" w:rsidR="001303EB" w:rsidRPr="000D756E" w:rsidRDefault="001303EB" w:rsidP="001303EB">
            <w:pPr>
              <w:jc w:val="right"/>
              <w:rPr>
                <w:rFonts w:ascii="Arial" w:hAnsi="Arial" w:cs="Arial"/>
                <w:sz w:val="24"/>
                <w:szCs w:val="24"/>
              </w:rPr>
            </w:pPr>
            <w:r w:rsidRPr="000D756E">
              <w:rPr>
                <w:rFonts w:ascii="Arial" w:hAnsi="Arial" w:cs="Arial"/>
                <w:sz w:val="24"/>
                <w:szCs w:val="24"/>
              </w:rPr>
              <w:t>1,400</w:t>
            </w:r>
          </w:p>
          <w:p w14:paraId="74DDA815" w14:textId="77777777" w:rsidR="001303EB" w:rsidRPr="000D756E" w:rsidRDefault="001303EB" w:rsidP="001303EB">
            <w:pPr>
              <w:jc w:val="right"/>
              <w:rPr>
                <w:rFonts w:ascii="Arial" w:hAnsi="Arial" w:cs="Arial"/>
                <w:sz w:val="24"/>
                <w:szCs w:val="24"/>
              </w:rPr>
            </w:pPr>
          </w:p>
          <w:p w14:paraId="3BCD5BAF" w14:textId="76861D0B" w:rsidR="001303EB" w:rsidRPr="000D756E" w:rsidRDefault="001303EB" w:rsidP="001303EB">
            <w:pPr>
              <w:jc w:val="right"/>
              <w:rPr>
                <w:rFonts w:ascii="Arial" w:hAnsi="Arial" w:cs="Arial"/>
                <w:sz w:val="24"/>
                <w:szCs w:val="24"/>
              </w:rPr>
            </w:pPr>
            <w:r w:rsidRPr="000D756E">
              <w:rPr>
                <w:rFonts w:ascii="Arial" w:hAnsi="Arial" w:cs="Arial"/>
                <w:sz w:val="24"/>
                <w:szCs w:val="24"/>
              </w:rPr>
              <w:t>160</w:t>
            </w:r>
          </w:p>
        </w:tc>
      </w:tr>
      <w:tr w:rsidR="001303EB" w:rsidRPr="000D756E" w14:paraId="1B8CF3C8" w14:textId="77777777" w:rsidTr="00E90405">
        <w:tc>
          <w:tcPr>
            <w:tcW w:w="4503" w:type="dxa"/>
            <w:tcBorders>
              <w:top w:val="nil"/>
              <w:left w:val="single" w:sz="4" w:space="0" w:color="auto"/>
              <w:bottom w:val="nil"/>
              <w:right w:val="single" w:sz="4" w:space="0" w:color="auto"/>
            </w:tcBorders>
          </w:tcPr>
          <w:p w14:paraId="55D91591" w14:textId="77777777" w:rsidR="001303EB" w:rsidRPr="000D756E" w:rsidRDefault="001303EB" w:rsidP="001303EB">
            <w:pPr>
              <w:rPr>
                <w:rFonts w:ascii="Arial" w:hAnsi="Arial" w:cs="Arial"/>
                <w:sz w:val="24"/>
                <w:szCs w:val="24"/>
              </w:rPr>
            </w:pPr>
          </w:p>
          <w:p w14:paraId="041D4388" w14:textId="5FC2DEB6" w:rsidR="001303EB" w:rsidRPr="000D756E" w:rsidRDefault="001303EB" w:rsidP="001303EB">
            <w:pPr>
              <w:rPr>
                <w:rFonts w:ascii="Arial" w:hAnsi="Arial" w:cs="Arial"/>
                <w:b/>
                <w:sz w:val="24"/>
                <w:szCs w:val="24"/>
              </w:rPr>
            </w:pPr>
            <w:r w:rsidRPr="000D756E">
              <w:rPr>
                <w:rFonts w:ascii="Arial" w:hAnsi="Arial" w:cs="Arial"/>
                <w:b/>
                <w:sz w:val="24"/>
                <w:szCs w:val="24"/>
              </w:rPr>
              <w:t>At 31 March 202</w:t>
            </w:r>
            <w:r w:rsidR="00DF0B70">
              <w:rPr>
                <w:rFonts w:ascii="Arial" w:hAnsi="Arial" w:cs="Arial"/>
                <w:b/>
                <w:sz w:val="24"/>
                <w:szCs w:val="24"/>
              </w:rPr>
              <w:t>4</w:t>
            </w:r>
          </w:p>
          <w:p w14:paraId="56110A49" w14:textId="77777777" w:rsidR="001303EB" w:rsidRPr="000D756E" w:rsidRDefault="001303EB" w:rsidP="001303EB">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56028C" w14:textId="77777777" w:rsidR="001303EB" w:rsidRPr="000D756E" w:rsidRDefault="001303EB" w:rsidP="001303EB">
            <w:pPr>
              <w:jc w:val="right"/>
              <w:rPr>
                <w:rFonts w:ascii="Arial" w:hAnsi="Arial" w:cs="Arial"/>
                <w:b/>
                <w:sz w:val="24"/>
                <w:szCs w:val="24"/>
              </w:rPr>
            </w:pPr>
          </w:p>
          <w:p w14:paraId="1C776951" w14:textId="48ACA51A" w:rsidR="001303EB" w:rsidRPr="000D756E" w:rsidRDefault="001303EB" w:rsidP="001303EB">
            <w:pPr>
              <w:jc w:val="right"/>
              <w:rPr>
                <w:rFonts w:ascii="Arial" w:hAnsi="Arial" w:cs="Arial"/>
                <w:b/>
                <w:sz w:val="24"/>
                <w:szCs w:val="24"/>
              </w:rPr>
            </w:pPr>
            <w:r w:rsidRPr="000D756E">
              <w:rPr>
                <w:rFonts w:ascii="Arial" w:hAnsi="Arial" w:cs="Arial"/>
                <w:b/>
                <w:sz w:val="24"/>
                <w:szCs w:val="24"/>
              </w:rPr>
              <w:t>-35</w:t>
            </w:r>
          </w:p>
        </w:tc>
        <w:tc>
          <w:tcPr>
            <w:tcW w:w="1634" w:type="dxa"/>
            <w:tcBorders>
              <w:top w:val="single" w:sz="4" w:space="0" w:color="auto"/>
              <w:left w:val="single" w:sz="4" w:space="0" w:color="auto"/>
              <w:bottom w:val="single" w:sz="4" w:space="0" w:color="auto"/>
              <w:right w:val="single" w:sz="4" w:space="0" w:color="auto"/>
            </w:tcBorders>
          </w:tcPr>
          <w:p w14:paraId="0D756BBA" w14:textId="77777777" w:rsidR="001303EB" w:rsidRPr="000D756E" w:rsidRDefault="001303EB" w:rsidP="001303EB">
            <w:pPr>
              <w:jc w:val="right"/>
              <w:rPr>
                <w:rFonts w:ascii="Arial" w:hAnsi="Arial" w:cs="Arial"/>
                <w:b/>
                <w:sz w:val="24"/>
                <w:szCs w:val="24"/>
              </w:rPr>
            </w:pPr>
          </w:p>
          <w:p w14:paraId="7C06212C" w14:textId="6CB289B9" w:rsidR="001303EB" w:rsidRPr="000D756E" w:rsidRDefault="001303EB" w:rsidP="001303EB">
            <w:pPr>
              <w:jc w:val="right"/>
              <w:rPr>
                <w:rFonts w:ascii="Arial" w:hAnsi="Arial" w:cs="Arial"/>
                <w:b/>
                <w:sz w:val="24"/>
                <w:szCs w:val="24"/>
              </w:rPr>
            </w:pPr>
            <w:r w:rsidRPr="000D756E">
              <w:rPr>
                <w:rFonts w:ascii="Arial" w:hAnsi="Arial" w:cs="Arial"/>
                <w:b/>
                <w:sz w:val="24"/>
                <w:szCs w:val="24"/>
              </w:rPr>
              <w:t>-16,590</w:t>
            </w:r>
          </w:p>
        </w:tc>
        <w:tc>
          <w:tcPr>
            <w:tcW w:w="1456" w:type="dxa"/>
            <w:tcBorders>
              <w:top w:val="single" w:sz="4" w:space="0" w:color="auto"/>
              <w:left w:val="single" w:sz="4" w:space="0" w:color="auto"/>
              <w:bottom w:val="single" w:sz="4" w:space="0" w:color="auto"/>
              <w:right w:val="single" w:sz="4" w:space="0" w:color="auto"/>
            </w:tcBorders>
          </w:tcPr>
          <w:p w14:paraId="5E01A9E5" w14:textId="77777777" w:rsidR="001303EB" w:rsidRPr="000D756E" w:rsidRDefault="001303EB" w:rsidP="001303EB">
            <w:pPr>
              <w:jc w:val="right"/>
              <w:rPr>
                <w:rFonts w:ascii="Arial" w:hAnsi="Arial" w:cs="Arial"/>
                <w:b/>
                <w:sz w:val="24"/>
                <w:szCs w:val="24"/>
              </w:rPr>
            </w:pPr>
          </w:p>
          <w:p w14:paraId="60B85B21" w14:textId="00DF95A7" w:rsidR="001303EB" w:rsidRPr="000D756E" w:rsidRDefault="001303EB" w:rsidP="001303EB">
            <w:pPr>
              <w:jc w:val="right"/>
              <w:rPr>
                <w:rFonts w:ascii="Arial" w:hAnsi="Arial" w:cs="Arial"/>
                <w:b/>
                <w:sz w:val="24"/>
                <w:szCs w:val="24"/>
              </w:rPr>
            </w:pPr>
            <w:r w:rsidRPr="000D756E">
              <w:rPr>
                <w:rFonts w:ascii="Arial" w:hAnsi="Arial" w:cs="Arial"/>
                <w:b/>
                <w:sz w:val="24"/>
                <w:szCs w:val="24"/>
              </w:rPr>
              <w:t>-16,625</w:t>
            </w:r>
          </w:p>
        </w:tc>
      </w:tr>
      <w:tr w:rsidR="001303EB" w:rsidRPr="000D756E" w14:paraId="2B28578A" w14:textId="77777777" w:rsidTr="00E90405">
        <w:tc>
          <w:tcPr>
            <w:tcW w:w="4503" w:type="dxa"/>
            <w:tcBorders>
              <w:top w:val="nil"/>
            </w:tcBorders>
          </w:tcPr>
          <w:p w14:paraId="091EC212" w14:textId="77777777" w:rsidR="001303EB" w:rsidRPr="000D756E" w:rsidRDefault="001303EB" w:rsidP="001303EB">
            <w:pPr>
              <w:rPr>
                <w:rFonts w:ascii="Arial" w:hAnsi="Arial" w:cs="Arial"/>
                <w:sz w:val="24"/>
                <w:szCs w:val="24"/>
              </w:rPr>
            </w:pPr>
          </w:p>
          <w:p w14:paraId="7C07E4E2" w14:textId="208C73EA" w:rsidR="001303EB" w:rsidRPr="000D756E" w:rsidRDefault="001303EB" w:rsidP="001303EB">
            <w:pPr>
              <w:rPr>
                <w:rFonts w:ascii="Arial" w:hAnsi="Arial" w:cs="Arial"/>
                <w:b/>
                <w:sz w:val="24"/>
                <w:szCs w:val="24"/>
              </w:rPr>
            </w:pPr>
            <w:r w:rsidRPr="000D756E">
              <w:rPr>
                <w:rFonts w:ascii="Arial" w:hAnsi="Arial" w:cs="Arial"/>
                <w:b/>
                <w:sz w:val="24"/>
                <w:szCs w:val="24"/>
              </w:rPr>
              <w:t>Net Book Value at 31 March 202</w:t>
            </w:r>
            <w:r w:rsidR="00DF0B70">
              <w:rPr>
                <w:rFonts w:ascii="Arial" w:hAnsi="Arial" w:cs="Arial"/>
                <w:b/>
                <w:sz w:val="24"/>
                <w:szCs w:val="24"/>
              </w:rPr>
              <w:t>4</w:t>
            </w:r>
          </w:p>
          <w:p w14:paraId="55E4A2B8" w14:textId="77777777" w:rsidR="001303EB" w:rsidRPr="000D756E" w:rsidRDefault="001303EB" w:rsidP="001303EB">
            <w:pPr>
              <w:rPr>
                <w:rFonts w:ascii="Arial" w:hAnsi="Arial" w:cs="Arial"/>
                <w:sz w:val="24"/>
                <w:szCs w:val="24"/>
              </w:rPr>
            </w:pPr>
          </w:p>
          <w:p w14:paraId="0E1667A8" w14:textId="2250FC98" w:rsidR="001303EB" w:rsidRPr="000D756E" w:rsidRDefault="001303EB" w:rsidP="001303EB">
            <w:pPr>
              <w:rPr>
                <w:rFonts w:ascii="Arial" w:hAnsi="Arial" w:cs="Arial"/>
                <w:b/>
                <w:sz w:val="24"/>
                <w:szCs w:val="24"/>
              </w:rPr>
            </w:pPr>
            <w:r w:rsidRPr="000D756E">
              <w:rPr>
                <w:rFonts w:ascii="Arial" w:hAnsi="Arial" w:cs="Arial"/>
                <w:b/>
                <w:sz w:val="24"/>
                <w:szCs w:val="24"/>
              </w:rPr>
              <w:t>At 31 March 202</w:t>
            </w:r>
            <w:r w:rsidR="00DF0B70">
              <w:rPr>
                <w:rFonts w:ascii="Arial" w:hAnsi="Arial" w:cs="Arial"/>
                <w:b/>
                <w:sz w:val="24"/>
                <w:szCs w:val="24"/>
              </w:rPr>
              <w:t>3</w:t>
            </w:r>
          </w:p>
        </w:tc>
        <w:tc>
          <w:tcPr>
            <w:tcW w:w="1417" w:type="dxa"/>
            <w:tcBorders>
              <w:top w:val="single" w:sz="4" w:space="0" w:color="auto"/>
            </w:tcBorders>
          </w:tcPr>
          <w:p w14:paraId="7F4B90F4" w14:textId="77777777" w:rsidR="001303EB" w:rsidRPr="000D756E" w:rsidRDefault="001303EB" w:rsidP="001303EB">
            <w:pPr>
              <w:rPr>
                <w:rFonts w:ascii="Arial" w:hAnsi="Arial" w:cs="Arial"/>
                <w:b/>
                <w:sz w:val="24"/>
                <w:szCs w:val="24"/>
              </w:rPr>
            </w:pPr>
          </w:p>
          <w:p w14:paraId="1104D678" w14:textId="77777777" w:rsidR="001303EB" w:rsidRPr="000D756E" w:rsidRDefault="001303EB" w:rsidP="001303EB">
            <w:pPr>
              <w:jc w:val="right"/>
              <w:rPr>
                <w:rFonts w:ascii="Arial" w:hAnsi="Arial" w:cs="Arial"/>
                <w:b/>
                <w:sz w:val="24"/>
                <w:szCs w:val="24"/>
              </w:rPr>
            </w:pPr>
            <w:r w:rsidRPr="000D756E">
              <w:rPr>
                <w:rFonts w:ascii="Arial" w:hAnsi="Arial" w:cs="Arial"/>
                <w:b/>
                <w:sz w:val="24"/>
                <w:szCs w:val="24"/>
              </w:rPr>
              <w:t>27,610</w:t>
            </w:r>
          </w:p>
          <w:p w14:paraId="01A4722B" w14:textId="77777777" w:rsidR="001303EB" w:rsidRPr="000D756E" w:rsidRDefault="001303EB" w:rsidP="001303EB">
            <w:pPr>
              <w:jc w:val="right"/>
              <w:rPr>
                <w:rFonts w:ascii="Arial" w:hAnsi="Arial" w:cs="Arial"/>
                <w:b/>
                <w:sz w:val="24"/>
                <w:szCs w:val="24"/>
              </w:rPr>
            </w:pPr>
          </w:p>
          <w:p w14:paraId="493F2ADD" w14:textId="1CBC946B" w:rsidR="001303EB" w:rsidRPr="000D756E" w:rsidRDefault="001303EB" w:rsidP="001303EB">
            <w:pPr>
              <w:jc w:val="right"/>
              <w:rPr>
                <w:rFonts w:ascii="Arial" w:hAnsi="Arial" w:cs="Arial"/>
                <w:b/>
                <w:sz w:val="24"/>
                <w:szCs w:val="24"/>
              </w:rPr>
            </w:pPr>
            <w:r w:rsidRPr="000D756E">
              <w:rPr>
                <w:rFonts w:ascii="Arial" w:hAnsi="Arial" w:cs="Arial"/>
                <w:b/>
                <w:sz w:val="24"/>
                <w:szCs w:val="24"/>
              </w:rPr>
              <w:t>27,570</w:t>
            </w:r>
          </w:p>
        </w:tc>
        <w:tc>
          <w:tcPr>
            <w:tcW w:w="1634" w:type="dxa"/>
            <w:tcBorders>
              <w:top w:val="single" w:sz="4" w:space="0" w:color="auto"/>
            </w:tcBorders>
          </w:tcPr>
          <w:p w14:paraId="71B4C63D" w14:textId="77777777" w:rsidR="001303EB" w:rsidRPr="000D756E" w:rsidRDefault="001303EB" w:rsidP="001303EB">
            <w:pPr>
              <w:jc w:val="right"/>
              <w:rPr>
                <w:rFonts w:ascii="Arial" w:hAnsi="Arial" w:cs="Arial"/>
                <w:b/>
                <w:sz w:val="24"/>
                <w:szCs w:val="24"/>
              </w:rPr>
            </w:pPr>
          </w:p>
          <w:p w14:paraId="3F2609A2" w14:textId="77777777" w:rsidR="001303EB" w:rsidRPr="000D756E" w:rsidRDefault="001303EB" w:rsidP="001303EB">
            <w:pPr>
              <w:jc w:val="right"/>
              <w:rPr>
                <w:rFonts w:ascii="Arial" w:hAnsi="Arial" w:cs="Arial"/>
                <w:b/>
                <w:sz w:val="24"/>
                <w:szCs w:val="24"/>
              </w:rPr>
            </w:pPr>
            <w:r w:rsidRPr="000D756E">
              <w:rPr>
                <w:rFonts w:ascii="Arial" w:hAnsi="Arial" w:cs="Arial"/>
                <w:b/>
                <w:sz w:val="24"/>
                <w:szCs w:val="24"/>
              </w:rPr>
              <w:t>6,852</w:t>
            </w:r>
          </w:p>
          <w:p w14:paraId="314C6AA3" w14:textId="77777777" w:rsidR="001303EB" w:rsidRPr="000D756E" w:rsidRDefault="001303EB" w:rsidP="001303EB">
            <w:pPr>
              <w:jc w:val="right"/>
              <w:rPr>
                <w:rFonts w:ascii="Arial" w:hAnsi="Arial" w:cs="Arial"/>
                <w:b/>
                <w:sz w:val="24"/>
                <w:szCs w:val="24"/>
              </w:rPr>
            </w:pPr>
          </w:p>
          <w:p w14:paraId="2C59451A" w14:textId="5BA3C070" w:rsidR="001303EB" w:rsidRPr="000D756E" w:rsidRDefault="001303EB" w:rsidP="001303EB">
            <w:pPr>
              <w:jc w:val="right"/>
              <w:rPr>
                <w:rFonts w:ascii="Arial" w:hAnsi="Arial" w:cs="Arial"/>
                <w:b/>
                <w:sz w:val="24"/>
                <w:szCs w:val="24"/>
              </w:rPr>
            </w:pPr>
            <w:r w:rsidRPr="000D756E">
              <w:rPr>
                <w:rFonts w:ascii="Arial" w:hAnsi="Arial" w:cs="Arial"/>
                <w:b/>
                <w:sz w:val="24"/>
                <w:szCs w:val="24"/>
              </w:rPr>
              <w:t>7,388</w:t>
            </w:r>
          </w:p>
        </w:tc>
        <w:tc>
          <w:tcPr>
            <w:tcW w:w="1456" w:type="dxa"/>
            <w:tcBorders>
              <w:top w:val="single" w:sz="4" w:space="0" w:color="auto"/>
            </w:tcBorders>
          </w:tcPr>
          <w:p w14:paraId="72AD2D70" w14:textId="77777777" w:rsidR="001303EB" w:rsidRPr="000D756E" w:rsidRDefault="001303EB" w:rsidP="001303EB">
            <w:pPr>
              <w:rPr>
                <w:rFonts w:ascii="Arial" w:hAnsi="Arial" w:cs="Arial"/>
                <w:b/>
                <w:sz w:val="24"/>
                <w:szCs w:val="24"/>
              </w:rPr>
            </w:pPr>
          </w:p>
          <w:p w14:paraId="78B5118D" w14:textId="77777777" w:rsidR="001303EB" w:rsidRPr="000D756E" w:rsidRDefault="001303EB" w:rsidP="001303EB">
            <w:pPr>
              <w:jc w:val="right"/>
              <w:rPr>
                <w:rFonts w:ascii="Arial" w:hAnsi="Arial" w:cs="Arial"/>
                <w:b/>
                <w:sz w:val="24"/>
                <w:szCs w:val="24"/>
              </w:rPr>
            </w:pPr>
            <w:r w:rsidRPr="000D756E">
              <w:rPr>
                <w:rFonts w:ascii="Arial" w:hAnsi="Arial" w:cs="Arial"/>
                <w:b/>
                <w:sz w:val="24"/>
                <w:szCs w:val="24"/>
              </w:rPr>
              <w:t>34,462</w:t>
            </w:r>
          </w:p>
          <w:p w14:paraId="556F55C4" w14:textId="77777777" w:rsidR="001303EB" w:rsidRPr="000D756E" w:rsidRDefault="001303EB" w:rsidP="001303EB">
            <w:pPr>
              <w:jc w:val="right"/>
              <w:rPr>
                <w:rFonts w:ascii="Arial" w:hAnsi="Arial" w:cs="Arial"/>
                <w:b/>
                <w:sz w:val="24"/>
                <w:szCs w:val="24"/>
              </w:rPr>
            </w:pPr>
          </w:p>
          <w:p w14:paraId="38B24C5D" w14:textId="2B3A30AC" w:rsidR="001303EB" w:rsidRPr="000D756E" w:rsidRDefault="001303EB" w:rsidP="001303EB">
            <w:pPr>
              <w:jc w:val="right"/>
              <w:rPr>
                <w:rFonts w:ascii="Arial" w:hAnsi="Arial" w:cs="Arial"/>
                <w:b/>
                <w:sz w:val="24"/>
                <w:szCs w:val="24"/>
              </w:rPr>
            </w:pPr>
            <w:r w:rsidRPr="000D756E">
              <w:rPr>
                <w:rFonts w:ascii="Arial" w:hAnsi="Arial" w:cs="Arial"/>
                <w:b/>
                <w:sz w:val="24"/>
                <w:szCs w:val="24"/>
              </w:rPr>
              <w:t>34,958</w:t>
            </w:r>
          </w:p>
        </w:tc>
      </w:tr>
    </w:tbl>
    <w:p w14:paraId="023DB40F" w14:textId="77777777" w:rsidR="00922A97" w:rsidRPr="000D756E" w:rsidRDefault="00922A97" w:rsidP="002A7C01">
      <w:pPr>
        <w:rPr>
          <w:rFonts w:ascii="Arial" w:hAnsi="Arial" w:cs="Arial"/>
          <w:b/>
          <w:sz w:val="24"/>
          <w:szCs w:val="24"/>
        </w:rPr>
      </w:pPr>
    </w:p>
    <w:p w14:paraId="1431519C" w14:textId="77777777" w:rsidR="00B921A6" w:rsidRPr="000D756E" w:rsidRDefault="00B921A6" w:rsidP="002A7C01">
      <w:pPr>
        <w:rPr>
          <w:rFonts w:ascii="Arial" w:hAnsi="Arial" w:cs="Arial"/>
          <w:b/>
          <w:sz w:val="24"/>
          <w:szCs w:val="24"/>
        </w:rPr>
      </w:pPr>
      <w:r w:rsidRPr="000D756E">
        <w:rPr>
          <w:rFonts w:ascii="Arial" w:hAnsi="Arial" w:cs="Arial"/>
          <w:b/>
          <w:sz w:val="24"/>
          <w:szCs w:val="24"/>
        </w:rPr>
        <w:t>Depreciation</w:t>
      </w:r>
    </w:p>
    <w:p w14:paraId="2C5A49D9" w14:textId="77777777" w:rsidR="0073477C" w:rsidRPr="000D756E" w:rsidRDefault="0073477C" w:rsidP="0073477C">
      <w:pPr>
        <w:rPr>
          <w:rFonts w:ascii="Arial" w:hAnsi="Arial" w:cs="Arial"/>
          <w:sz w:val="24"/>
          <w:szCs w:val="24"/>
        </w:rPr>
      </w:pPr>
      <w:r w:rsidRPr="000D756E">
        <w:rPr>
          <w:rFonts w:ascii="Arial" w:hAnsi="Arial" w:cs="Arial"/>
          <w:sz w:val="24"/>
          <w:szCs w:val="24"/>
        </w:rPr>
        <w:t>Depreciation is provided on the following bases:</w:t>
      </w:r>
    </w:p>
    <w:p w14:paraId="3C548F87" w14:textId="77777777" w:rsidR="0073477C" w:rsidRPr="000D756E" w:rsidRDefault="0073477C" w:rsidP="001C227A">
      <w:pPr>
        <w:numPr>
          <w:ilvl w:val="0"/>
          <w:numId w:val="10"/>
        </w:numPr>
        <w:tabs>
          <w:tab w:val="num" w:pos="417"/>
        </w:tabs>
        <w:spacing w:after="160" w:line="259" w:lineRule="auto"/>
        <w:rPr>
          <w:rFonts w:ascii="Arial" w:hAnsi="Arial" w:cs="Arial"/>
          <w:sz w:val="24"/>
          <w:szCs w:val="24"/>
        </w:rPr>
      </w:pPr>
      <w:r w:rsidRPr="000D756E">
        <w:rPr>
          <w:rFonts w:ascii="Arial" w:hAnsi="Arial" w:cs="Arial"/>
          <w:sz w:val="24"/>
          <w:szCs w:val="24"/>
        </w:rPr>
        <w:t xml:space="preserve">Fire stations and other buildings – straight line allocation over the life of the property as estimated by the valuer. </w:t>
      </w:r>
    </w:p>
    <w:p w14:paraId="285B2F4A" w14:textId="0250CF40" w:rsidR="0073477C" w:rsidRPr="000D756E" w:rsidRDefault="0073477C" w:rsidP="001C227A">
      <w:pPr>
        <w:numPr>
          <w:ilvl w:val="0"/>
          <w:numId w:val="10"/>
        </w:numPr>
        <w:tabs>
          <w:tab w:val="num" w:pos="417"/>
        </w:tabs>
        <w:spacing w:after="160" w:line="259" w:lineRule="auto"/>
        <w:rPr>
          <w:rFonts w:ascii="Arial" w:hAnsi="Arial" w:cs="Arial"/>
          <w:sz w:val="24"/>
          <w:szCs w:val="24"/>
        </w:rPr>
      </w:pPr>
      <w:r w:rsidRPr="000D756E">
        <w:rPr>
          <w:rFonts w:ascii="Arial" w:hAnsi="Arial" w:cs="Arial"/>
          <w:sz w:val="24"/>
          <w:szCs w:val="24"/>
        </w:rPr>
        <w:t xml:space="preserve">Vehicles, plant and equipment – straight line allocation over the life of </w:t>
      </w:r>
      <w:r w:rsidRPr="000D756E">
        <w:rPr>
          <w:rFonts w:ascii="Arial" w:hAnsi="Arial" w:cs="Arial"/>
          <w:sz w:val="24"/>
          <w:szCs w:val="24"/>
        </w:rPr>
        <w:tab/>
        <w:t>the asset, as advised by a suitably qualified officer.</w:t>
      </w:r>
    </w:p>
    <w:p w14:paraId="43147CF4" w14:textId="77777777" w:rsidR="00B921A6" w:rsidRPr="000D756E" w:rsidRDefault="00B921A6" w:rsidP="002A7C01">
      <w:pPr>
        <w:rPr>
          <w:rFonts w:ascii="Arial" w:hAnsi="Arial" w:cs="Arial"/>
          <w:sz w:val="24"/>
          <w:szCs w:val="24"/>
        </w:rPr>
      </w:pPr>
    </w:p>
    <w:p w14:paraId="6D1D1A4E" w14:textId="6738B6EE" w:rsidR="007846C3" w:rsidRPr="000D756E" w:rsidRDefault="007846C3" w:rsidP="003B7E4D">
      <w:pPr>
        <w:rPr>
          <w:rFonts w:ascii="Arial" w:hAnsi="Arial" w:cs="Arial"/>
          <w:b/>
          <w:sz w:val="24"/>
          <w:szCs w:val="24"/>
        </w:rPr>
      </w:pPr>
      <w:r w:rsidRPr="000D756E">
        <w:rPr>
          <w:rFonts w:ascii="Arial" w:hAnsi="Arial" w:cs="Arial"/>
          <w:b/>
          <w:sz w:val="24"/>
          <w:szCs w:val="24"/>
        </w:rPr>
        <w:t>Capital Commitments</w:t>
      </w:r>
      <w:r w:rsidR="0037446B" w:rsidRPr="000D756E">
        <w:rPr>
          <w:rFonts w:ascii="Arial" w:hAnsi="Arial" w:cs="Arial"/>
          <w:b/>
          <w:sz w:val="24"/>
          <w:szCs w:val="24"/>
        </w:rPr>
        <w:t xml:space="preserve"> </w:t>
      </w:r>
    </w:p>
    <w:p w14:paraId="108710B5" w14:textId="77777777" w:rsidR="007846C3" w:rsidRPr="000D756E" w:rsidRDefault="007846C3" w:rsidP="002A7C01">
      <w:pPr>
        <w:rPr>
          <w:rFonts w:ascii="Arial" w:hAnsi="Arial" w:cs="Arial"/>
          <w:sz w:val="24"/>
          <w:szCs w:val="24"/>
        </w:rPr>
      </w:pPr>
    </w:p>
    <w:p w14:paraId="50B451C0" w14:textId="43115FD5" w:rsidR="00F3565F" w:rsidRPr="000D756E" w:rsidRDefault="00A16FF7" w:rsidP="009A0661">
      <w:pPr>
        <w:rPr>
          <w:rFonts w:ascii="Arial" w:hAnsi="Arial" w:cs="Arial"/>
          <w:sz w:val="24"/>
          <w:szCs w:val="24"/>
        </w:rPr>
      </w:pPr>
      <w:r w:rsidRPr="000D756E">
        <w:rPr>
          <w:rFonts w:ascii="Arial" w:hAnsi="Arial" w:cs="Arial"/>
          <w:sz w:val="24"/>
          <w:szCs w:val="24"/>
        </w:rPr>
        <w:t>At 31 March 20</w:t>
      </w:r>
      <w:r w:rsidR="00454BFE" w:rsidRPr="000D756E">
        <w:rPr>
          <w:rFonts w:ascii="Arial" w:hAnsi="Arial" w:cs="Arial"/>
          <w:sz w:val="24"/>
          <w:szCs w:val="24"/>
        </w:rPr>
        <w:t>2</w:t>
      </w:r>
      <w:r w:rsidR="00702669">
        <w:rPr>
          <w:rFonts w:ascii="Arial" w:hAnsi="Arial" w:cs="Arial"/>
          <w:sz w:val="24"/>
          <w:szCs w:val="24"/>
        </w:rPr>
        <w:t>5</w:t>
      </w:r>
      <w:r w:rsidRPr="000D756E">
        <w:rPr>
          <w:rFonts w:ascii="Arial" w:hAnsi="Arial" w:cs="Arial"/>
          <w:sz w:val="24"/>
          <w:szCs w:val="24"/>
        </w:rPr>
        <w:t xml:space="preserve"> the Authority had entered a number of contracts </w:t>
      </w:r>
      <w:r w:rsidR="00B00E98" w:rsidRPr="000D756E">
        <w:rPr>
          <w:rFonts w:ascii="Arial" w:hAnsi="Arial" w:cs="Arial"/>
          <w:sz w:val="24"/>
          <w:szCs w:val="24"/>
        </w:rPr>
        <w:t xml:space="preserve">in </w:t>
      </w:r>
      <w:r w:rsidRPr="000D756E">
        <w:rPr>
          <w:rFonts w:ascii="Arial" w:hAnsi="Arial" w:cs="Arial"/>
          <w:sz w:val="24"/>
          <w:szCs w:val="24"/>
        </w:rPr>
        <w:t>20</w:t>
      </w:r>
      <w:r w:rsidR="003B7E4D" w:rsidRPr="000D756E">
        <w:rPr>
          <w:rFonts w:ascii="Arial" w:hAnsi="Arial" w:cs="Arial"/>
          <w:sz w:val="24"/>
          <w:szCs w:val="24"/>
        </w:rPr>
        <w:t>2</w:t>
      </w:r>
      <w:r w:rsidR="00702669">
        <w:rPr>
          <w:rFonts w:ascii="Arial" w:hAnsi="Arial" w:cs="Arial"/>
          <w:sz w:val="24"/>
          <w:szCs w:val="24"/>
        </w:rPr>
        <w:t>4/25</w:t>
      </w:r>
      <w:r w:rsidR="00061135" w:rsidRPr="000D756E">
        <w:rPr>
          <w:rFonts w:ascii="Arial" w:hAnsi="Arial" w:cs="Arial"/>
          <w:sz w:val="24"/>
          <w:szCs w:val="24"/>
        </w:rPr>
        <w:t>.</w:t>
      </w:r>
    </w:p>
    <w:p w14:paraId="1B6ADF39" w14:textId="77777777" w:rsidR="00F3565F" w:rsidRPr="000D756E" w:rsidRDefault="00F3565F" w:rsidP="009A0661">
      <w:pPr>
        <w:rPr>
          <w:rFonts w:ascii="Arial" w:hAnsi="Arial" w:cs="Arial"/>
          <w:sz w:val="24"/>
          <w:szCs w:val="24"/>
        </w:rPr>
      </w:pPr>
    </w:p>
    <w:p w14:paraId="2898B8A9" w14:textId="29040CC6" w:rsidR="00A16FF7" w:rsidRPr="000D756E" w:rsidRDefault="00A16FF7" w:rsidP="009A0661">
      <w:pPr>
        <w:rPr>
          <w:rFonts w:ascii="Arial" w:hAnsi="Arial" w:cs="Arial"/>
          <w:sz w:val="24"/>
          <w:szCs w:val="24"/>
        </w:rPr>
      </w:pPr>
      <w:r w:rsidRPr="000D756E">
        <w:rPr>
          <w:rFonts w:ascii="Arial" w:hAnsi="Arial" w:cs="Arial"/>
          <w:sz w:val="24"/>
          <w:szCs w:val="24"/>
        </w:rPr>
        <w:t>The commitments were:</w:t>
      </w:r>
    </w:p>
    <w:p w14:paraId="05F0FB1F" w14:textId="77777777" w:rsidR="00A16FF7" w:rsidRPr="000D756E" w:rsidRDefault="00A16FF7" w:rsidP="002A7C01">
      <w:pPr>
        <w:ind w:left="720" w:hanging="72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8"/>
      </w:tblGrid>
      <w:tr w:rsidR="006329E6" w:rsidRPr="000D756E" w14:paraId="232EEA67" w14:textId="77777777" w:rsidTr="00317CB3">
        <w:tc>
          <w:tcPr>
            <w:tcW w:w="6804" w:type="dxa"/>
          </w:tcPr>
          <w:p w14:paraId="08DE91EE" w14:textId="77777777" w:rsidR="00317CB3" w:rsidRPr="000D756E" w:rsidRDefault="00317CB3" w:rsidP="002A7C01">
            <w:pPr>
              <w:rPr>
                <w:rFonts w:ascii="Arial" w:hAnsi="Arial" w:cs="Arial"/>
                <w:sz w:val="24"/>
                <w:szCs w:val="24"/>
              </w:rPr>
            </w:pPr>
          </w:p>
        </w:tc>
        <w:tc>
          <w:tcPr>
            <w:tcW w:w="1418" w:type="dxa"/>
          </w:tcPr>
          <w:p w14:paraId="5D911DBE" w14:textId="77777777" w:rsidR="00317CB3" w:rsidRPr="000D756E" w:rsidRDefault="00317CB3" w:rsidP="00A75DE2">
            <w:pPr>
              <w:jc w:val="right"/>
              <w:rPr>
                <w:rFonts w:ascii="Arial" w:hAnsi="Arial" w:cs="Arial"/>
                <w:b/>
                <w:sz w:val="24"/>
                <w:szCs w:val="24"/>
              </w:rPr>
            </w:pPr>
            <w:r w:rsidRPr="000D756E">
              <w:rPr>
                <w:rFonts w:ascii="Arial" w:hAnsi="Arial" w:cs="Arial"/>
                <w:b/>
                <w:sz w:val="24"/>
                <w:szCs w:val="24"/>
              </w:rPr>
              <w:t>£’000</w:t>
            </w:r>
          </w:p>
        </w:tc>
      </w:tr>
      <w:tr w:rsidR="006329E6" w:rsidRPr="000D756E" w14:paraId="4CA1B45D" w14:textId="77777777" w:rsidTr="00864D47">
        <w:trPr>
          <w:trHeight w:val="302"/>
        </w:trPr>
        <w:tc>
          <w:tcPr>
            <w:tcW w:w="6804" w:type="dxa"/>
          </w:tcPr>
          <w:p w14:paraId="4B2D0D58" w14:textId="20653F9D" w:rsidR="000E53AA" w:rsidRPr="000D756E" w:rsidRDefault="00713EC2" w:rsidP="001F6D4E">
            <w:pPr>
              <w:rPr>
                <w:rFonts w:ascii="Arial" w:hAnsi="Arial" w:cs="Arial"/>
                <w:bCs/>
                <w:sz w:val="24"/>
                <w:szCs w:val="24"/>
              </w:rPr>
            </w:pPr>
            <w:r w:rsidRPr="000D756E">
              <w:rPr>
                <w:rFonts w:ascii="Arial" w:hAnsi="Arial" w:cs="Arial"/>
                <w:bCs/>
                <w:sz w:val="24"/>
                <w:szCs w:val="24"/>
              </w:rPr>
              <w:t>Command &amp; control system replacement</w:t>
            </w:r>
          </w:p>
        </w:tc>
        <w:tc>
          <w:tcPr>
            <w:tcW w:w="1418" w:type="dxa"/>
          </w:tcPr>
          <w:p w14:paraId="1A65C0CA" w14:textId="6D998E48" w:rsidR="000E53AA" w:rsidRPr="000D756E" w:rsidRDefault="001C164E" w:rsidP="001F6D4E">
            <w:pPr>
              <w:jc w:val="right"/>
              <w:rPr>
                <w:rFonts w:ascii="Arial" w:hAnsi="Arial" w:cs="Arial"/>
                <w:bCs/>
                <w:sz w:val="24"/>
                <w:szCs w:val="24"/>
              </w:rPr>
            </w:pPr>
            <w:r>
              <w:rPr>
                <w:rFonts w:ascii="Arial" w:hAnsi="Arial" w:cs="Arial"/>
                <w:bCs/>
                <w:sz w:val="24"/>
                <w:szCs w:val="24"/>
              </w:rPr>
              <w:t>204</w:t>
            </w:r>
          </w:p>
        </w:tc>
      </w:tr>
      <w:tr w:rsidR="000E53AA" w:rsidRPr="000D756E" w14:paraId="6F17C19F" w14:textId="77777777" w:rsidTr="00864D47">
        <w:trPr>
          <w:trHeight w:val="302"/>
        </w:trPr>
        <w:tc>
          <w:tcPr>
            <w:tcW w:w="6804" w:type="dxa"/>
          </w:tcPr>
          <w:p w14:paraId="0ED60DD3" w14:textId="1C74FFD8" w:rsidR="000E53AA" w:rsidRPr="000D756E" w:rsidRDefault="000E53AA" w:rsidP="001F6D4E">
            <w:pPr>
              <w:rPr>
                <w:rFonts w:ascii="Arial" w:hAnsi="Arial" w:cs="Arial"/>
                <w:b/>
                <w:sz w:val="24"/>
                <w:szCs w:val="24"/>
              </w:rPr>
            </w:pPr>
            <w:r w:rsidRPr="000D756E">
              <w:rPr>
                <w:rFonts w:ascii="Arial" w:hAnsi="Arial" w:cs="Arial"/>
                <w:b/>
                <w:sz w:val="24"/>
                <w:szCs w:val="24"/>
              </w:rPr>
              <w:t>Total</w:t>
            </w:r>
          </w:p>
        </w:tc>
        <w:tc>
          <w:tcPr>
            <w:tcW w:w="1418" w:type="dxa"/>
          </w:tcPr>
          <w:p w14:paraId="44DD0BBA" w14:textId="3B6D5CDD" w:rsidR="000E53AA" w:rsidRPr="000D756E" w:rsidRDefault="001C164E" w:rsidP="001F6D4E">
            <w:pPr>
              <w:jc w:val="right"/>
              <w:rPr>
                <w:rFonts w:ascii="Arial" w:hAnsi="Arial" w:cs="Arial"/>
                <w:b/>
                <w:sz w:val="24"/>
                <w:szCs w:val="24"/>
              </w:rPr>
            </w:pPr>
            <w:r>
              <w:rPr>
                <w:rFonts w:ascii="Arial" w:hAnsi="Arial" w:cs="Arial"/>
                <w:b/>
                <w:sz w:val="24"/>
                <w:szCs w:val="24"/>
              </w:rPr>
              <w:t>204</w:t>
            </w:r>
          </w:p>
        </w:tc>
      </w:tr>
    </w:tbl>
    <w:p w14:paraId="77962397" w14:textId="77777777" w:rsidR="00A16FF7" w:rsidRPr="000D756E" w:rsidRDefault="00A16FF7" w:rsidP="00BC1AD5">
      <w:pPr>
        <w:rPr>
          <w:rFonts w:ascii="Arial" w:hAnsi="Arial" w:cs="Arial"/>
          <w:i/>
          <w:sz w:val="24"/>
          <w:szCs w:val="24"/>
        </w:rPr>
      </w:pPr>
    </w:p>
    <w:p w14:paraId="55E05B47" w14:textId="5CBBE567" w:rsidR="00A16FF7" w:rsidRPr="000D756E" w:rsidRDefault="002A3564" w:rsidP="002A7C01">
      <w:pPr>
        <w:ind w:left="720" w:hanging="720"/>
        <w:rPr>
          <w:rFonts w:ascii="Arial" w:hAnsi="Arial" w:cs="Arial"/>
          <w:sz w:val="24"/>
          <w:szCs w:val="24"/>
        </w:rPr>
      </w:pPr>
      <w:r w:rsidRPr="000D756E">
        <w:rPr>
          <w:rFonts w:ascii="Arial" w:hAnsi="Arial" w:cs="Arial"/>
          <w:sz w:val="24"/>
          <w:szCs w:val="24"/>
        </w:rPr>
        <w:t>Similar commitments at 31 March 20</w:t>
      </w:r>
      <w:r w:rsidR="003B7E4D" w:rsidRPr="000D756E">
        <w:rPr>
          <w:rFonts w:ascii="Arial" w:hAnsi="Arial" w:cs="Arial"/>
          <w:sz w:val="24"/>
          <w:szCs w:val="24"/>
        </w:rPr>
        <w:t>2</w:t>
      </w:r>
      <w:r w:rsidR="00702669">
        <w:rPr>
          <w:rFonts w:ascii="Arial" w:hAnsi="Arial" w:cs="Arial"/>
          <w:sz w:val="24"/>
          <w:szCs w:val="24"/>
        </w:rPr>
        <w:t>4</w:t>
      </w:r>
      <w:r w:rsidRPr="000D756E">
        <w:rPr>
          <w:rFonts w:ascii="Arial" w:hAnsi="Arial" w:cs="Arial"/>
          <w:sz w:val="24"/>
          <w:szCs w:val="24"/>
        </w:rPr>
        <w:t xml:space="preserve"> were £</w:t>
      </w:r>
      <w:r w:rsidR="00702669">
        <w:rPr>
          <w:rFonts w:ascii="Arial" w:hAnsi="Arial" w:cs="Arial"/>
          <w:sz w:val="24"/>
          <w:szCs w:val="24"/>
        </w:rPr>
        <w:t>3.443</w:t>
      </w:r>
      <w:r w:rsidR="00E5332B" w:rsidRPr="000D756E">
        <w:rPr>
          <w:rFonts w:ascii="Arial" w:hAnsi="Arial" w:cs="Arial"/>
          <w:sz w:val="24"/>
          <w:szCs w:val="24"/>
        </w:rPr>
        <w:t>m</w:t>
      </w:r>
      <w:r w:rsidRPr="000D756E">
        <w:rPr>
          <w:rFonts w:ascii="Arial" w:hAnsi="Arial" w:cs="Arial"/>
          <w:sz w:val="24"/>
          <w:szCs w:val="24"/>
        </w:rPr>
        <w:t>.</w:t>
      </w:r>
    </w:p>
    <w:p w14:paraId="1B1AA3B6" w14:textId="77777777" w:rsidR="003D3C17" w:rsidRPr="000D756E" w:rsidRDefault="003D3C17" w:rsidP="002A7C01">
      <w:pPr>
        <w:ind w:left="113"/>
        <w:rPr>
          <w:rFonts w:ascii="Arial" w:hAnsi="Arial" w:cs="Arial"/>
          <w:sz w:val="24"/>
          <w:szCs w:val="24"/>
        </w:rPr>
      </w:pPr>
    </w:p>
    <w:p w14:paraId="68074CB0" w14:textId="77777777" w:rsidR="00B921A6" w:rsidRPr="000D756E" w:rsidRDefault="00B921A6" w:rsidP="002A7C01">
      <w:pPr>
        <w:rPr>
          <w:rFonts w:ascii="Arial" w:hAnsi="Arial" w:cs="Arial"/>
          <w:b/>
          <w:sz w:val="24"/>
          <w:szCs w:val="24"/>
        </w:rPr>
      </w:pPr>
      <w:r w:rsidRPr="000D756E">
        <w:rPr>
          <w:rFonts w:ascii="Arial" w:hAnsi="Arial" w:cs="Arial"/>
          <w:b/>
          <w:sz w:val="24"/>
          <w:szCs w:val="24"/>
        </w:rPr>
        <w:t>Revaluations</w:t>
      </w:r>
    </w:p>
    <w:p w14:paraId="780C4C1E" w14:textId="77777777" w:rsidR="00CC7F84" w:rsidRPr="000D756E" w:rsidRDefault="00CC7F84" w:rsidP="002A7C01">
      <w:pPr>
        <w:rPr>
          <w:rFonts w:ascii="Arial" w:hAnsi="Arial" w:cs="Arial"/>
          <w:sz w:val="24"/>
          <w:szCs w:val="24"/>
        </w:rPr>
      </w:pPr>
    </w:p>
    <w:p w14:paraId="14E70938" w14:textId="2B735D37" w:rsidR="00B921A6" w:rsidRPr="000D756E" w:rsidRDefault="0031521B" w:rsidP="002A7C01">
      <w:pPr>
        <w:rPr>
          <w:rFonts w:ascii="Arial" w:hAnsi="Arial" w:cs="Arial"/>
          <w:sz w:val="24"/>
          <w:szCs w:val="24"/>
        </w:rPr>
      </w:pPr>
      <w:r w:rsidRPr="000D756E">
        <w:rPr>
          <w:rFonts w:ascii="Arial" w:hAnsi="Arial" w:cs="Arial"/>
          <w:sz w:val="24"/>
          <w:szCs w:val="24"/>
        </w:rPr>
        <w:t>Assets included in the Balance Sheet at current value are revalued sufficiently regularly to ensure that their carrying amount is not materially different from their current value at the year end, but as a minimum every five years.</w:t>
      </w:r>
      <w:r w:rsidR="009F032C" w:rsidRPr="000D756E">
        <w:rPr>
          <w:rFonts w:ascii="Arial" w:hAnsi="Arial" w:cs="Arial"/>
          <w:sz w:val="24"/>
          <w:szCs w:val="24"/>
        </w:rPr>
        <w:t xml:space="preserve"> </w:t>
      </w:r>
      <w:r w:rsidR="00B921A6" w:rsidRPr="000D756E">
        <w:rPr>
          <w:rFonts w:ascii="Arial" w:hAnsi="Arial" w:cs="Arial"/>
          <w:sz w:val="24"/>
          <w:szCs w:val="24"/>
        </w:rPr>
        <w:t xml:space="preserve">Valuations of land and buildings </w:t>
      </w:r>
      <w:r w:rsidR="009420A1" w:rsidRPr="000D756E">
        <w:rPr>
          <w:rFonts w:ascii="Arial" w:hAnsi="Arial" w:cs="Arial"/>
          <w:sz w:val="24"/>
          <w:szCs w:val="24"/>
        </w:rPr>
        <w:t xml:space="preserve">have been carried out </w:t>
      </w:r>
      <w:r w:rsidR="00B921A6" w:rsidRPr="000D756E">
        <w:rPr>
          <w:rFonts w:ascii="Arial" w:hAnsi="Arial" w:cs="Arial"/>
          <w:sz w:val="24"/>
          <w:szCs w:val="24"/>
        </w:rPr>
        <w:t>at 31 March 20</w:t>
      </w:r>
      <w:r w:rsidR="00C77D79" w:rsidRPr="000D756E">
        <w:rPr>
          <w:rFonts w:ascii="Arial" w:hAnsi="Arial" w:cs="Arial"/>
          <w:sz w:val="24"/>
          <w:szCs w:val="24"/>
        </w:rPr>
        <w:t>2</w:t>
      </w:r>
      <w:r w:rsidR="000C0F3E">
        <w:rPr>
          <w:rFonts w:ascii="Arial" w:hAnsi="Arial" w:cs="Arial"/>
          <w:sz w:val="24"/>
          <w:szCs w:val="24"/>
        </w:rPr>
        <w:t>5</w:t>
      </w:r>
      <w:r w:rsidR="009F032C" w:rsidRPr="000D756E">
        <w:rPr>
          <w:rFonts w:ascii="Arial" w:hAnsi="Arial" w:cs="Arial"/>
          <w:sz w:val="24"/>
          <w:szCs w:val="24"/>
        </w:rPr>
        <w:t xml:space="preserve">, by </w:t>
      </w:r>
      <w:r w:rsidR="00F01431" w:rsidRPr="000D756E">
        <w:rPr>
          <w:rFonts w:ascii="Arial" w:hAnsi="Arial" w:cs="Arial"/>
          <w:sz w:val="24"/>
          <w:szCs w:val="24"/>
        </w:rPr>
        <w:t>Chris Wilkinson</w:t>
      </w:r>
      <w:r w:rsidR="00C3654E" w:rsidRPr="000D756E">
        <w:rPr>
          <w:rFonts w:ascii="Arial" w:hAnsi="Arial" w:cs="Arial"/>
          <w:sz w:val="24"/>
          <w:szCs w:val="24"/>
        </w:rPr>
        <w:t xml:space="preserve"> </w:t>
      </w:r>
      <w:r w:rsidR="009F032C" w:rsidRPr="000D756E">
        <w:rPr>
          <w:rFonts w:ascii="Arial" w:hAnsi="Arial" w:cs="Arial"/>
          <w:sz w:val="24"/>
          <w:szCs w:val="24"/>
        </w:rPr>
        <w:t xml:space="preserve">from </w:t>
      </w:r>
      <w:r w:rsidR="00A37224" w:rsidRPr="000D756E">
        <w:rPr>
          <w:rFonts w:ascii="Arial" w:hAnsi="Arial" w:cs="Arial"/>
          <w:sz w:val="24"/>
          <w:szCs w:val="24"/>
        </w:rPr>
        <w:t>Capita</w:t>
      </w:r>
      <w:r w:rsidR="009F032C" w:rsidRPr="000D756E">
        <w:rPr>
          <w:rFonts w:ascii="Arial" w:hAnsi="Arial" w:cs="Arial"/>
          <w:sz w:val="24"/>
          <w:szCs w:val="24"/>
        </w:rPr>
        <w:t>, under instruction from the Authority</w:t>
      </w:r>
      <w:r w:rsidR="00B921A6" w:rsidRPr="000D756E">
        <w:rPr>
          <w:rFonts w:ascii="Arial" w:hAnsi="Arial" w:cs="Arial"/>
          <w:sz w:val="24"/>
          <w:szCs w:val="24"/>
        </w:rPr>
        <w:t>. The valuations were carried out in accordance with the methodologies and bases for estimation set out in the professional standards of the Royal Institution of Chartered Surveyors.</w:t>
      </w:r>
    </w:p>
    <w:p w14:paraId="7E596A9A" w14:textId="77777777" w:rsidR="00B921A6" w:rsidRPr="000D756E" w:rsidRDefault="00B921A6" w:rsidP="002A7C01">
      <w:pPr>
        <w:rPr>
          <w:rFonts w:ascii="Arial" w:hAnsi="Arial" w:cs="Arial"/>
          <w:sz w:val="24"/>
          <w:szCs w:val="24"/>
        </w:rPr>
      </w:pPr>
    </w:p>
    <w:p w14:paraId="475B9E2A" w14:textId="77777777" w:rsidR="00C14F46" w:rsidRPr="000D756E" w:rsidRDefault="00C14F46" w:rsidP="002A7C01">
      <w:pPr>
        <w:rPr>
          <w:rFonts w:ascii="Arial" w:hAnsi="Arial" w:cs="Arial"/>
          <w:sz w:val="24"/>
          <w:szCs w:val="24"/>
        </w:rPr>
      </w:pPr>
      <w:r w:rsidRPr="000D756E">
        <w:rPr>
          <w:rFonts w:ascii="Arial" w:hAnsi="Arial" w:cs="Arial"/>
          <w:sz w:val="24"/>
          <w:szCs w:val="24"/>
        </w:rPr>
        <w:t>The valuations have been undertaken on the following assumptions:-</w:t>
      </w:r>
    </w:p>
    <w:p w14:paraId="20CF93CA" w14:textId="77777777" w:rsidR="00C14F46" w:rsidRPr="000D756E" w:rsidRDefault="00C14F46" w:rsidP="001C227A">
      <w:pPr>
        <w:numPr>
          <w:ilvl w:val="0"/>
          <w:numId w:val="17"/>
        </w:numPr>
        <w:tabs>
          <w:tab w:val="clear" w:pos="1440"/>
          <w:tab w:val="num" w:pos="426"/>
        </w:tabs>
        <w:ind w:left="426" w:hanging="426"/>
        <w:rPr>
          <w:rFonts w:ascii="Arial" w:hAnsi="Arial" w:cs="Arial"/>
          <w:sz w:val="24"/>
          <w:szCs w:val="24"/>
        </w:rPr>
      </w:pPr>
      <w:r w:rsidRPr="000D756E">
        <w:rPr>
          <w:rFonts w:ascii="Arial" w:hAnsi="Arial" w:cs="Arial"/>
          <w:sz w:val="24"/>
          <w:szCs w:val="24"/>
        </w:rPr>
        <w:t>The properties are free from any undisclosed onerous burdens, outgoings or restrictions and good title can be shown.</w:t>
      </w:r>
    </w:p>
    <w:p w14:paraId="566580C0" w14:textId="77777777" w:rsidR="00C14F46" w:rsidRPr="000D756E" w:rsidRDefault="00C14F46" w:rsidP="001C227A">
      <w:pPr>
        <w:numPr>
          <w:ilvl w:val="0"/>
          <w:numId w:val="18"/>
        </w:numPr>
        <w:rPr>
          <w:rFonts w:ascii="Arial" w:hAnsi="Arial" w:cs="Arial"/>
          <w:sz w:val="24"/>
          <w:szCs w:val="24"/>
        </w:rPr>
      </w:pPr>
      <w:r w:rsidRPr="000D756E">
        <w:rPr>
          <w:rFonts w:ascii="Arial" w:hAnsi="Arial" w:cs="Arial"/>
          <w:sz w:val="24"/>
          <w:szCs w:val="24"/>
        </w:rPr>
        <w:t>The land and properties are not contaminated (including Radon Gas)</w:t>
      </w:r>
    </w:p>
    <w:p w14:paraId="0F0933D3" w14:textId="77777777" w:rsidR="00C14F46" w:rsidRPr="000D756E" w:rsidRDefault="00C14F46" w:rsidP="001C227A">
      <w:pPr>
        <w:numPr>
          <w:ilvl w:val="0"/>
          <w:numId w:val="19"/>
        </w:numPr>
        <w:tabs>
          <w:tab w:val="num" w:pos="426"/>
        </w:tabs>
        <w:ind w:left="426" w:hanging="426"/>
        <w:rPr>
          <w:rFonts w:ascii="Arial" w:hAnsi="Arial" w:cs="Arial"/>
          <w:sz w:val="24"/>
          <w:szCs w:val="24"/>
        </w:rPr>
      </w:pPr>
      <w:r w:rsidRPr="000D756E">
        <w:rPr>
          <w:rFonts w:ascii="Arial" w:hAnsi="Arial" w:cs="Arial"/>
          <w:sz w:val="24"/>
          <w:szCs w:val="24"/>
        </w:rPr>
        <w:t>The properties and their values are unaffected by any matters which could be revealed by Local Search or inspection of any register and the use and occupation of the asset is lawful.</w:t>
      </w:r>
    </w:p>
    <w:p w14:paraId="6F15D29B" w14:textId="77777777" w:rsidR="00C14F46" w:rsidRPr="000D756E" w:rsidRDefault="00C14F46" w:rsidP="001C227A">
      <w:pPr>
        <w:numPr>
          <w:ilvl w:val="0"/>
          <w:numId w:val="20"/>
        </w:numPr>
        <w:tabs>
          <w:tab w:val="clear" w:pos="1440"/>
          <w:tab w:val="num" w:pos="426"/>
        </w:tabs>
        <w:ind w:left="426" w:hanging="426"/>
        <w:rPr>
          <w:rFonts w:ascii="Arial" w:hAnsi="Arial" w:cs="Arial"/>
          <w:sz w:val="24"/>
          <w:szCs w:val="24"/>
        </w:rPr>
      </w:pPr>
      <w:r w:rsidRPr="000D756E">
        <w:rPr>
          <w:rFonts w:ascii="Arial" w:hAnsi="Arial" w:cs="Arial"/>
          <w:sz w:val="24"/>
          <w:szCs w:val="24"/>
        </w:rPr>
        <w:t>In valuing the property, plant and machinery has been excluded unless forming part of the structure and normally valued with the buildings.</w:t>
      </w:r>
    </w:p>
    <w:p w14:paraId="333D83EA" w14:textId="77777777" w:rsidR="00C14F46" w:rsidRPr="000D756E" w:rsidRDefault="00C14F46" w:rsidP="001C227A">
      <w:pPr>
        <w:numPr>
          <w:ilvl w:val="0"/>
          <w:numId w:val="21"/>
        </w:numPr>
        <w:tabs>
          <w:tab w:val="clear" w:pos="1440"/>
          <w:tab w:val="num" w:pos="426"/>
        </w:tabs>
        <w:ind w:left="426" w:hanging="426"/>
        <w:rPr>
          <w:rFonts w:ascii="Arial" w:hAnsi="Arial" w:cs="Arial"/>
          <w:sz w:val="24"/>
          <w:szCs w:val="24"/>
        </w:rPr>
      </w:pPr>
      <w:r w:rsidRPr="000D756E">
        <w:rPr>
          <w:rFonts w:ascii="Arial" w:hAnsi="Arial" w:cs="Arial"/>
          <w:sz w:val="24"/>
          <w:szCs w:val="24"/>
        </w:rPr>
        <w:t>The report does not take account of any liability for taxation which may arise on disposal whether actual or notional.</w:t>
      </w:r>
    </w:p>
    <w:p w14:paraId="59FA685F" w14:textId="77777777" w:rsidR="00C14F46" w:rsidRPr="000D756E" w:rsidRDefault="00C14F46" w:rsidP="001C227A">
      <w:pPr>
        <w:numPr>
          <w:ilvl w:val="0"/>
          <w:numId w:val="22"/>
        </w:numPr>
        <w:tabs>
          <w:tab w:val="clear" w:pos="1440"/>
          <w:tab w:val="num" w:pos="426"/>
        </w:tabs>
        <w:ind w:left="426" w:hanging="426"/>
        <w:rPr>
          <w:rFonts w:ascii="Arial" w:hAnsi="Arial" w:cs="Arial"/>
          <w:sz w:val="24"/>
          <w:szCs w:val="24"/>
        </w:rPr>
      </w:pPr>
      <w:r w:rsidRPr="000D756E">
        <w:rPr>
          <w:rFonts w:ascii="Arial" w:hAnsi="Arial" w:cs="Arial"/>
          <w:sz w:val="24"/>
          <w:szCs w:val="24"/>
        </w:rPr>
        <w:t>Details of title have been taken from previous records supplied by Shropshire Fire and Rescue Service.</w:t>
      </w:r>
    </w:p>
    <w:p w14:paraId="7682DF79" w14:textId="77777777" w:rsidR="00C14F46" w:rsidRPr="000D756E" w:rsidRDefault="00C14F46" w:rsidP="001C227A">
      <w:pPr>
        <w:numPr>
          <w:ilvl w:val="0"/>
          <w:numId w:val="23"/>
        </w:numPr>
        <w:tabs>
          <w:tab w:val="clear" w:pos="1440"/>
          <w:tab w:val="num" w:pos="426"/>
        </w:tabs>
        <w:ind w:left="426" w:hanging="426"/>
        <w:rPr>
          <w:rFonts w:ascii="Arial" w:hAnsi="Arial" w:cs="Arial"/>
          <w:sz w:val="24"/>
          <w:szCs w:val="24"/>
        </w:rPr>
      </w:pPr>
      <w:r w:rsidRPr="000D756E">
        <w:rPr>
          <w:rFonts w:ascii="Arial" w:hAnsi="Arial" w:cs="Arial"/>
          <w:sz w:val="24"/>
          <w:szCs w:val="24"/>
        </w:rPr>
        <w:t>Where there are user rights these have not been considered as having a value because of the inability to transfer such rights.</w:t>
      </w:r>
    </w:p>
    <w:p w14:paraId="15C4126E" w14:textId="77777777" w:rsidR="00645E1B" w:rsidRPr="000D756E" w:rsidRDefault="00C14F46" w:rsidP="001C227A">
      <w:pPr>
        <w:numPr>
          <w:ilvl w:val="0"/>
          <w:numId w:val="23"/>
        </w:numPr>
        <w:tabs>
          <w:tab w:val="clear" w:pos="1440"/>
        </w:tabs>
        <w:ind w:left="426" w:hanging="426"/>
        <w:rPr>
          <w:rFonts w:ascii="Arial" w:hAnsi="Arial" w:cs="Arial"/>
          <w:sz w:val="24"/>
          <w:szCs w:val="24"/>
        </w:rPr>
      </w:pPr>
      <w:r w:rsidRPr="000D756E">
        <w:rPr>
          <w:rFonts w:ascii="Arial" w:hAnsi="Arial" w:cs="Arial"/>
          <w:sz w:val="24"/>
          <w:szCs w:val="24"/>
        </w:rPr>
        <w:t>Where the property in the ownership of Shropshire Fire and Rescue Service is subject to user rights, the value of the affected parts of the property have been excluded, except where the occupation has approximately twelve months or less to run to the expiry date.</w:t>
      </w:r>
    </w:p>
    <w:p w14:paraId="1E03C7FA" w14:textId="77777777" w:rsidR="002E4168" w:rsidRPr="000D756E" w:rsidRDefault="002E4168" w:rsidP="002E4168">
      <w:pPr>
        <w:ind w:left="426"/>
        <w:rPr>
          <w:rFonts w:ascii="Arial" w:hAnsi="Arial" w:cs="Arial"/>
          <w:sz w:val="24"/>
          <w:szCs w:val="24"/>
        </w:rPr>
      </w:pPr>
    </w:p>
    <w:p w14:paraId="121B7646" w14:textId="68847495" w:rsidR="009A0661" w:rsidRPr="000D756E" w:rsidRDefault="002E4168" w:rsidP="002A7C01">
      <w:pPr>
        <w:rPr>
          <w:rFonts w:ascii="Arial" w:hAnsi="Arial" w:cs="Arial"/>
          <w:sz w:val="24"/>
          <w:szCs w:val="24"/>
        </w:rPr>
      </w:pPr>
      <w:r w:rsidRPr="000D756E">
        <w:rPr>
          <w:rFonts w:ascii="Arial" w:hAnsi="Arial" w:cs="Arial"/>
          <w:sz w:val="24"/>
          <w:szCs w:val="24"/>
        </w:rPr>
        <w:t>Items within a class of property plant and equipment are revalued simultaneously to avoid selective revaluation of assets and the reporting of amounts in the financial statements that are a mixture of costs and values as at different dates.</w:t>
      </w:r>
      <w:r w:rsidR="008443F5" w:rsidRPr="000D756E">
        <w:rPr>
          <w:rFonts w:ascii="Arial" w:hAnsi="Arial" w:cs="Arial"/>
          <w:sz w:val="24"/>
          <w:szCs w:val="24"/>
        </w:rPr>
        <w:t xml:space="preserve"> As the Authority only holds one class of asset, all land and buildings are revalued each year.</w:t>
      </w:r>
    </w:p>
    <w:p w14:paraId="6BE421E1" w14:textId="77777777" w:rsidR="008D0AA1" w:rsidRPr="000D756E" w:rsidRDefault="008D0AA1" w:rsidP="002A7C01">
      <w:pPr>
        <w:rPr>
          <w:rFonts w:ascii="Arial" w:hAnsi="Arial" w:cs="Arial"/>
          <w:sz w:val="24"/>
          <w:szCs w:val="24"/>
        </w:rPr>
      </w:pPr>
    </w:p>
    <w:p w14:paraId="6C44221F" w14:textId="439BCF15" w:rsidR="00322461" w:rsidRPr="000D756E" w:rsidRDefault="00322461" w:rsidP="002A7C01">
      <w:pPr>
        <w:rPr>
          <w:rFonts w:ascii="Arial" w:hAnsi="Arial" w:cs="Arial"/>
          <w:sz w:val="24"/>
          <w:szCs w:val="24"/>
        </w:rPr>
      </w:pPr>
      <w:r w:rsidRPr="000D756E">
        <w:rPr>
          <w:rFonts w:ascii="Arial" w:hAnsi="Arial" w:cs="Arial"/>
          <w:sz w:val="24"/>
          <w:szCs w:val="24"/>
        </w:rPr>
        <w:lastRenderedPageBreak/>
        <w:t>In addition to the programme of full valuation, an impairment review of the Authority’s land and buildings is undertaken at the end of each financial year. The review for 20</w:t>
      </w:r>
      <w:r w:rsidR="00C85FF7" w:rsidRPr="000D756E">
        <w:rPr>
          <w:rFonts w:ascii="Arial" w:hAnsi="Arial" w:cs="Arial"/>
          <w:sz w:val="24"/>
          <w:szCs w:val="24"/>
        </w:rPr>
        <w:t>2</w:t>
      </w:r>
      <w:r w:rsidR="000C0F3E">
        <w:rPr>
          <w:rFonts w:ascii="Arial" w:hAnsi="Arial" w:cs="Arial"/>
          <w:sz w:val="24"/>
          <w:szCs w:val="24"/>
        </w:rPr>
        <w:t>4/25</w:t>
      </w:r>
      <w:r w:rsidRPr="000D756E">
        <w:rPr>
          <w:rFonts w:ascii="Arial" w:hAnsi="Arial" w:cs="Arial"/>
          <w:sz w:val="24"/>
          <w:szCs w:val="24"/>
        </w:rPr>
        <w:t xml:space="preserve"> was undertaken by</w:t>
      </w:r>
      <w:r w:rsidR="00215C35" w:rsidRPr="000D756E">
        <w:rPr>
          <w:rFonts w:ascii="Arial" w:hAnsi="Arial" w:cs="Arial"/>
          <w:sz w:val="24"/>
          <w:szCs w:val="24"/>
        </w:rPr>
        <w:t xml:space="preserve"> </w:t>
      </w:r>
      <w:r w:rsidR="00F01431" w:rsidRPr="000D756E">
        <w:rPr>
          <w:rFonts w:ascii="Arial" w:hAnsi="Arial" w:cs="Arial"/>
          <w:sz w:val="24"/>
          <w:szCs w:val="24"/>
        </w:rPr>
        <w:t>Chris Wilkinson</w:t>
      </w:r>
      <w:r w:rsidR="00704C9F" w:rsidRPr="000D756E">
        <w:rPr>
          <w:rFonts w:ascii="Arial" w:hAnsi="Arial" w:cs="Arial"/>
          <w:sz w:val="24"/>
          <w:szCs w:val="24"/>
        </w:rPr>
        <w:t xml:space="preserve"> from</w:t>
      </w:r>
      <w:r w:rsidRPr="000D756E">
        <w:rPr>
          <w:rFonts w:ascii="Arial" w:hAnsi="Arial" w:cs="Arial"/>
          <w:sz w:val="24"/>
          <w:szCs w:val="24"/>
        </w:rPr>
        <w:t xml:space="preserve"> </w:t>
      </w:r>
      <w:r w:rsidR="00A15668" w:rsidRPr="000D756E">
        <w:rPr>
          <w:rFonts w:ascii="Arial" w:hAnsi="Arial" w:cs="Arial"/>
          <w:sz w:val="24"/>
          <w:szCs w:val="24"/>
        </w:rPr>
        <w:t>Capita</w:t>
      </w:r>
      <w:r w:rsidR="00704C9F" w:rsidRPr="000D756E">
        <w:rPr>
          <w:rFonts w:ascii="Arial" w:hAnsi="Arial" w:cs="Arial"/>
          <w:sz w:val="24"/>
          <w:szCs w:val="24"/>
        </w:rPr>
        <w:t>, following instruction from the Authority</w:t>
      </w:r>
      <w:r w:rsidRPr="000D756E">
        <w:rPr>
          <w:rFonts w:ascii="Arial" w:hAnsi="Arial" w:cs="Arial"/>
          <w:sz w:val="24"/>
          <w:szCs w:val="24"/>
        </w:rPr>
        <w:t>.</w:t>
      </w:r>
    </w:p>
    <w:p w14:paraId="412E4AD8" w14:textId="77777777" w:rsidR="007428A2" w:rsidRPr="000D756E" w:rsidRDefault="007428A2" w:rsidP="002A7C01">
      <w:pPr>
        <w:rPr>
          <w:rFonts w:ascii="Arial" w:hAnsi="Arial" w:cs="Arial"/>
          <w:sz w:val="24"/>
          <w:szCs w:val="24"/>
        </w:rPr>
      </w:pPr>
    </w:p>
    <w:p w14:paraId="27FA2746" w14:textId="77777777" w:rsidR="00385045" w:rsidRPr="000D756E" w:rsidRDefault="00385045" w:rsidP="002A7C01">
      <w:pPr>
        <w:rPr>
          <w:rFonts w:ascii="Arial" w:hAnsi="Arial" w:cs="Arial"/>
          <w:b/>
          <w:sz w:val="24"/>
          <w:szCs w:val="24"/>
        </w:rPr>
      </w:pPr>
      <w:r w:rsidRPr="000D756E">
        <w:rPr>
          <w:rFonts w:ascii="Arial" w:hAnsi="Arial" w:cs="Arial"/>
          <w:b/>
          <w:sz w:val="24"/>
          <w:szCs w:val="24"/>
        </w:rPr>
        <w:t>Valuation of Non Current Assets carried at Current Value</w:t>
      </w:r>
    </w:p>
    <w:p w14:paraId="42C163FF" w14:textId="77777777" w:rsidR="00B21D66" w:rsidRPr="000D756E" w:rsidRDefault="00B21D66" w:rsidP="002A7C01">
      <w:pPr>
        <w:rPr>
          <w:rFonts w:ascii="Arial" w:hAnsi="Arial" w:cs="Arial"/>
          <w:b/>
          <w:sz w:val="24"/>
          <w:szCs w:val="24"/>
        </w:rPr>
      </w:pP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842"/>
        <w:gridCol w:w="1983"/>
        <w:gridCol w:w="1417"/>
      </w:tblGrid>
      <w:tr w:rsidR="006329E6" w:rsidRPr="000D756E" w14:paraId="6E4A2225" w14:textId="77777777" w:rsidTr="008B1BD9">
        <w:tc>
          <w:tcPr>
            <w:tcW w:w="3823" w:type="dxa"/>
          </w:tcPr>
          <w:p w14:paraId="102616FD" w14:textId="77777777" w:rsidR="00385045" w:rsidRPr="000D756E" w:rsidRDefault="00385045" w:rsidP="002A7C01">
            <w:pPr>
              <w:rPr>
                <w:rFonts w:ascii="Arial" w:hAnsi="Arial" w:cs="Arial"/>
                <w:sz w:val="24"/>
                <w:szCs w:val="24"/>
              </w:rPr>
            </w:pPr>
          </w:p>
        </w:tc>
        <w:tc>
          <w:tcPr>
            <w:tcW w:w="1842" w:type="dxa"/>
          </w:tcPr>
          <w:p w14:paraId="204CAA39" w14:textId="77777777" w:rsidR="00907685" w:rsidRPr="000D756E" w:rsidRDefault="00907685" w:rsidP="0004335B">
            <w:pPr>
              <w:jc w:val="right"/>
              <w:rPr>
                <w:rFonts w:ascii="Arial" w:hAnsi="Arial" w:cs="Arial"/>
                <w:b/>
                <w:sz w:val="22"/>
                <w:szCs w:val="22"/>
              </w:rPr>
            </w:pPr>
          </w:p>
          <w:p w14:paraId="382B1D08" w14:textId="77777777" w:rsidR="00385045" w:rsidRPr="000D756E" w:rsidRDefault="00385045" w:rsidP="0004335B">
            <w:pPr>
              <w:jc w:val="right"/>
              <w:rPr>
                <w:rFonts w:ascii="Arial" w:hAnsi="Arial" w:cs="Arial"/>
                <w:b/>
                <w:sz w:val="22"/>
                <w:szCs w:val="22"/>
              </w:rPr>
            </w:pPr>
            <w:r w:rsidRPr="000D756E">
              <w:rPr>
                <w:rFonts w:ascii="Arial" w:hAnsi="Arial" w:cs="Arial"/>
                <w:b/>
                <w:sz w:val="22"/>
                <w:szCs w:val="22"/>
              </w:rPr>
              <w:t>Land and Buildings</w:t>
            </w:r>
          </w:p>
          <w:p w14:paraId="69058AF4" w14:textId="77777777" w:rsidR="00385045" w:rsidRPr="000D756E" w:rsidRDefault="00385045" w:rsidP="0004335B">
            <w:pPr>
              <w:jc w:val="right"/>
              <w:rPr>
                <w:rFonts w:ascii="Arial" w:hAnsi="Arial" w:cs="Arial"/>
                <w:b/>
                <w:sz w:val="22"/>
                <w:szCs w:val="22"/>
              </w:rPr>
            </w:pPr>
            <w:r w:rsidRPr="000D756E">
              <w:rPr>
                <w:rFonts w:ascii="Arial" w:hAnsi="Arial" w:cs="Arial"/>
                <w:b/>
                <w:sz w:val="22"/>
                <w:szCs w:val="22"/>
              </w:rPr>
              <w:t>£’000</w:t>
            </w:r>
          </w:p>
        </w:tc>
        <w:tc>
          <w:tcPr>
            <w:tcW w:w="1983" w:type="dxa"/>
          </w:tcPr>
          <w:p w14:paraId="14B0A4AF" w14:textId="77777777" w:rsidR="00385045" w:rsidRPr="000D756E" w:rsidRDefault="00385045" w:rsidP="0004335B">
            <w:pPr>
              <w:ind w:right="105"/>
              <w:jc w:val="right"/>
              <w:rPr>
                <w:rFonts w:ascii="Arial" w:hAnsi="Arial" w:cs="Arial"/>
                <w:b/>
                <w:sz w:val="22"/>
                <w:szCs w:val="22"/>
              </w:rPr>
            </w:pPr>
            <w:r w:rsidRPr="000D756E">
              <w:rPr>
                <w:rFonts w:ascii="Arial" w:hAnsi="Arial" w:cs="Arial"/>
                <w:b/>
                <w:sz w:val="22"/>
                <w:szCs w:val="22"/>
              </w:rPr>
              <w:t>Vehicles, Plant, Furniture and Equipment</w:t>
            </w:r>
          </w:p>
          <w:p w14:paraId="57AA9295" w14:textId="77777777" w:rsidR="00385045" w:rsidRPr="000D756E" w:rsidRDefault="00385045" w:rsidP="0004335B">
            <w:pPr>
              <w:ind w:right="105"/>
              <w:jc w:val="right"/>
              <w:rPr>
                <w:rFonts w:ascii="Arial" w:hAnsi="Arial" w:cs="Arial"/>
                <w:b/>
                <w:sz w:val="22"/>
                <w:szCs w:val="22"/>
              </w:rPr>
            </w:pPr>
            <w:r w:rsidRPr="000D756E">
              <w:rPr>
                <w:rFonts w:ascii="Arial" w:hAnsi="Arial" w:cs="Arial"/>
                <w:b/>
                <w:sz w:val="22"/>
                <w:szCs w:val="22"/>
              </w:rPr>
              <w:t>£’000</w:t>
            </w:r>
          </w:p>
        </w:tc>
        <w:tc>
          <w:tcPr>
            <w:tcW w:w="1417" w:type="dxa"/>
          </w:tcPr>
          <w:p w14:paraId="45C64322" w14:textId="77777777" w:rsidR="00907685" w:rsidRPr="000D756E" w:rsidRDefault="00907685" w:rsidP="0004335B">
            <w:pPr>
              <w:jc w:val="right"/>
              <w:rPr>
                <w:rFonts w:ascii="Arial" w:hAnsi="Arial" w:cs="Arial"/>
                <w:b/>
                <w:sz w:val="22"/>
                <w:szCs w:val="22"/>
              </w:rPr>
            </w:pPr>
          </w:p>
          <w:p w14:paraId="620A437F" w14:textId="77777777" w:rsidR="00907685" w:rsidRPr="000D756E" w:rsidRDefault="00907685" w:rsidP="0004335B">
            <w:pPr>
              <w:ind w:left="459"/>
              <w:jc w:val="right"/>
              <w:rPr>
                <w:rFonts w:ascii="Arial" w:hAnsi="Arial" w:cs="Arial"/>
                <w:b/>
                <w:sz w:val="22"/>
                <w:szCs w:val="22"/>
              </w:rPr>
            </w:pPr>
          </w:p>
          <w:p w14:paraId="3ECC384D" w14:textId="77777777" w:rsidR="00385045" w:rsidRPr="000D756E" w:rsidRDefault="00385045" w:rsidP="0004335B">
            <w:pPr>
              <w:ind w:left="459"/>
              <w:jc w:val="right"/>
              <w:rPr>
                <w:rFonts w:ascii="Arial" w:hAnsi="Arial" w:cs="Arial"/>
                <w:b/>
                <w:sz w:val="22"/>
                <w:szCs w:val="22"/>
              </w:rPr>
            </w:pPr>
            <w:r w:rsidRPr="000D756E">
              <w:rPr>
                <w:rFonts w:ascii="Arial" w:hAnsi="Arial" w:cs="Arial"/>
                <w:b/>
                <w:sz w:val="22"/>
                <w:szCs w:val="22"/>
              </w:rPr>
              <w:t>Total</w:t>
            </w:r>
          </w:p>
          <w:p w14:paraId="3B98C1A8" w14:textId="77777777" w:rsidR="00385045" w:rsidRPr="000D756E" w:rsidRDefault="00385045" w:rsidP="0004335B">
            <w:pPr>
              <w:ind w:left="459"/>
              <w:jc w:val="right"/>
              <w:rPr>
                <w:rFonts w:ascii="Arial" w:hAnsi="Arial" w:cs="Arial"/>
                <w:b/>
                <w:sz w:val="22"/>
                <w:szCs w:val="22"/>
              </w:rPr>
            </w:pPr>
            <w:r w:rsidRPr="000D756E">
              <w:rPr>
                <w:rFonts w:ascii="Arial" w:hAnsi="Arial" w:cs="Arial"/>
                <w:b/>
                <w:sz w:val="22"/>
                <w:szCs w:val="22"/>
              </w:rPr>
              <w:t>£’000</w:t>
            </w:r>
          </w:p>
        </w:tc>
      </w:tr>
      <w:tr w:rsidR="006329E6" w:rsidRPr="000D756E" w14:paraId="6D053BCE" w14:textId="77777777" w:rsidTr="008B1BD9">
        <w:trPr>
          <w:trHeight w:val="523"/>
        </w:trPr>
        <w:tc>
          <w:tcPr>
            <w:tcW w:w="3823" w:type="dxa"/>
          </w:tcPr>
          <w:p w14:paraId="2D0CD6A9" w14:textId="77777777" w:rsidR="00385045" w:rsidRPr="000D756E" w:rsidRDefault="00DE79F3" w:rsidP="002A7C01">
            <w:pPr>
              <w:rPr>
                <w:rFonts w:ascii="Arial" w:hAnsi="Arial" w:cs="Arial"/>
                <w:sz w:val="24"/>
                <w:szCs w:val="24"/>
              </w:rPr>
            </w:pPr>
            <w:r w:rsidRPr="000D756E">
              <w:rPr>
                <w:rFonts w:ascii="Arial" w:hAnsi="Arial" w:cs="Arial"/>
                <w:sz w:val="24"/>
                <w:szCs w:val="24"/>
              </w:rPr>
              <w:t>Car</w:t>
            </w:r>
            <w:r w:rsidR="00385045" w:rsidRPr="000D756E">
              <w:rPr>
                <w:rFonts w:ascii="Arial" w:hAnsi="Arial" w:cs="Arial"/>
                <w:sz w:val="24"/>
                <w:szCs w:val="24"/>
              </w:rPr>
              <w:t>ried at historical cost</w:t>
            </w:r>
          </w:p>
        </w:tc>
        <w:tc>
          <w:tcPr>
            <w:tcW w:w="1842" w:type="dxa"/>
            <w:vAlign w:val="center"/>
          </w:tcPr>
          <w:p w14:paraId="6093D68D" w14:textId="4F0F64B0" w:rsidR="00221D42" w:rsidRPr="000D756E" w:rsidRDefault="00A36DAD" w:rsidP="00ED7926">
            <w:pPr>
              <w:jc w:val="right"/>
              <w:rPr>
                <w:rFonts w:ascii="Arial" w:hAnsi="Arial" w:cs="Arial"/>
                <w:sz w:val="24"/>
                <w:szCs w:val="24"/>
              </w:rPr>
            </w:pPr>
            <w:r>
              <w:rPr>
                <w:rFonts w:ascii="Arial" w:hAnsi="Arial" w:cs="Arial"/>
                <w:sz w:val="24"/>
                <w:szCs w:val="24"/>
              </w:rPr>
              <w:t>0</w:t>
            </w:r>
          </w:p>
        </w:tc>
        <w:tc>
          <w:tcPr>
            <w:tcW w:w="1983" w:type="dxa"/>
            <w:vAlign w:val="center"/>
          </w:tcPr>
          <w:p w14:paraId="229AD22A" w14:textId="1EF7FDAD" w:rsidR="00221D42" w:rsidRPr="000D756E" w:rsidRDefault="00522562" w:rsidP="002339BB">
            <w:pPr>
              <w:ind w:right="105"/>
              <w:jc w:val="right"/>
              <w:rPr>
                <w:rFonts w:ascii="Arial" w:hAnsi="Arial" w:cs="Arial"/>
                <w:sz w:val="24"/>
                <w:szCs w:val="24"/>
              </w:rPr>
            </w:pPr>
            <w:r>
              <w:rPr>
                <w:rFonts w:ascii="Arial" w:hAnsi="Arial" w:cs="Arial"/>
                <w:sz w:val="24"/>
                <w:szCs w:val="24"/>
              </w:rPr>
              <w:t>9,139</w:t>
            </w:r>
          </w:p>
        </w:tc>
        <w:tc>
          <w:tcPr>
            <w:tcW w:w="1417" w:type="dxa"/>
            <w:vAlign w:val="center"/>
          </w:tcPr>
          <w:p w14:paraId="287D6129" w14:textId="36E9991B" w:rsidR="00221D42" w:rsidRPr="000D756E" w:rsidRDefault="00522562" w:rsidP="002339BB">
            <w:pPr>
              <w:ind w:left="459"/>
              <w:jc w:val="right"/>
              <w:rPr>
                <w:rFonts w:ascii="Arial" w:hAnsi="Arial" w:cs="Arial"/>
                <w:sz w:val="24"/>
                <w:szCs w:val="24"/>
              </w:rPr>
            </w:pPr>
            <w:r>
              <w:rPr>
                <w:rFonts w:ascii="Arial" w:hAnsi="Arial" w:cs="Arial"/>
                <w:sz w:val="24"/>
                <w:szCs w:val="24"/>
              </w:rPr>
              <w:t>9,139</w:t>
            </w:r>
          </w:p>
        </w:tc>
      </w:tr>
      <w:tr w:rsidR="006329E6" w:rsidRPr="000D756E" w14:paraId="32D62EEC" w14:textId="77777777" w:rsidTr="008B1BD9">
        <w:tc>
          <w:tcPr>
            <w:tcW w:w="3823" w:type="dxa"/>
          </w:tcPr>
          <w:p w14:paraId="7CD44CD6" w14:textId="6AC05CD7" w:rsidR="00385045" w:rsidRPr="000D756E" w:rsidRDefault="00ED7926" w:rsidP="002A7C01">
            <w:pPr>
              <w:rPr>
                <w:rFonts w:ascii="Arial" w:hAnsi="Arial" w:cs="Arial"/>
                <w:sz w:val="24"/>
                <w:szCs w:val="24"/>
              </w:rPr>
            </w:pPr>
            <w:r w:rsidRPr="000D756E">
              <w:rPr>
                <w:rFonts w:ascii="Arial" w:hAnsi="Arial" w:cs="Arial"/>
                <w:sz w:val="24"/>
                <w:szCs w:val="24"/>
              </w:rPr>
              <w:t xml:space="preserve">Carried at </w:t>
            </w:r>
            <w:r w:rsidR="00D10013" w:rsidRPr="000D756E">
              <w:rPr>
                <w:rFonts w:ascii="Arial" w:hAnsi="Arial" w:cs="Arial"/>
                <w:sz w:val="24"/>
                <w:szCs w:val="24"/>
              </w:rPr>
              <w:t>cur</w:t>
            </w:r>
            <w:r w:rsidRPr="000D756E">
              <w:rPr>
                <w:rFonts w:ascii="Arial" w:hAnsi="Arial" w:cs="Arial"/>
                <w:sz w:val="24"/>
                <w:szCs w:val="24"/>
              </w:rPr>
              <w:t>r</w:t>
            </w:r>
            <w:r w:rsidR="00D10013" w:rsidRPr="000D756E">
              <w:rPr>
                <w:rFonts w:ascii="Arial" w:hAnsi="Arial" w:cs="Arial"/>
                <w:sz w:val="24"/>
                <w:szCs w:val="24"/>
              </w:rPr>
              <w:t>ent</w:t>
            </w:r>
            <w:r w:rsidRPr="000D756E">
              <w:rPr>
                <w:rFonts w:ascii="Arial" w:hAnsi="Arial" w:cs="Arial"/>
                <w:sz w:val="24"/>
                <w:szCs w:val="24"/>
              </w:rPr>
              <w:t xml:space="preserve"> value as at 31 March 20</w:t>
            </w:r>
            <w:r w:rsidR="00C77D79" w:rsidRPr="000D756E">
              <w:rPr>
                <w:rFonts w:ascii="Arial" w:hAnsi="Arial" w:cs="Arial"/>
                <w:sz w:val="24"/>
                <w:szCs w:val="24"/>
              </w:rPr>
              <w:t>2</w:t>
            </w:r>
            <w:r w:rsidR="000C0F3E">
              <w:rPr>
                <w:rFonts w:ascii="Arial" w:hAnsi="Arial" w:cs="Arial"/>
                <w:sz w:val="24"/>
                <w:szCs w:val="24"/>
              </w:rPr>
              <w:t>5</w:t>
            </w:r>
          </w:p>
        </w:tc>
        <w:tc>
          <w:tcPr>
            <w:tcW w:w="1842" w:type="dxa"/>
            <w:vAlign w:val="center"/>
          </w:tcPr>
          <w:p w14:paraId="7794A972" w14:textId="2DA5DCAB" w:rsidR="00221D42" w:rsidRPr="000D756E" w:rsidRDefault="00A36DAD" w:rsidP="00251502">
            <w:pPr>
              <w:jc w:val="right"/>
              <w:rPr>
                <w:rFonts w:ascii="Arial" w:hAnsi="Arial" w:cs="Arial"/>
                <w:sz w:val="24"/>
                <w:szCs w:val="24"/>
              </w:rPr>
            </w:pPr>
            <w:r>
              <w:rPr>
                <w:rFonts w:ascii="Arial" w:hAnsi="Arial" w:cs="Arial"/>
                <w:sz w:val="24"/>
                <w:szCs w:val="24"/>
              </w:rPr>
              <w:t>32,520</w:t>
            </w:r>
          </w:p>
        </w:tc>
        <w:tc>
          <w:tcPr>
            <w:tcW w:w="1983" w:type="dxa"/>
            <w:vAlign w:val="center"/>
          </w:tcPr>
          <w:p w14:paraId="1D35766C" w14:textId="1C96823D" w:rsidR="00B901B5" w:rsidRPr="000D756E" w:rsidRDefault="00A36DAD" w:rsidP="00ED7926">
            <w:pPr>
              <w:ind w:right="105"/>
              <w:jc w:val="right"/>
              <w:rPr>
                <w:rFonts w:ascii="Arial" w:hAnsi="Arial" w:cs="Arial"/>
                <w:sz w:val="24"/>
                <w:szCs w:val="24"/>
              </w:rPr>
            </w:pPr>
            <w:r>
              <w:rPr>
                <w:rFonts w:ascii="Arial" w:hAnsi="Arial" w:cs="Arial"/>
                <w:sz w:val="24"/>
                <w:szCs w:val="24"/>
              </w:rPr>
              <w:t>0</w:t>
            </w:r>
          </w:p>
        </w:tc>
        <w:tc>
          <w:tcPr>
            <w:tcW w:w="1417" w:type="dxa"/>
            <w:vAlign w:val="center"/>
          </w:tcPr>
          <w:p w14:paraId="270CD864" w14:textId="0260B14B" w:rsidR="00221D42" w:rsidRPr="000D756E" w:rsidRDefault="00522562" w:rsidP="00E2374B">
            <w:pPr>
              <w:ind w:left="459"/>
              <w:jc w:val="right"/>
              <w:rPr>
                <w:rFonts w:ascii="Arial" w:hAnsi="Arial" w:cs="Arial"/>
                <w:sz w:val="24"/>
                <w:szCs w:val="24"/>
              </w:rPr>
            </w:pPr>
            <w:r>
              <w:rPr>
                <w:rFonts w:ascii="Arial" w:hAnsi="Arial" w:cs="Arial"/>
                <w:sz w:val="24"/>
                <w:szCs w:val="24"/>
              </w:rPr>
              <w:t>32,520</w:t>
            </w:r>
          </w:p>
        </w:tc>
      </w:tr>
      <w:tr w:rsidR="007811A6" w:rsidRPr="000D756E" w14:paraId="27F58148" w14:textId="77777777" w:rsidTr="008B1BD9">
        <w:tc>
          <w:tcPr>
            <w:tcW w:w="3823" w:type="dxa"/>
            <w:vAlign w:val="bottom"/>
          </w:tcPr>
          <w:p w14:paraId="5DD2EF38" w14:textId="77777777" w:rsidR="00CA2E93" w:rsidRPr="000D756E" w:rsidRDefault="00CA2E93" w:rsidP="002A7C01">
            <w:pPr>
              <w:rPr>
                <w:rFonts w:ascii="Arial" w:hAnsi="Arial" w:cs="Arial"/>
                <w:b/>
                <w:sz w:val="24"/>
                <w:szCs w:val="24"/>
              </w:rPr>
            </w:pPr>
          </w:p>
          <w:p w14:paraId="00302F3C" w14:textId="77777777" w:rsidR="006B7489" w:rsidRPr="000D756E" w:rsidRDefault="00385045" w:rsidP="002A7C01">
            <w:pPr>
              <w:rPr>
                <w:rFonts w:ascii="Arial" w:hAnsi="Arial" w:cs="Arial"/>
                <w:b/>
                <w:sz w:val="24"/>
                <w:szCs w:val="24"/>
              </w:rPr>
            </w:pPr>
            <w:r w:rsidRPr="000D756E">
              <w:rPr>
                <w:rFonts w:ascii="Arial" w:hAnsi="Arial" w:cs="Arial"/>
                <w:b/>
                <w:sz w:val="24"/>
                <w:szCs w:val="24"/>
              </w:rPr>
              <w:t>Total</w:t>
            </w:r>
          </w:p>
        </w:tc>
        <w:tc>
          <w:tcPr>
            <w:tcW w:w="1842" w:type="dxa"/>
            <w:vAlign w:val="center"/>
          </w:tcPr>
          <w:p w14:paraId="5390B5E3" w14:textId="50295B81" w:rsidR="00CA2E93" w:rsidRPr="000D756E" w:rsidRDefault="00522562" w:rsidP="00E2374B">
            <w:pPr>
              <w:jc w:val="right"/>
              <w:rPr>
                <w:rFonts w:ascii="Arial" w:hAnsi="Arial" w:cs="Arial"/>
                <w:b/>
                <w:sz w:val="24"/>
                <w:szCs w:val="24"/>
              </w:rPr>
            </w:pPr>
            <w:r>
              <w:rPr>
                <w:rFonts w:ascii="Arial" w:hAnsi="Arial" w:cs="Arial"/>
                <w:b/>
                <w:sz w:val="24"/>
                <w:szCs w:val="24"/>
              </w:rPr>
              <w:t>32,520</w:t>
            </w:r>
          </w:p>
        </w:tc>
        <w:tc>
          <w:tcPr>
            <w:tcW w:w="1983" w:type="dxa"/>
            <w:vAlign w:val="center"/>
          </w:tcPr>
          <w:p w14:paraId="719E9BEE" w14:textId="40B2F602" w:rsidR="00385045" w:rsidRPr="000D756E" w:rsidRDefault="00522562" w:rsidP="002339BB">
            <w:pPr>
              <w:ind w:right="105"/>
              <w:jc w:val="right"/>
              <w:rPr>
                <w:rFonts w:ascii="Arial" w:hAnsi="Arial" w:cs="Arial"/>
                <w:b/>
                <w:sz w:val="24"/>
                <w:szCs w:val="24"/>
              </w:rPr>
            </w:pPr>
            <w:r>
              <w:rPr>
                <w:rFonts w:ascii="Arial" w:hAnsi="Arial" w:cs="Arial"/>
                <w:b/>
                <w:sz w:val="24"/>
                <w:szCs w:val="24"/>
              </w:rPr>
              <w:t>9,139</w:t>
            </w:r>
          </w:p>
        </w:tc>
        <w:tc>
          <w:tcPr>
            <w:tcW w:w="1417" w:type="dxa"/>
            <w:vAlign w:val="center"/>
          </w:tcPr>
          <w:p w14:paraId="6CD0F936" w14:textId="067A338F" w:rsidR="00385045" w:rsidRPr="000D756E" w:rsidRDefault="00522562" w:rsidP="00ED7926">
            <w:pPr>
              <w:jc w:val="right"/>
              <w:rPr>
                <w:rFonts w:ascii="Arial" w:hAnsi="Arial" w:cs="Arial"/>
                <w:b/>
                <w:sz w:val="24"/>
                <w:szCs w:val="24"/>
              </w:rPr>
            </w:pPr>
            <w:r>
              <w:rPr>
                <w:rFonts w:ascii="Arial" w:hAnsi="Arial" w:cs="Arial"/>
                <w:b/>
                <w:sz w:val="24"/>
                <w:szCs w:val="24"/>
              </w:rPr>
              <w:t>41,659</w:t>
            </w:r>
          </w:p>
        </w:tc>
      </w:tr>
    </w:tbl>
    <w:p w14:paraId="3051B315" w14:textId="291B527A" w:rsidR="534F3280" w:rsidRPr="000D756E" w:rsidRDefault="534F3280"/>
    <w:p w14:paraId="6DF71677" w14:textId="47CF0ACA" w:rsidR="534F3280" w:rsidRPr="000D756E" w:rsidRDefault="534F3280"/>
    <w:p w14:paraId="4F71365E" w14:textId="68E9B59F" w:rsidR="002544DF" w:rsidRPr="000D756E" w:rsidRDefault="002544DF" w:rsidP="001C227A">
      <w:pPr>
        <w:numPr>
          <w:ilvl w:val="0"/>
          <w:numId w:val="15"/>
        </w:numPr>
        <w:rPr>
          <w:rFonts w:ascii="Arial" w:hAnsi="Arial" w:cs="Arial"/>
          <w:b/>
          <w:sz w:val="24"/>
          <w:szCs w:val="24"/>
        </w:rPr>
      </w:pPr>
      <w:r w:rsidRPr="000D756E">
        <w:rPr>
          <w:rFonts w:ascii="Arial" w:hAnsi="Arial" w:cs="Arial"/>
          <w:b/>
          <w:sz w:val="24"/>
          <w:szCs w:val="24"/>
        </w:rPr>
        <w:t xml:space="preserve">FINANCIAL INSTRUMENTS </w:t>
      </w:r>
      <w:r w:rsidR="003324BD" w:rsidRPr="000D756E">
        <w:rPr>
          <w:rFonts w:ascii="Arial" w:hAnsi="Arial" w:cs="Arial"/>
          <w:b/>
          <w:sz w:val="24"/>
          <w:szCs w:val="24"/>
        </w:rPr>
        <w:t xml:space="preserve"> </w:t>
      </w:r>
    </w:p>
    <w:p w14:paraId="453F8585" w14:textId="77777777" w:rsidR="002544DF" w:rsidRPr="000D756E" w:rsidRDefault="002544DF" w:rsidP="002A7C01">
      <w:pPr>
        <w:rPr>
          <w:rFonts w:ascii="Arial" w:hAnsi="Arial" w:cs="Arial"/>
          <w:sz w:val="24"/>
          <w:szCs w:val="24"/>
        </w:rPr>
      </w:pPr>
    </w:p>
    <w:p w14:paraId="30F22332" w14:textId="3640EF7B" w:rsidR="002544DF" w:rsidRPr="000D756E" w:rsidRDefault="002544DF" w:rsidP="002A7C01">
      <w:pPr>
        <w:rPr>
          <w:rFonts w:ascii="Arial" w:hAnsi="Arial" w:cs="Arial"/>
          <w:b/>
          <w:sz w:val="24"/>
          <w:szCs w:val="24"/>
        </w:rPr>
      </w:pPr>
      <w:r w:rsidRPr="000D756E">
        <w:rPr>
          <w:rFonts w:ascii="Arial" w:hAnsi="Arial" w:cs="Arial"/>
          <w:b/>
          <w:sz w:val="24"/>
          <w:szCs w:val="24"/>
        </w:rPr>
        <w:t>Categories of Financial Instrument</w:t>
      </w:r>
      <w:r w:rsidR="00172F09" w:rsidRPr="000D756E">
        <w:rPr>
          <w:rFonts w:ascii="Arial" w:hAnsi="Arial" w:cs="Arial"/>
          <w:b/>
          <w:sz w:val="24"/>
          <w:szCs w:val="24"/>
        </w:rPr>
        <w:t>s</w:t>
      </w:r>
    </w:p>
    <w:p w14:paraId="543D13DF" w14:textId="77777777" w:rsidR="006B7489" w:rsidRPr="000D756E" w:rsidRDefault="002544DF" w:rsidP="002A7C01">
      <w:pPr>
        <w:rPr>
          <w:rFonts w:ascii="Arial" w:hAnsi="Arial" w:cs="Arial"/>
          <w:sz w:val="24"/>
          <w:szCs w:val="24"/>
        </w:rPr>
      </w:pPr>
      <w:r w:rsidRPr="000D756E">
        <w:rPr>
          <w:rFonts w:ascii="Arial" w:hAnsi="Arial" w:cs="Arial"/>
          <w:sz w:val="24"/>
          <w:szCs w:val="24"/>
        </w:rPr>
        <w:t>The following categories of financial instrument are carried in the Balance Sheet:</w:t>
      </w:r>
    </w:p>
    <w:p w14:paraId="463042A1" w14:textId="77777777" w:rsidR="00243CF3" w:rsidRPr="000D756E" w:rsidRDefault="00243CF3" w:rsidP="002A7C01">
      <w:pPr>
        <w:rPr>
          <w:rFonts w:ascii="Arial" w:hAnsi="Arial" w:cs="Arial"/>
          <w:sz w:val="24"/>
          <w:szCs w:val="24"/>
        </w:rPr>
      </w:pPr>
    </w:p>
    <w:tbl>
      <w:tblPr>
        <w:tblW w:w="9648" w:type="dxa"/>
        <w:tblInd w:w="-601" w:type="dxa"/>
        <w:tblLook w:val="01E0" w:firstRow="1" w:lastRow="1" w:firstColumn="1" w:lastColumn="1" w:noHBand="0" w:noVBand="0"/>
      </w:tblPr>
      <w:tblGrid>
        <w:gridCol w:w="4395"/>
        <w:gridCol w:w="1276"/>
        <w:gridCol w:w="1417"/>
        <w:gridCol w:w="1292"/>
        <w:gridCol w:w="1268"/>
      </w:tblGrid>
      <w:tr w:rsidR="006329E6" w:rsidRPr="000D756E" w14:paraId="068C91DA" w14:textId="77777777" w:rsidTr="00F457DB">
        <w:trPr>
          <w:trHeight w:val="259"/>
        </w:trPr>
        <w:tc>
          <w:tcPr>
            <w:tcW w:w="4395" w:type="dxa"/>
            <w:tcBorders>
              <w:top w:val="single" w:sz="4" w:space="0" w:color="auto"/>
              <w:left w:val="single" w:sz="4" w:space="0" w:color="auto"/>
              <w:bottom w:val="single" w:sz="4" w:space="0" w:color="auto"/>
              <w:right w:val="single" w:sz="4" w:space="0" w:color="auto"/>
            </w:tcBorders>
          </w:tcPr>
          <w:p w14:paraId="4478F48D" w14:textId="77777777" w:rsidR="005B0E03" w:rsidRPr="000D756E" w:rsidRDefault="005B0E03" w:rsidP="002A7C01">
            <w:pPr>
              <w:rPr>
                <w:rFonts w:ascii="Arial" w:hAnsi="Arial" w:cs="Arial"/>
                <w:sz w:val="24"/>
                <w:szCs w:val="24"/>
              </w:rPr>
            </w:pPr>
          </w:p>
        </w:tc>
        <w:tc>
          <w:tcPr>
            <w:tcW w:w="2693" w:type="dxa"/>
            <w:gridSpan w:val="2"/>
            <w:tcBorders>
              <w:top w:val="single" w:sz="4" w:space="0" w:color="auto"/>
              <w:left w:val="single" w:sz="4" w:space="0" w:color="auto"/>
              <w:bottom w:val="single" w:sz="4" w:space="0" w:color="auto"/>
              <w:right w:val="single" w:sz="4" w:space="0" w:color="auto"/>
            </w:tcBorders>
          </w:tcPr>
          <w:p w14:paraId="6F4AABCC" w14:textId="77777777" w:rsidR="005B0E03" w:rsidRPr="000D756E" w:rsidRDefault="005B0E03" w:rsidP="0004335B">
            <w:pPr>
              <w:jc w:val="center"/>
              <w:rPr>
                <w:rFonts w:ascii="Arial" w:hAnsi="Arial" w:cs="Arial"/>
                <w:b/>
                <w:sz w:val="24"/>
                <w:szCs w:val="24"/>
              </w:rPr>
            </w:pPr>
            <w:r w:rsidRPr="000D756E">
              <w:rPr>
                <w:rFonts w:ascii="Arial" w:hAnsi="Arial" w:cs="Arial"/>
                <w:b/>
                <w:sz w:val="24"/>
                <w:szCs w:val="24"/>
              </w:rPr>
              <w:t>Long Term</w:t>
            </w:r>
          </w:p>
        </w:tc>
        <w:tc>
          <w:tcPr>
            <w:tcW w:w="2560" w:type="dxa"/>
            <w:gridSpan w:val="2"/>
            <w:tcBorders>
              <w:top w:val="single" w:sz="4" w:space="0" w:color="auto"/>
              <w:left w:val="single" w:sz="4" w:space="0" w:color="auto"/>
              <w:bottom w:val="single" w:sz="4" w:space="0" w:color="auto"/>
              <w:right w:val="single" w:sz="4" w:space="0" w:color="auto"/>
            </w:tcBorders>
          </w:tcPr>
          <w:p w14:paraId="1EADA480" w14:textId="77777777" w:rsidR="005B0E03" w:rsidRPr="000D756E" w:rsidRDefault="005B0E03" w:rsidP="0004335B">
            <w:pPr>
              <w:jc w:val="center"/>
              <w:rPr>
                <w:rFonts w:ascii="Arial" w:hAnsi="Arial" w:cs="Arial"/>
                <w:b/>
                <w:sz w:val="24"/>
                <w:szCs w:val="24"/>
              </w:rPr>
            </w:pPr>
            <w:r w:rsidRPr="000D756E">
              <w:rPr>
                <w:rFonts w:ascii="Arial" w:hAnsi="Arial" w:cs="Arial"/>
                <w:b/>
                <w:sz w:val="24"/>
                <w:szCs w:val="24"/>
              </w:rPr>
              <w:t>Current</w:t>
            </w:r>
          </w:p>
        </w:tc>
      </w:tr>
      <w:tr w:rsidR="006329E6" w:rsidRPr="000D756E" w14:paraId="684835F8" w14:textId="77777777" w:rsidTr="00F457DB">
        <w:tc>
          <w:tcPr>
            <w:tcW w:w="4395" w:type="dxa"/>
            <w:tcBorders>
              <w:top w:val="single" w:sz="4" w:space="0" w:color="auto"/>
              <w:left w:val="single" w:sz="4" w:space="0" w:color="auto"/>
              <w:bottom w:val="single" w:sz="4" w:space="0" w:color="auto"/>
              <w:right w:val="single" w:sz="4" w:space="0" w:color="auto"/>
            </w:tcBorders>
          </w:tcPr>
          <w:p w14:paraId="59C41962" w14:textId="77777777" w:rsidR="003B7E4D" w:rsidRPr="000D756E" w:rsidRDefault="003B7E4D" w:rsidP="003B7E4D">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0E9F7D" w14:textId="13789521" w:rsidR="003B7E4D" w:rsidRPr="000D756E" w:rsidRDefault="003B7E4D" w:rsidP="003B7E4D">
            <w:pPr>
              <w:jc w:val="right"/>
              <w:rPr>
                <w:rFonts w:ascii="Arial" w:hAnsi="Arial" w:cs="Arial"/>
                <w:b/>
                <w:sz w:val="22"/>
                <w:szCs w:val="22"/>
              </w:rPr>
            </w:pPr>
            <w:r w:rsidRPr="000D756E">
              <w:rPr>
                <w:rFonts w:ascii="Arial" w:hAnsi="Arial" w:cs="Arial"/>
                <w:b/>
                <w:sz w:val="22"/>
                <w:szCs w:val="22"/>
              </w:rPr>
              <w:t xml:space="preserve">31 March </w:t>
            </w:r>
            <w:r w:rsidR="009B0AC1" w:rsidRPr="000D756E">
              <w:rPr>
                <w:rFonts w:ascii="Arial" w:hAnsi="Arial" w:cs="Arial"/>
                <w:b/>
                <w:sz w:val="22"/>
                <w:szCs w:val="22"/>
              </w:rPr>
              <w:t>202</w:t>
            </w:r>
            <w:r w:rsidR="000C0F3E">
              <w:rPr>
                <w:rFonts w:ascii="Arial" w:hAnsi="Arial" w:cs="Arial"/>
                <w:b/>
                <w:sz w:val="22"/>
                <w:szCs w:val="22"/>
              </w:rPr>
              <w:t>5</w:t>
            </w:r>
          </w:p>
          <w:p w14:paraId="730964E9" w14:textId="77777777" w:rsidR="003B7E4D" w:rsidRPr="000D756E" w:rsidRDefault="003B7E4D" w:rsidP="003B7E4D">
            <w:pPr>
              <w:jc w:val="right"/>
              <w:rPr>
                <w:rFonts w:ascii="Arial" w:hAnsi="Arial" w:cs="Arial"/>
                <w:b/>
                <w:sz w:val="22"/>
                <w:szCs w:val="22"/>
              </w:rPr>
            </w:pPr>
            <w:r w:rsidRPr="000D756E">
              <w:rPr>
                <w:rFonts w:ascii="Arial" w:hAnsi="Arial" w:cs="Arial"/>
                <w:b/>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75DD3391" w14:textId="27CD7343" w:rsidR="003B7E4D" w:rsidRPr="000D756E" w:rsidRDefault="003B7E4D" w:rsidP="003B7E4D">
            <w:pPr>
              <w:jc w:val="right"/>
              <w:rPr>
                <w:rFonts w:ascii="Arial" w:hAnsi="Arial" w:cs="Arial"/>
                <w:b/>
                <w:sz w:val="22"/>
                <w:szCs w:val="22"/>
              </w:rPr>
            </w:pPr>
            <w:r w:rsidRPr="000D756E">
              <w:rPr>
                <w:rFonts w:ascii="Arial" w:hAnsi="Arial" w:cs="Arial"/>
                <w:b/>
                <w:sz w:val="22"/>
                <w:szCs w:val="22"/>
              </w:rPr>
              <w:t xml:space="preserve">31 March </w:t>
            </w:r>
            <w:r w:rsidR="009B0AC1" w:rsidRPr="000D756E">
              <w:rPr>
                <w:rFonts w:ascii="Arial" w:hAnsi="Arial" w:cs="Arial"/>
                <w:b/>
                <w:sz w:val="22"/>
                <w:szCs w:val="22"/>
              </w:rPr>
              <w:t>202</w:t>
            </w:r>
            <w:r w:rsidR="000C0F3E">
              <w:rPr>
                <w:rFonts w:ascii="Arial" w:hAnsi="Arial" w:cs="Arial"/>
                <w:b/>
                <w:sz w:val="22"/>
                <w:szCs w:val="22"/>
              </w:rPr>
              <w:t>4</w:t>
            </w:r>
          </w:p>
          <w:p w14:paraId="728DFEB8" w14:textId="421037D7" w:rsidR="003B7E4D" w:rsidRPr="000D756E" w:rsidRDefault="003B7E4D" w:rsidP="003B7E4D">
            <w:pPr>
              <w:jc w:val="right"/>
              <w:rPr>
                <w:rFonts w:ascii="Arial" w:hAnsi="Arial" w:cs="Arial"/>
                <w:b/>
                <w:sz w:val="22"/>
                <w:szCs w:val="22"/>
              </w:rPr>
            </w:pPr>
            <w:r w:rsidRPr="000D756E">
              <w:rPr>
                <w:rFonts w:ascii="Arial" w:hAnsi="Arial" w:cs="Arial"/>
                <w:b/>
                <w:sz w:val="22"/>
                <w:szCs w:val="22"/>
              </w:rPr>
              <w:t>£’000</w:t>
            </w:r>
          </w:p>
        </w:tc>
        <w:tc>
          <w:tcPr>
            <w:tcW w:w="1292" w:type="dxa"/>
            <w:tcBorders>
              <w:top w:val="single" w:sz="4" w:space="0" w:color="auto"/>
              <w:left w:val="single" w:sz="4" w:space="0" w:color="auto"/>
              <w:bottom w:val="single" w:sz="4" w:space="0" w:color="auto"/>
              <w:right w:val="single" w:sz="4" w:space="0" w:color="auto"/>
            </w:tcBorders>
          </w:tcPr>
          <w:p w14:paraId="4C71C6FD" w14:textId="2BB11923" w:rsidR="003B7E4D" w:rsidRPr="000D756E" w:rsidRDefault="003B7E4D" w:rsidP="003B7E4D">
            <w:pPr>
              <w:jc w:val="right"/>
              <w:rPr>
                <w:rFonts w:ascii="Arial" w:hAnsi="Arial" w:cs="Arial"/>
                <w:b/>
                <w:sz w:val="22"/>
                <w:szCs w:val="22"/>
              </w:rPr>
            </w:pPr>
            <w:r w:rsidRPr="000D756E">
              <w:rPr>
                <w:rFonts w:ascii="Arial" w:hAnsi="Arial" w:cs="Arial"/>
                <w:b/>
                <w:sz w:val="22"/>
                <w:szCs w:val="22"/>
              </w:rPr>
              <w:t xml:space="preserve">31 March </w:t>
            </w:r>
            <w:r w:rsidR="009B0AC1" w:rsidRPr="000D756E">
              <w:rPr>
                <w:rFonts w:ascii="Arial" w:hAnsi="Arial" w:cs="Arial"/>
                <w:b/>
                <w:sz w:val="22"/>
                <w:szCs w:val="22"/>
              </w:rPr>
              <w:t>202</w:t>
            </w:r>
            <w:r w:rsidR="00597713">
              <w:rPr>
                <w:rFonts w:ascii="Arial" w:hAnsi="Arial" w:cs="Arial"/>
                <w:b/>
                <w:sz w:val="22"/>
                <w:szCs w:val="22"/>
              </w:rPr>
              <w:t>5</w:t>
            </w:r>
          </w:p>
          <w:p w14:paraId="43EBB259" w14:textId="77777777" w:rsidR="003B7E4D" w:rsidRPr="000D756E" w:rsidRDefault="003B7E4D" w:rsidP="003B7E4D">
            <w:pPr>
              <w:jc w:val="right"/>
              <w:rPr>
                <w:rFonts w:ascii="Arial" w:hAnsi="Arial" w:cs="Arial"/>
                <w:b/>
                <w:sz w:val="22"/>
                <w:szCs w:val="22"/>
              </w:rPr>
            </w:pPr>
            <w:r w:rsidRPr="000D756E">
              <w:rPr>
                <w:rFonts w:ascii="Arial" w:hAnsi="Arial" w:cs="Arial"/>
                <w:b/>
                <w:sz w:val="22"/>
                <w:szCs w:val="22"/>
              </w:rPr>
              <w:t>£’000</w:t>
            </w:r>
          </w:p>
        </w:tc>
        <w:tc>
          <w:tcPr>
            <w:tcW w:w="1268" w:type="dxa"/>
            <w:tcBorders>
              <w:top w:val="single" w:sz="4" w:space="0" w:color="auto"/>
              <w:left w:val="single" w:sz="4" w:space="0" w:color="auto"/>
              <w:bottom w:val="single" w:sz="4" w:space="0" w:color="auto"/>
              <w:right w:val="single" w:sz="4" w:space="0" w:color="auto"/>
            </w:tcBorders>
          </w:tcPr>
          <w:p w14:paraId="289E770A" w14:textId="086623E8" w:rsidR="009B0AC1" w:rsidRPr="000D756E" w:rsidRDefault="009B0AC1" w:rsidP="009B0AC1">
            <w:pPr>
              <w:jc w:val="right"/>
              <w:rPr>
                <w:rFonts w:ascii="Arial" w:hAnsi="Arial" w:cs="Arial"/>
                <w:b/>
                <w:sz w:val="22"/>
                <w:szCs w:val="22"/>
              </w:rPr>
            </w:pPr>
            <w:r w:rsidRPr="000D756E">
              <w:rPr>
                <w:rFonts w:ascii="Arial" w:hAnsi="Arial" w:cs="Arial"/>
                <w:b/>
                <w:sz w:val="22"/>
                <w:szCs w:val="22"/>
              </w:rPr>
              <w:t>31 March 202</w:t>
            </w:r>
            <w:r w:rsidR="000C0F3E">
              <w:rPr>
                <w:rFonts w:ascii="Arial" w:hAnsi="Arial" w:cs="Arial"/>
                <w:b/>
                <w:sz w:val="22"/>
                <w:szCs w:val="22"/>
              </w:rPr>
              <w:t>4</w:t>
            </w:r>
          </w:p>
          <w:p w14:paraId="7C912BBF" w14:textId="6249724E" w:rsidR="003B7E4D" w:rsidRPr="000D756E" w:rsidRDefault="003B7E4D" w:rsidP="003B7E4D">
            <w:pPr>
              <w:jc w:val="right"/>
              <w:rPr>
                <w:rFonts w:ascii="Arial" w:hAnsi="Arial" w:cs="Arial"/>
                <w:b/>
                <w:sz w:val="22"/>
                <w:szCs w:val="22"/>
              </w:rPr>
            </w:pPr>
            <w:r w:rsidRPr="000D756E">
              <w:rPr>
                <w:rFonts w:ascii="Arial" w:hAnsi="Arial" w:cs="Arial"/>
                <w:b/>
                <w:sz w:val="22"/>
                <w:szCs w:val="22"/>
              </w:rPr>
              <w:t>£’000</w:t>
            </w:r>
          </w:p>
        </w:tc>
      </w:tr>
      <w:tr w:rsidR="000C0F3E" w:rsidRPr="000D756E" w14:paraId="6EB7D438" w14:textId="77777777" w:rsidTr="00F457DB">
        <w:tc>
          <w:tcPr>
            <w:tcW w:w="4395" w:type="dxa"/>
            <w:tcBorders>
              <w:top w:val="single" w:sz="4" w:space="0" w:color="auto"/>
              <w:left w:val="single" w:sz="4" w:space="0" w:color="auto"/>
              <w:bottom w:val="single" w:sz="4" w:space="0" w:color="auto"/>
              <w:right w:val="single" w:sz="4" w:space="0" w:color="auto"/>
            </w:tcBorders>
          </w:tcPr>
          <w:p w14:paraId="354B6767" w14:textId="77777777" w:rsidR="000C0F3E" w:rsidRPr="000D756E" w:rsidRDefault="000C0F3E" w:rsidP="000C0F3E">
            <w:pPr>
              <w:rPr>
                <w:rFonts w:ascii="Arial" w:hAnsi="Arial" w:cs="Arial"/>
                <w:b/>
                <w:sz w:val="24"/>
                <w:szCs w:val="24"/>
              </w:rPr>
            </w:pPr>
            <w:r w:rsidRPr="000D756E">
              <w:rPr>
                <w:rFonts w:ascii="Arial" w:hAnsi="Arial" w:cs="Arial"/>
                <w:b/>
                <w:sz w:val="24"/>
                <w:szCs w:val="24"/>
              </w:rPr>
              <w:t>Cash and cash equivalents</w:t>
            </w:r>
          </w:p>
          <w:p w14:paraId="28CA9B02" w14:textId="77777777" w:rsidR="000C0F3E" w:rsidRPr="000D756E" w:rsidRDefault="000C0F3E" w:rsidP="000C0F3E">
            <w:pPr>
              <w:rPr>
                <w:rFonts w:ascii="Arial" w:hAnsi="Arial" w:cs="Arial"/>
                <w:sz w:val="24"/>
                <w:szCs w:val="24"/>
              </w:rPr>
            </w:pPr>
            <w:r w:rsidRPr="000D756E">
              <w:rPr>
                <w:rFonts w:ascii="Arial" w:hAnsi="Arial" w:cs="Arial"/>
                <w:sz w:val="24"/>
                <w:szCs w:val="24"/>
              </w:rPr>
              <w:t>Cash and bank accounts</w:t>
            </w:r>
          </w:p>
          <w:p w14:paraId="7FA9653A" w14:textId="77777777" w:rsidR="000C0F3E" w:rsidRPr="000D756E" w:rsidRDefault="000C0F3E" w:rsidP="000C0F3E">
            <w:pPr>
              <w:rPr>
                <w:rFonts w:ascii="Arial" w:hAnsi="Arial" w:cs="Arial"/>
                <w:sz w:val="24"/>
                <w:szCs w:val="24"/>
              </w:rPr>
            </w:pPr>
            <w:r w:rsidRPr="000D756E">
              <w:rPr>
                <w:rFonts w:ascii="Arial" w:hAnsi="Arial" w:cs="Arial"/>
                <w:sz w:val="24"/>
                <w:szCs w:val="24"/>
              </w:rPr>
              <w:t>Short term deposits with bank</w:t>
            </w:r>
          </w:p>
          <w:p w14:paraId="209D698B" w14:textId="77777777" w:rsidR="000C0F3E" w:rsidRPr="000D756E" w:rsidRDefault="000C0F3E" w:rsidP="000C0F3E">
            <w:pPr>
              <w:rPr>
                <w:rFonts w:ascii="Arial" w:hAnsi="Arial" w:cs="Arial"/>
                <w:sz w:val="24"/>
                <w:szCs w:val="24"/>
              </w:rPr>
            </w:pPr>
            <w:r w:rsidRPr="000D756E">
              <w:rPr>
                <w:rFonts w:ascii="Arial" w:hAnsi="Arial" w:cs="Arial"/>
                <w:sz w:val="24"/>
                <w:szCs w:val="24"/>
              </w:rPr>
              <w:t xml:space="preserve">Short term deposits with local authorities                                             </w:t>
            </w:r>
          </w:p>
        </w:tc>
        <w:tc>
          <w:tcPr>
            <w:tcW w:w="1276" w:type="dxa"/>
            <w:tcBorders>
              <w:top w:val="single" w:sz="4" w:space="0" w:color="auto"/>
              <w:left w:val="single" w:sz="4" w:space="0" w:color="auto"/>
              <w:bottom w:val="single" w:sz="4" w:space="0" w:color="auto"/>
              <w:right w:val="single" w:sz="4" w:space="0" w:color="auto"/>
            </w:tcBorders>
          </w:tcPr>
          <w:p w14:paraId="577FA315" w14:textId="77777777" w:rsidR="000C0F3E" w:rsidRPr="000D756E" w:rsidRDefault="000C0F3E" w:rsidP="000C0F3E">
            <w:pPr>
              <w:jc w:val="right"/>
              <w:rPr>
                <w:rFonts w:ascii="Arial" w:hAnsi="Arial" w:cs="Arial"/>
                <w:sz w:val="24"/>
                <w:szCs w:val="24"/>
              </w:rPr>
            </w:pPr>
          </w:p>
          <w:p w14:paraId="3C10DA51" w14:textId="4D564337" w:rsidR="000C0F3E" w:rsidRPr="000D756E" w:rsidRDefault="000C0F3E" w:rsidP="000C0F3E">
            <w:pPr>
              <w:jc w:val="right"/>
              <w:rPr>
                <w:rFonts w:ascii="Arial" w:hAnsi="Arial" w:cs="Arial"/>
                <w:sz w:val="24"/>
                <w:szCs w:val="24"/>
              </w:rPr>
            </w:pPr>
            <w:r w:rsidRPr="000D756E">
              <w:rPr>
                <w:rFonts w:ascii="Arial" w:hAnsi="Arial" w:cs="Arial"/>
                <w:sz w:val="24"/>
                <w:szCs w:val="24"/>
              </w:rPr>
              <w:t>0</w:t>
            </w:r>
          </w:p>
          <w:p w14:paraId="6174F9A3" w14:textId="49AA16F6" w:rsidR="000C0F3E" w:rsidRPr="000D756E" w:rsidRDefault="000C0F3E" w:rsidP="000C0F3E">
            <w:pPr>
              <w:jc w:val="right"/>
              <w:rPr>
                <w:rFonts w:ascii="Arial" w:hAnsi="Arial" w:cs="Arial"/>
                <w:sz w:val="24"/>
                <w:szCs w:val="24"/>
              </w:rPr>
            </w:pPr>
            <w:r w:rsidRPr="000D756E">
              <w:rPr>
                <w:rFonts w:ascii="Arial" w:hAnsi="Arial" w:cs="Arial"/>
                <w:sz w:val="24"/>
                <w:szCs w:val="24"/>
              </w:rPr>
              <w:t>0</w:t>
            </w:r>
          </w:p>
          <w:p w14:paraId="238EB1BC" w14:textId="320E8D4B" w:rsidR="000C0F3E" w:rsidRPr="000D756E" w:rsidRDefault="000C0F3E" w:rsidP="000C0F3E">
            <w:pPr>
              <w:jc w:val="right"/>
              <w:rPr>
                <w:rFonts w:ascii="Arial" w:hAnsi="Arial" w:cs="Arial"/>
                <w:sz w:val="24"/>
                <w:szCs w:val="24"/>
              </w:rPr>
            </w:pPr>
            <w:r w:rsidRPr="000D756E">
              <w:rPr>
                <w:rFonts w:ascii="Arial" w:hAnsi="Arial" w:cs="Arial"/>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0841D60F" w14:textId="77777777" w:rsidR="000C0F3E" w:rsidRPr="000D756E" w:rsidRDefault="000C0F3E" w:rsidP="000C0F3E">
            <w:pPr>
              <w:jc w:val="right"/>
              <w:rPr>
                <w:rFonts w:ascii="Arial" w:hAnsi="Arial" w:cs="Arial"/>
                <w:sz w:val="24"/>
                <w:szCs w:val="24"/>
              </w:rPr>
            </w:pPr>
          </w:p>
          <w:p w14:paraId="60BDBBB7" w14:textId="7A120D35" w:rsidR="000C0F3E" w:rsidRPr="000D756E" w:rsidRDefault="000C0F3E" w:rsidP="000C0F3E">
            <w:pPr>
              <w:jc w:val="right"/>
              <w:rPr>
                <w:rFonts w:ascii="Arial" w:hAnsi="Arial" w:cs="Arial"/>
                <w:sz w:val="24"/>
                <w:szCs w:val="24"/>
              </w:rPr>
            </w:pPr>
            <w:r w:rsidRPr="000D756E">
              <w:rPr>
                <w:rFonts w:ascii="Arial" w:hAnsi="Arial" w:cs="Arial"/>
                <w:sz w:val="24"/>
                <w:szCs w:val="24"/>
              </w:rPr>
              <w:t>0</w:t>
            </w:r>
          </w:p>
          <w:p w14:paraId="69D74A23" w14:textId="45D7011F" w:rsidR="000C0F3E" w:rsidRPr="000D756E" w:rsidRDefault="000C0F3E" w:rsidP="000C0F3E">
            <w:pPr>
              <w:jc w:val="right"/>
              <w:rPr>
                <w:rFonts w:ascii="Arial" w:hAnsi="Arial" w:cs="Arial"/>
                <w:sz w:val="24"/>
                <w:szCs w:val="24"/>
              </w:rPr>
            </w:pPr>
            <w:r w:rsidRPr="000D756E">
              <w:rPr>
                <w:rFonts w:ascii="Arial" w:hAnsi="Arial" w:cs="Arial"/>
                <w:sz w:val="24"/>
                <w:szCs w:val="24"/>
              </w:rPr>
              <w:t>0</w:t>
            </w:r>
          </w:p>
          <w:p w14:paraId="5F7DC524" w14:textId="575A3F91" w:rsidR="000C0F3E" w:rsidRPr="000D756E" w:rsidRDefault="000C0F3E" w:rsidP="000C0F3E">
            <w:pPr>
              <w:jc w:val="right"/>
              <w:rPr>
                <w:rFonts w:ascii="Arial" w:hAnsi="Arial" w:cs="Arial"/>
                <w:sz w:val="24"/>
                <w:szCs w:val="24"/>
              </w:rPr>
            </w:pPr>
            <w:r w:rsidRPr="000D756E">
              <w:rPr>
                <w:rFonts w:ascii="Arial" w:hAnsi="Arial" w:cs="Arial"/>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057D275E" w14:textId="77777777" w:rsidR="001E215B" w:rsidRDefault="001E215B" w:rsidP="2DDE5693">
            <w:pPr>
              <w:jc w:val="right"/>
              <w:rPr>
                <w:rFonts w:ascii="Arial" w:hAnsi="Arial" w:cs="Arial"/>
                <w:sz w:val="24"/>
                <w:szCs w:val="24"/>
              </w:rPr>
            </w:pPr>
          </w:p>
          <w:p w14:paraId="7DFE1E5F" w14:textId="57A9CEEC" w:rsidR="000C0F3E" w:rsidRPr="000D756E" w:rsidRDefault="002C061B" w:rsidP="002C061B">
            <w:pPr>
              <w:jc w:val="right"/>
              <w:rPr>
                <w:rFonts w:ascii="Arial" w:hAnsi="Arial" w:cs="Arial"/>
                <w:sz w:val="24"/>
                <w:szCs w:val="24"/>
              </w:rPr>
            </w:pPr>
            <w:r>
              <w:rPr>
                <w:rFonts w:ascii="Arial" w:hAnsi="Arial" w:cs="Arial"/>
                <w:sz w:val="24"/>
                <w:szCs w:val="24"/>
              </w:rPr>
              <w:t>-</w:t>
            </w:r>
            <w:r w:rsidR="15BA82AF" w:rsidRPr="2DDE5693">
              <w:rPr>
                <w:rFonts w:ascii="Arial" w:hAnsi="Arial" w:cs="Arial"/>
                <w:sz w:val="24"/>
                <w:szCs w:val="24"/>
              </w:rPr>
              <w:t>113</w:t>
            </w:r>
          </w:p>
          <w:p w14:paraId="56E4D525" w14:textId="1B416283" w:rsidR="000C0F3E" w:rsidRPr="000D756E" w:rsidRDefault="002C061B" w:rsidP="000C0F3E">
            <w:pPr>
              <w:jc w:val="right"/>
              <w:rPr>
                <w:rFonts w:ascii="Arial" w:hAnsi="Arial" w:cs="Arial"/>
                <w:sz w:val="24"/>
                <w:szCs w:val="24"/>
              </w:rPr>
            </w:pPr>
            <w:r>
              <w:rPr>
                <w:rFonts w:ascii="Arial" w:hAnsi="Arial" w:cs="Arial"/>
                <w:sz w:val="24"/>
                <w:szCs w:val="24"/>
              </w:rPr>
              <w:t>8,500</w:t>
            </w:r>
          </w:p>
        </w:tc>
        <w:tc>
          <w:tcPr>
            <w:tcW w:w="1268" w:type="dxa"/>
            <w:tcBorders>
              <w:top w:val="single" w:sz="4" w:space="0" w:color="auto"/>
              <w:left w:val="single" w:sz="4" w:space="0" w:color="auto"/>
              <w:bottom w:val="single" w:sz="4" w:space="0" w:color="auto"/>
              <w:right w:val="single" w:sz="4" w:space="0" w:color="auto"/>
            </w:tcBorders>
          </w:tcPr>
          <w:p w14:paraId="550C5DE3" w14:textId="77777777" w:rsidR="000C0F3E" w:rsidRPr="000D756E" w:rsidRDefault="000C0F3E" w:rsidP="000C0F3E">
            <w:pPr>
              <w:jc w:val="right"/>
              <w:rPr>
                <w:rFonts w:ascii="Arial" w:hAnsi="Arial" w:cs="Arial"/>
                <w:sz w:val="24"/>
                <w:szCs w:val="24"/>
              </w:rPr>
            </w:pPr>
          </w:p>
          <w:p w14:paraId="567ABC5C" w14:textId="77777777" w:rsidR="000C0F3E" w:rsidRPr="000D756E" w:rsidRDefault="000C0F3E" w:rsidP="000C0F3E">
            <w:pPr>
              <w:jc w:val="right"/>
              <w:rPr>
                <w:rFonts w:ascii="Arial" w:hAnsi="Arial" w:cs="Arial"/>
                <w:sz w:val="24"/>
                <w:szCs w:val="24"/>
              </w:rPr>
            </w:pPr>
            <w:r w:rsidRPr="000D756E">
              <w:rPr>
                <w:rFonts w:ascii="Arial" w:hAnsi="Arial" w:cs="Arial"/>
                <w:sz w:val="24"/>
                <w:szCs w:val="24"/>
              </w:rPr>
              <w:t>12</w:t>
            </w:r>
          </w:p>
          <w:p w14:paraId="4A991B44" w14:textId="3D98E8AB" w:rsidR="000C0F3E" w:rsidRPr="000D756E" w:rsidRDefault="000C0F3E" w:rsidP="000C0F3E">
            <w:pPr>
              <w:jc w:val="right"/>
              <w:rPr>
                <w:rFonts w:ascii="Arial" w:hAnsi="Arial" w:cs="Arial"/>
                <w:sz w:val="24"/>
                <w:szCs w:val="24"/>
              </w:rPr>
            </w:pPr>
            <w:r w:rsidRPr="000D756E">
              <w:rPr>
                <w:rFonts w:ascii="Arial" w:hAnsi="Arial" w:cs="Arial"/>
                <w:sz w:val="24"/>
                <w:szCs w:val="24"/>
              </w:rPr>
              <w:t>6,000</w:t>
            </w:r>
          </w:p>
        </w:tc>
      </w:tr>
      <w:tr w:rsidR="000C0F3E" w:rsidRPr="000D756E" w14:paraId="662B9700" w14:textId="77777777" w:rsidTr="00F457DB">
        <w:tc>
          <w:tcPr>
            <w:tcW w:w="4395" w:type="dxa"/>
            <w:tcBorders>
              <w:top w:val="single" w:sz="4" w:space="0" w:color="auto"/>
              <w:left w:val="single" w:sz="4" w:space="0" w:color="auto"/>
              <w:bottom w:val="single" w:sz="4" w:space="0" w:color="auto"/>
              <w:right w:val="single" w:sz="4" w:space="0" w:color="auto"/>
            </w:tcBorders>
          </w:tcPr>
          <w:p w14:paraId="1D55645A" w14:textId="77777777" w:rsidR="000C0F3E" w:rsidRPr="000D756E" w:rsidRDefault="000C0F3E" w:rsidP="000C0F3E">
            <w:pPr>
              <w:rPr>
                <w:rFonts w:ascii="Arial" w:hAnsi="Arial" w:cs="Arial"/>
                <w:b/>
                <w:sz w:val="24"/>
                <w:szCs w:val="24"/>
              </w:rPr>
            </w:pPr>
            <w:r w:rsidRPr="000D756E">
              <w:rPr>
                <w:rFonts w:ascii="Arial" w:hAnsi="Arial" w:cs="Arial"/>
                <w:b/>
                <w:sz w:val="24"/>
                <w:szCs w:val="24"/>
              </w:rPr>
              <w:t>Total cash and cash equivalents</w:t>
            </w:r>
          </w:p>
        </w:tc>
        <w:tc>
          <w:tcPr>
            <w:tcW w:w="1276" w:type="dxa"/>
            <w:tcBorders>
              <w:top w:val="single" w:sz="4" w:space="0" w:color="auto"/>
              <w:left w:val="single" w:sz="4" w:space="0" w:color="auto"/>
              <w:bottom w:val="single" w:sz="4" w:space="0" w:color="auto"/>
              <w:right w:val="single" w:sz="4" w:space="0" w:color="auto"/>
            </w:tcBorders>
          </w:tcPr>
          <w:p w14:paraId="6FF79BD9" w14:textId="003D1101" w:rsidR="000C0F3E" w:rsidRPr="000D756E" w:rsidRDefault="000C0F3E" w:rsidP="000C0F3E">
            <w:pPr>
              <w:jc w:val="right"/>
              <w:rPr>
                <w:rFonts w:ascii="Arial" w:hAnsi="Arial" w:cs="Arial"/>
                <w:b/>
                <w:sz w:val="24"/>
                <w:szCs w:val="24"/>
              </w:rPr>
            </w:pPr>
            <w:r w:rsidRPr="000D756E">
              <w:rPr>
                <w:rFonts w:ascii="Arial" w:hAnsi="Arial" w:cs="Arial"/>
                <w:b/>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0922B4CB" w14:textId="1A8F7627" w:rsidR="000C0F3E" w:rsidRPr="000D756E" w:rsidRDefault="000C0F3E" w:rsidP="000C0F3E">
            <w:pPr>
              <w:jc w:val="right"/>
              <w:rPr>
                <w:rFonts w:ascii="Arial" w:hAnsi="Arial" w:cs="Arial"/>
                <w:b/>
                <w:sz w:val="24"/>
                <w:szCs w:val="24"/>
              </w:rPr>
            </w:pPr>
            <w:r w:rsidRPr="000D756E">
              <w:rPr>
                <w:rFonts w:ascii="Arial" w:hAnsi="Arial" w:cs="Arial"/>
                <w:b/>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137E8506" w14:textId="43FCAC1E" w:rsidR="000C0F3E" w:rsidRPr="000D756E" w:rsidRDefault="006147F4" w:rsidP="000C0F3E">
            <w:pPr>
              <w:jc w:val="right"/>
              <w:rPr>
                <w:rFonts w:ascii="Arial" w:hAnsi="Arial" w:cs="Arial"/>
                <w:b/>
                <w:bCs/>
                <w:sz w:val="24"/>
                <w:szCs w:val="24"/>
              </w:rPr>
            </w:pPr>
            <w:r>
              <w:rPr>
                <w:rFonts w:ascii="Arial" w:hAnsi="Arial" w:cs="Arial"/>
                <w:b/>
                <w:bCs/>
                <w:sz w:val="24"/>
                <w:szCs w:val="24"/>
              </w:rPr>
              <w:t>8,387</w:t>
            </w:r>
          </w:p>
        </w:tc>
        <w:tc>
          <w:tcPr>
            <w:tcW w:w="1268" w:type="dxa"/>
            <w:tcBorders>
              <w:top w:val="single" w:sz="4" w:space="0" w:color="auto"/>
              <w:left w:val="single" w:sz="4" w:space="0" w:color="auto"/>
              <w:bottom w:val="single" w:sz="4" w:space="0" w:color="auto"/>
              <w:right w:val="single" w:sz="4" w:space="0" w:color="auto"/>
            </w:tcBorders>
          </w:tcPr>
          <w:p w14:paraId="77C1F046" w14:textId="0555791B" w:rsidR="000C0F3E" w:rsidRPr="000D756E" w:rsidRDefault="000C0F3E" w:rsidP="000C0F3E">
            <w:pPr>
              <w:jc w:val="right"/>
              <w:rPr>
                <w:rFonts w:ascii="Arial" w:hAnsi="Arial" w:cs="Arial"/>
                <w:b/>
                <w:bCs/>
                <w:sz w:val="24"/>
                <w:szCs w:val="24"/>
              </w:rPr>
            </w:pPr>
            <w:r w:rsidRPr="000D756E">
              <w:rPr>
                <w:rFonts w:ascii="Arial" w:hAnsi="Arial" w:cs="Arial"/>
                <w:b/>
                <w:bCs/>
                <w:sz w:val="24"/>
                <w:szCs w:val="24"/>
              </w:rPr>
              <w:t>6,012</w:t>
            </w:r>
          </w:p>
        </w:tc>
      </w:tr>
      <w:tr w:rsidR="000C0F3E" w:rsidRPr="000D756E" w14:paraId="0551B1D8" w14:textId="77777777" w:rsidTr="00F457DB">
        <w:tc>
          <w:tcPr>
            <w:tcW w:w="4395" w:type="dxa"/>
            <w:tcBorders>
              <w:top w:val="single" w:sz="4" w:space="0" w:color="auto"/>
              <w:left w:val="single" w:sz="4" w:space="0" w:color="auto"/>
              <w:bottom w:val="single" w:sz="4" w:space="0" w:color="auto"/>
              <w:right w:val="single" w:sz="4" w:space="0" w:color="auto"/>
            </w:tcBorders>
          </w:tcPr>
          <w:p w14:paraId="79D7E2A3" w14:textId="77777777" w:rsidR="000C0F3E" w:rsidRPr="000D756E" w:rsidRDefault="000C0F3E" w:rsidP="000C0F3E">
            <w:pPr>
              <w:rPr>
                <w:rFonts w:ascii="Arial" w:hAnsi="Arial" w:cs="Arial"/>
                <w:b/>
                <w:sz w:val="24"/>
                <w:szCs w:val="24"/>
              </w:rPr>
            </w:pPr>
            <w:r w:rsidRPr="000D756E">
              <w:rPr>
                <w:rFonts w:ascii="Arial" w:hAnsi="Arial" w:cs="Arial"/>
                <w:b/>
                <w:sz w:val="24"/>
                <w:szCs w:val="24"/>
              </w:rPr>
              <w:t>Investments</w:t>
            </w:r>
          </w:p>
          <w:p w14:paraId="307C714D" w14:textId="77777777" w:rsidR="000C0F3E" w:rsidRPr="000D756E" w:rsidRDefault="000C0F3E" w:rsidP="000C0F3E">
            <w:pPr>
              <w:rPr>
                <w:rFonts w:ascii="Arial" w:hAnsi="Arial" w:cs="Arial"/>
                <w:bCs/>
                <w:sz w:val="24"/>
                <w:szCs w:val="24"/>
              </w:rPr>
            </w:pPr>
            <w:r w:rsidRPr="000D756E">
              <w:rPr>
                <w:rFonts w:ascii="Arial" w:hAnsi="Arial" w:cs="Arial"/>
                <w:bCs/>
                <w:sz w:val="24"/>
                <w:szCs w:val="24"/>
              </w:rPr>
              <w:t>Investments with bank</w:t>
            </w:r>
          </w:p>
          <w:p w14:paraId="3B089FC3" w14:textId="47B97423" w:rsidR="000C0F3E" w:rsidRPr="000D756E" w:rsidRDefault="000C0F3E" w:rsidP="000C0F3E">
            <w:pPr>
              <w:rPr>
                <w:rFonts w:ascii="Arial" w:hAnsi="Arial" w:cs="Arial"/>
                <w:sz w:val="24"/>
                <w:szCs w:val="24"/>
              </w:rPr>
            </w:pPr>
            <w:r w:rsidRPr="000D756E">
              <w:rPr>
                <w:rFonts w:ascii="Arial" w:hAnsi="Arial" w:cs="Arial"/>
                <w:sz w:val="24"/>
                <w:szCs w:val="24"/>
              </w:rPr>
              <w:t>Investments with local authorities</w:t>
            </w:r>
          </w:p>
          <w:p w14:paraId="585119C3" w14:textId="258962AC" w:rsidR="000C0F3E" w:rsidRPr="000D756E" w:rsidRDefault="000C0F3E" w:rsidP="000C0F3E">
            <w:pPr>
              <w:rPr>
                <w:rFonts w:ascii="Arial" w:hAnsi="Arial" w:cs="Arial"/>
                <w:sz w:val="24"/>
                <w:szCs w:val="24"/>
              </w:rPr>
            </w:pPr>
            <w:r w:rsidRPr="000D756E">
              <w:rPr>
                <w:rFonts w:ascii="Arial" w:hAnsi="Arial" w:cs="Arial"/>
                <w:sz w:val="24"/>
                <w:szCs w:val="24"/>
              </w:rPr>
              <w:t>Investments with DMO</w:t>
            </w:r>
          </w:p>
        </w:tc>
        <w:tc>
          <w:tcPr>
            <w:tcW w:w="1276" w:type="dxa"/>
            <w:tcBorders>
              <w:top w:val="single" w:sz="4" w:space="0" w:color="auto"/>
              <w:left w:val="single" w:sz="4" w:space="0" w:color="auto"/>
              <w:bottom w:val="single" w:sz="4" w:space="0" w:color="auto"/>
              <w:right w:val="single" w:sz="4" w:space="0" w:color="auto"/>
            </w:tcBorders>
          </w:tcPr>
          <w:p w14:paraId="4C064A2E" w14:textId="3F2BC512" w:rsidR="000C0F3E" w:rsidRPr="000D756E" w:rsidRDefault="000C0F3E" w:rsidP="000C0F3E">
            <w:pPr>
              <w:jc w:val="right"/>
              <w:rPr>
                <w:rFonts w:ascii="Arial" w:hAnsi="Arial" w:cs="Arial"/>
                <w:sz w:val="24"/>
                <w:szCs w:val="24"/>
              </w:rPr>
            </w:pPr>
          </w:p>
          <w:p w14:paraId="517E8871" w14:textId="5398EB80" w:rsidR="000C0F3E" w:rsidRPr="000D756E" w:rsidRDefault="000C0F3E" w:rsidP="000C0F3E">
            <w:pPr>
              <w:jc w:val="right"/>
              <w:rPr>
                <w:rFonts w:ascii="Arial" w:hAnsi="Arial" w:cs="Arial"/>
                <w:sz w:val="24"/>
                <w:szCs w:val="24"/>
              </w:rPr>
            </w:pPr>
            <w:r w:rsidRPr="000D756E">
              <w:rPr>
                <w:rFonts w:ascii="Arial" w:hAnsi="Arial" w:cs="Arial"/>
                <w:sz w:val="24"/>
                <w:szCs w:val="24"/>
              </w:rPr>
              <w:t>0</w:t>
            </w:r>
          </w:p>
          <w:p w14:paraId="478947B7" w14:textId="62457AB9" w:rsidR="000C0F3E" w:rsidRPr="000D756E" w:rsidRDefault="000C0F3E" w:rsidP="000C0F3E">
            <w:pPr>
              <w:jc w:val="right"/>
              <w:rPr>
                <w:rFonts w:ascii="Arial" w:hAnsi="Arial" w:cs="Arial"/>
                <w:sz w:val="24"/>
                <w:szCs w:val="24"/>
              </w:rPr>
            </w:pPr>
            <w:r w:rsidRPr="000D756E">
              <w:rPr>
                <w:rFonts w:ascii="Arial" w:hAnsi="Arial" w:cs="Arial"/>
                <w:sz w:val="24"/>
                <w:szCs w:val="24"/>
              </w:rPr>
              <w:t>0</w:t>
            </w:r>
          </w:p>
          <w:p w14:paraId="3A56291A" w14:textId="10627838" w:rsidR="000C0F3E" w:rsidRPr="000D756E" w:rsidRDefault="000C0F3E" w:rsidP="000C0F3E">
            <w:pPr>
              <w:jc w:val="right"/>
              <w:rPr>
                <w:rFonts w:ascii="Arial" w:hAnsi="Arial" w:cs="Arial"/>
                <w:sz w:val="24"/>
                <w:szCs w:val="24"/>
              </w:rPr>
            </w:pPr>
            <w:r w:rsidRPr="000D756E">
              <w:rPr>
                <w:rFonts w:ascii="Arial" w:hAnsi="Arial" w:cs="Arial"/>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25492223" w14:textId="77777777" w:rsidR="000C0F3E" w:rsidRPr="000D756E" w:rsidRDefault="000C0F3E" w:rsidP="000C0F3E">
            <w:pPr>
              <w:jc w:val="right"/>
              <w:rPr>
                <w:rFonts w:ascii="Arial" w:hAnsi="Arial" w:cs="Arial"/>
                <w:sz w:val="24"/>
                <w:szCs w:val="24"/>
              </w:rPr>
            </w:pPr>
          </w:p>
          <w:p w14:paraId="6E4012C5" w14:textId="137F51A9" w:rsidR="000C0F3E" w:rsidRPr="000D756E" w:rsidRDefault="000C0F3E" w:rsidP="000C0F3E">
            <w:pPr>
              <w:jc w:val="right"/>
              <w:rPr>
                <w:rFonts w:ascii="Arial" w:hAnsi="Arial" w:cs="Arial"/>
                <w:sz w:val="24"/>
                <w:szCs w:val="24"/>
              </w:rPr>
            </w:pPr>
            <w:r w:rsidRPr="000D756E">
              <w:rPr>
                <w:rFonts w:ascii="Arial" w:hAnsi="Arial" w:cs="Arial"/>
                <w:sz w:val="24"/>
                <w:szCs w:val="24"/>
              </w:rPr>
              <w:t>0</w:t>
            </w:r>
          </w:p>
          <w:p w14:paraId="3D6DF73C" w14:textId="2FB0C40B" w:rsidR="000C0F3E" w:rsidRPr="000D756E" w:rsidRDefault="000C0F3E" w:rsidP="000C0F3E">
            <w:pPr>
              <w:jc w:val="right"/>
              <w:rPr>
                <w:rFonts w:ascii="Arial" w:hAnsi="Arial" w:cs="Arial"/>
                <w:sz w:val="24"/>
                <w:szCs w:val="24"/>
              </w:rPr>
            </w:pPr>
            <w:r w:rsidRPr="000D756E">
              <w:rPr>
                <w:rFonts w:ascii="Arial" w:hAnsi="Arial" w:cs="Arial"/>
                <w:sz w:val="24"/>
                <w:szCs w:val="24"/>
              </w:rPr>
              <w:t>0</w:t>
            </w:r>
          </w:p>
          <w:p w14:paraId="1673AD6E" w14:textId="60C617E8" w:rsidR="000C0F3E" w:rsidRPr="000D756E" w:rsidRDefault="000C0F3E" w:rsidP="000C0F3E">
            <w:pPr>
              <w:jc w:val="right"/>
              <w:rPr>
                <w:rFonts w:ascii="Arial" w:hAnsi="Arial" w:cs="Arial"/>
                <w:sz w:val="24"/>
                <w:szCs w:val="24"/>
              </w:rPr>
            </w:pPr>
            <w:r w:rsidRPr="000D756E">
              <w:rPr>
                <w:rFonts w:ascii="Arial" w:hAnsi="Arial" w:cs="Arial"/>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63C59DEC" w14:textId="154AD7AF" w:rsidR="000C0F3E" w:rsidRPr="000D756E" w:rsidRDefault="000C0F3E" w:rsidP="2DDE5693">
            <w:pPr>
              <w:jc w:val="right"/>
              <w:rPr>
                <w:rFonts w:ascii="Arial" w:hAnsi="Arial" w:cs="Arial"/>
                <w:sz w:val="24"/>
                <w:szCs w:val="24"/>
              </w:rPr>
            </w:pPr>
          </w:p>
          <w:p w14:paraId="5D04541F" w14:textId="77777777" w:rsidR="000C0F3E" w:rsidRDefault="002C061B" w:rsidP="000C0F3E">
            <w:pPr>
              <w:jc w:val="right"/>
              <w:rPr>
                <w:rFonts w:ascii="Arial" w:hAnsi="Arial" w:cs="Arial"/>
                <w:sz w:val="24"/>
                <w:szCs w:val="24"/>
              </w:rPr>
            </w:pPr>
            <w:r>
              <w:rPr>
                <w:rFonts w:ascii="Arial" w:hAnsi="Arial" w:cs="Arial"/>
                <w:sz w:val="24"/>
                <w:szCs w:val="24"/>
              </w:rPr>
              <w:t>0</w:t>
            </w:r>
          </w:p>
          <w:p w14:paraId="3A7E445F" w14:textId="77777777" w:rsidR="002C061B" w:rsidRDefault="002C061B" w:rsidP="000C0F3E">
            <w:pPr>
              <w:jc w:val="right"/>
              <w:rPr>
                <w:rFonts w:ascii="Arial" w:hAnsi="Arial" w:cs="Arial"/>
                <w:sz w:val="24"/>
                <w:szCs w:val="24"/>
              </w:rPr>
            </w:pPr>
            <w:r>
              <w:rPr>
                <w:rFonts w:ascii="Arial" w:hAnsi="Arial" w:cs="Arial"/>
                <w:sz w:val="24"/>
                <w:szCs w:val="24"/>
              </w:rPr>
              <w:t>0</w:t>
            </w:r>
          </w:p>
          <w:p w14:paraId="6ED10669" w14:textId="1911C15D" w:rsidR="002C061B" w:rsidRPr="000D756E" w:rsidRDefault="002C061B" w:rsidP="000C0F3E">
            <w:pPr>
              <w:jc w:val="right"/>
              <w:rPr>
                <w:rFonts w:ascii="Arial" w:hAnsi="Arial" w:cs="Arial"/>
                <w:sz w:val="24"/>
                <w:szCs w:val="24"/>
              </w:rPr>
            </w:pPr>
            <w:r>
              <w:rPr>
                <w:rFonts w:ascii="Arial" w:hAnsi="Arial" w:cs="Arial"/>
                <w:sz w:val="24"/>
                <w:szCs w:val="24"/>
              </w:rPr>
              <w:t>0</w:t>
            </w:r>
          </w:p>
        </w:tc>
        <w:tc>
          <w:tcPr>
            <w:tcW w:w="1268" w:type="dxa"/>
            <w:tcBorders>
              <w:top w:val="single" w:sz="4" w:space="0" w:color="auto"/>
              <w:left w:val="single" w:sz="4" w:space="0" w:color="auto"/>
              <w:bottom w:val="single" w:sz="4" w:space="0" w:color="auto"/>
              <w:right w:val="single" w:sz="4" w:space="0" w:color="auto"/>
            </w:tcBorders>
          </w:tcPr>
          <w:p w14:paraId="7D0990EC" w14:textId="77777777" w:rsidR="000C0F3E" w:rsidRPr="000D756E" w:rsidRDefault="000C0F3E" w:rsidP="000C0F3E">
            <w:pPr>
              <w:jc w:val="right"/>
              <w:rPr>
                <w:rFonts w:ascii="Arial" w:hAnsi="Arial" w:cs="Arial"/>
                <w:sz w:val="24"/>
                <w:szCs w:val="24"/>
              </w:rPr>
            </w:pPr>
          </w:p>
          <w:p w14:paraId="7309AA43" w14:textId="77777777" w:rsidR="000C0F3E" w:rsidRPr="000D756E" w:rsidRDefault="000C0F3E" w:rsidP="000C0F3E">
            <w:pPr>
              <w:jc w:val="right"/>
              <w:rPr>
                <w:rFonts w:ascii="Arial" w:hAnsi="Arial" w:cs="Arial"/>
                <w:sz w:val="24"/>
                <w:szCs w:val="24"/>
              </w:rPr>
            </w:pPr>
            <w:r w:rsidRPr="000D756E">
              <w:rPr>
                <w:rFonts w:ascii="Arial" w:hAnsi="Arial" w:cs="Arial"/>
                <w:sz w:val="24"/>
                <w:szCs w:val="24"/>
              </w:rPr>
              <w:t>1,000</w:t>
            </w:r>
          </w:p>
          <w:p w14:paraId="54D5C858" w14:textId="77777777" w:rsidR="000C0F3E" w:rsidRPr="000D756E" w:rsidRDefault="000C0F3E" w:rsidP="000C0F3E">
            <w:pPr>
              <w:jc w:val="right"/>
              <w:rPr>
                <w:rFonts w:ascii="Arial" w:hAnsi="Arial" w:cs="Arial"/>
                <w:sz w:val="24"/>
                <w:szCs w:val="24"/>
              </w:rPr>
            </w:pPr>
            <w:r w:rsidRPr="000D756E">
              <w:rPr>
                <w:rFonts w:ascii="Arial" w:hAnsi="Arial" w:cs="Arial"/>
                <w:sz w:val="24"/>
                <w:szCs w:val="24"/>
              </w:rPr>
              <w:t>0</w:t>
            </w:r>
          </w:p>
          <w:p w14:paraId="63EFE5D9" w14:textId="2873C97D" w:rsidR="000C0F3E" w:rsidRPr="000D756E" w:rsidRDefault="000C0F3E" w:rsidP="000C0F3E">
            <w:pPr>
              <w:jc w:val="right"/>
              <w:rPr>
                <w:rFonts w:ascii="Arial" w:hAnsi="Arial" w:cs="Arial"/>
                <w:sz w:val="24"/>
                <w:szCs w:val="24"/>
              </w:rPr>
            </w:pPr>
            <w:r w:rsidRPr="000D756E">
              <w:rPr>
                <w:rFonts w:ascii="Arial" w:hAnsi="Arial" w:cs="Arial"/>
                <w:sz w:val="24"/>
                <w:szCs w:val="24"/>
              </w:rPr>
              <w:t>0</w:t>
            </w:r>
          </w:p>
        </w:tc>
      </w:tr>
      <w:tr w:rsidR="000C0F3E" w:rsidRPr="000D756E" w14:paraId="786BE43C" w14:textId="77777777" w:rsidTr="00F457DB">
        <w:tc>
          <w:tcPr>
            <w:tcW w:w="4395" w:type="dxa"/>
            <w:tcBorders>
              <w:top w:val="single" w:sz="4" w:space="0" w:color="auto"/>
              <w:left w:val="single" w:sz="4" w:space="0" w:color="auto"/>
              <w:bottom w:val="single" w:sz="4" w:space="0" w:color="auto"/>
              <w:right w:val="single" w:sz="4" w:space="0" w:color="auto"/>
            </w:tcBorders>
          </w:tcPr>
          <w:p w14:paraId="7B3B709D" w14:textId="7120502B" w:rsidR="000C0F3E" w:rsidRPr="000D756E" w:rsidRDefault="000C0F3E" w:rsidP="000C0F3E">
            <w:pPr>
              <w:rPr>
                <w:rFonts w:ascii="Arial" w:hAnsi="Arial" w:cs="Arial"/>
                <w:b/>
                <w:sz w:val="24"/>
                <w:szCs w:val="24"/>
              </w:rPr>
            </w:pPr>
            <w:r w:rsidRPr="000D756E">
              <w:rPr>
                <w:rFonts w:ascii="Arial" w:hAnsi="Arial" w:cs="Arial"/>
                <w:b/>
                <w:sz w:val="24"/>
                <w:szCs w:val="24"/>
              </w:rPr>
              <w:t>Total investments</w:t>
            </w:r>
          </w:p>
        </w:tc>
        <w:tc>
          <w:tcPr>
            <w:tcW w:w="1276" w:type="dxa"/>
            <w:tcBorders>
              <w:top w:val="single" w:sz="4" w:space="0" w:color="auto"/>
              <w:left w:val="single" w:sz="4" w:space="0" w:color="auto"/>
              <w:bottom w:val="single" w:sz="4" w:space="0" w:color="auto"/>
              <w:right w:val="single" w:sz="4" w:space="0" w:color="auto"/>
            </w:tcBorders>
          </w:tcPr>
          <w:p w14:paraId="325C240F" w14:textId="29831DE0" w:rsidR="000C0F3E" w:rsidRPr="000D756E" w:rsidRDefault="000C0F3E" w:rsidP="000C0F3E">
            <w:pPr>
              <w:jc w:val="right"/>
              <w:rPr>
                <w:rFonts w:ascii="Arial" w:hAnsi="Arial" w:cs="Arial"/>
                <w:b/>
                <w:bCs/>
                <w:sz w:val="24"/>
                <w:szCs w:val="24"/>
              </w:rPr>
            </w:pPr>
            <w:r w:rsidRPr="000D756E">
              <w:rPr>
                <w:rFonts w:ascii="Arial" w:hAnsi="Arial" w:cs="Arial"/>
                <w:b/>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3E01204" w14:textId="619CC849" w:rsidR="000C0F3E" w:rsidRPr="000D756E" w:rsidRDefault="000C0F3E" w:rsidP="000C0F3E">
            <w:pPr>
              <w:jc w:val="right"/>
              <w:rPr>
                <w:rFonts w:ascii="Arial" w:hAnsi="Arial" w:cs="Arial"/>
                <w:b/>
                <w:bCs/>
                <w:sz w:val="24"/>
                <w:szCs w:val="24"/>
              </w:rPr>
            </w:pPr>
            <w:r w:rsidRPr="000D756E">
              <w:rPr>
                <w:rFonts w:ascii="Arial" w:hAnsi="Arial" w:cs="Arial"/>
                <w:b/>
                <w:bCs/>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161FF0A2" w14:textId="4D5322B5" w:rsidR="000C0F3E" w:rsidRPr="000D756E" w:rsidRDefault="002C061B" w:rsidP="000C0F3E">
            <w:pPr>
              <w:jc w:val="right"/>
              <w:rPr>
                <w:rFonts w:ascii="Arial" w:hAnsi="Arial" w:cs="Arial"/>
                <w:b/>
                <w:bCs/>
                <w:sz w:val="24"/>
                <w:szCs w:val="24"/>
              </w:rPr>
            </w:pPr>
            <w:r>
              <w:rPr>
                <w:rFonts w:ascii="Arial" w:hAnsi="Arial" w:cs="Arial"/>
                <w:b/>
                <w:bCs/>
                <w:sz w:val="24"/>
                <w:szCs w:val="24"/>
              </w:rPr>
              <w:t>0</w:t>
            </w:r>
          </w:p>
        </w:tc>
        <w:tc>
          <w:tcPr>
            <w:tcW w:w="1268" w:type="dxa"/>
            <w:tcBorders>
              <w:top w:val="single" w:sz="4" w:space="0" w:color="auto"/>
              <w:left w:val="single" w:sz="4" w:space="0" w:color="auto"/>
              <w:bottom w:val="single" w:sz="4" w:space="0" w:color="auto"/>
              <w:right w:val="single" w:sz="4" w:space="0" w:color="auto"/>
            </w:tcBorders>
          </w:tcPr>
          <w:p w14:paraId="625F2DC6" w14:textId="564CB0DA" w:rsidR="000C0F3E" w:rsidRPr="000D756E" w:rsidRDefault="000C0F3E" w:rsidP="000C0F3E">
            <w:pPr>
              <w:jc w:val="right"/>
              <w:rPr>
                <w:rFonts w:ascii="Arial" w:hAnsi="Arial" w:cs="Arial"/>
                <w:b/>
                <w:bCs/>
                <w:sz w:val="24"/>
                <w:szCs w:val="24"/>
              </w:rPr>
            </w:pPr>
            <w:r w:rsidRPr="000D756E">
              <w:rPr>
                <w:rFonts w:ascii="Arial" w:hAnsi="Arial" w:cs="Arial"/>
                <w:b/>
                <w:bCs/>
                <w:sz w:val="24"/>
                <w:szCs w:val="24"/>
              </w:rPr>
              <w:t>1,000</w:t>
            </w:r>
          </w:p>
        </w:tc>
      </w:tr>
      <w:tr w:rsidR="00A26B12" w:rsidRPr="000D756E" w14:paraId="1A375D1C" w14:textId="77777777" w:rsidTr="00F457DB">
        <w:tc>
          <w:tcPr>
            <w:tcW w:w="4395" w:type="dxa"/>
            <w:tcBorders>
              <w:top w:val="single" w:sz="4" w:space="0" w:color="auto"/>
              <w:left w:val="single" w:sz="4" w:space="0" w:color="auto"/>
              <w:bottom w:val="single" w:sz="4" w:space="0" w:color="auto"/>
              <w:right w:val="single" w:sz="4" w:space="0" w:color="auto"/>
            </w:tcBorders>
          </w:tcPr>
          <w:p w14:paraId="77ED5C68" w14:textId="77777777" w:rsidR="00A26B12" w:rsidRDefault="00A26B12" w:rsidP="000C0F3E">
            <w:pPr>
              <w:rPr>
                <w:rFonts w:ascii="Arial" w:hAnsi="Arial" w:cs="Arial"/>
                <w:b/>
                <w:sz w:val="24"/>
                <w:szCs w:val="24"/>
              </w:rPr>
            </w:pPr>
            <w:r>
              <w:rPr>
                <w:rFonts w:ascii="Arial" w:hAnsi="Arial" w:cs="Arial"/>
                <w:b/>
                <w:sz w:val="24"/>
                <w:szCs w:val="24"/>
              </w:rPr>
              <w:t>Debtors</w:t>
            </w:r>
          </w:p>
          <w:p w14:paraId="4C9D91E6" w14:textId="6EFCA0AB" w:rsidR="00A26B12" w:rsidRPr="00A26B12" w:rsidRDefault="00A26B12" w:rsidP="000C0F3E">
            <w:pPr>
              <w:rPr>
                <w:rFonts w:ascii="Arial" w:hAnsi="Arial" w:cs="Arial"/>
                <w:bCs/>
                <w:sz w:val="24"/>
                <w:szCs w:val="24"/>
              </w:rPr>
            </w:pPr>
            <w:r>
              <w:rPr>
                <w:rFonts w:ascii="Arial" w:hAnsi="Arial" w:cs="Arial"/>
                <w:bCs/>
                <w:sz w:val="24"/>
                <w:szCs w:val="24"/>
              </w:rPr>
              <w:t>Financial assets carried at amortised cost</w:t>
            </w:r>
          </w:p>
        </w:tc>
        <w:tc>
          <w:tcPr>
            <w:tcW w:w="1276" w:type="dxa"/>
            <w:tcBorders>
              <w:top w:val="single" w:sz="4" w:space="0" w:color="auto"/>
              <w:left w:val="single" w:sz="4" w:space="0" w:color="auto"/>
              <w:bottom w:val="single" w:sz="4" w:space="0" w:color="auto"/>
              <w:right w:val="single" w:sz="4" w:space="0" w:color="auto"/>
            </w:tcBorders>
          </w:tcPr>
          <w:p w14:paraId="39B44967" w14:textId="77777777" w:rsidR="00A26B12" w:rsidRPr="00A26B12" w:rsidRDefault="00A26B12" w:rsidP="000C0F3E">
            <w:pPr>
              <w:jc w:val="right"/>
              <w:rPr>
                <w:rFonts w:ascii="Arial" w:hAnsi="Arial" w:cs="Arial"/>
                <w:bCs/>
                <w:sz w:val="24"/>
                <w:szCs w:val="24"/>
              </w:rPr>
            </w:pPr>
          </w:p>
          <w:p w14:paraId="53F2FEFE" w14:textId="5470B754" w:rsidR="00A26B12" w:rsidRPr="00A26B12" w:rsidRDefault="00A26B12" w:rsidP="000C0F3E">
            <w:pPr>
              <w:jc w:val="right"/>
              <w:rPr>
                <w:rFonts w:ascii="Arial" w:hAnsi="Arial" w:cs="Arial"/>
                <w:bCs/>
                <w:sz w:val="24"/>
                <w:szCs w:val="24"/>
              </w:rPr>
            </w:pPr>
            <w:r w:rsidRPr="00A26B12">
              <w:rPr>
                <w:rFonts w:ascii="Arial" w:hAnsi="Arial" w:cs="Arial"/>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47C0A627" w14:textId="77777777" w:rsidR="00A26B12" w:rsidRPr="00A26B12" w:rsidRDefault="00A26B12" w:rsidP="000C0F3E">
            <w:pPr>
              <w:jc w:val="right"/>
              <w:rPr>
                <w:rFonts w:ascii="Arial" w:hAnsi="Arial" w:cs="Arial"/>
                <w:bCs/>
                <w:sz w:val="24"/>
                <w:szCs w:val="24"/>
              </w:rPr>
            </w:pPr>
          </w:p>
          <w:p w14:paraId="2C2D3955" w14:textId="44B2F4D8" w:rsidR="00A26B12" w:rsidRPr="00A26B12" w:rsidRDefault="00A26B12" w:rsidP="000C0F3E">
            <w:pPr>
              <w:jc w:val="right"/>
              <w:rPr>
                <w:rFonts w:ascii="Arial" w:hAnsi="Arial" w:cs="Arial"/>
                <w:bCs/>
                <w:sz w:val="24"/>
                <w:szCs w:val="24"/>
              </w:rPr>
            </w:pPr>
            <w:r w:rsidRPr="00A26B12">
              <w:rPr>
                <w:rFonts w:ascii="Arial" w:hAnsi="Arial" w:cs="Arial"/>
                <w:bCs/>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4D55DF08" w14:textId="77777777" w:rsidR="00A26B12" w:rsidRPr="00A26B12" w:rsidRDefault="00A26B12" w:rsidP="000C0F3E">
            <w:pPr>
              <w:jc w:val="right"/>
              <w:rPr>
                <w:rFonts w:ascii="Arial" w:hAnsi="Arial" w:cs="Arial"/>
                <w:bCs/>
                <w:sz w:val="24"/>
                <w:szCs w:val="24"/>
              </w:rPr>
            </w:pPr>
          </w:p>
          <w:p w14:paraId="5DFD2A4C" w14:textId="3DCDC427" w:rsidR="00A26B12" w:rsidRPr="00A26B12" w:rsidRDefault="00A26B12" w:rsidP="000C0F3E">
            <w:pPr>
              <w:jc w:val="right"/>
              <w:rPr>
                <w:rFonts w:ascii="Arial" w:hAnsi="Arial" w:cs="Arial"/>
                <w:bCs/>
                <w:sz w:val="24"/>
                <w:szCs w:val="24"/>
              </w:rPr>
            </w:pPr>
            <w:r w:rsidRPr="00A26B12">
              <w:rPr>
                <w:rFonts w:ascii="Arial" w:hAnsi="Arial" w:cs="Arial"/>
                <w:bCs/>
                <w:sz w:val="24"/>
                <w:szCs w:val="24"/>
              </w:rPr>
              <w:t>431</w:t>
            </w:r>
          </w:p>
        </w:tc>
        <w:tc>
          <w:tcPr>
            <w:tcW w:w="1268" w:type="dxa"/>
            <w:tcBorders>
              <w:top w:val="single" w:sz="4" w:space="0" w:color="auto"/>
              <w:left w:val="single" w:sz="4" w:space="0" w:color="auto"/>
              <w:bottom w:val="single" w:sz="4" w:space="0" w:color="auto"/>
              <w:right w:val="single" w:sz="4" w:space="0" w:color="auto"/>
            </w:tcBorders>
          </w:tcPr>
          <w:p w14:paraId="64A8FF56" w14:textId="77777777" w:rsidR="00A26B12" w:rsidRPr="00A26B12" w:rsidRDefault="00A26B12" w:rsidP="000C0F3E">
            <w:pPr>
              <w:jc w:val="right"/>
              <w:rPr>
                <w:rFonts w:ascii="Arial" w:hAnsi="Arial" w:cs="Arial"/>
                <w:bCs/>
                <w:sz w:val="24"/>
                <w:szCs w:val="24"/>
              </w:rPr>
            </w:pPr>
          </w:p>
          <w:p w14:paraId="544C9D32" w14:textId="5A59DC99" w:rsidR="00A26B12" w:rsidRPr="00A26B12" w:rsidRDefault="00A26B12" w:rsidP="000C0F3E">
            <w:pPr>
              <w:jc w:val="right"/>
              <w:rPr>
                <w:rFonts w:ascii="Arial" w:hAnsi="Arial" w:cs="Arial"/>
                <w:bCs/>
                <w:sz w:val="24"/>
                <w:szCs w:val="24"/>
              </w:rPr>
            </w:pPr>
            <w:r w:rsidRPr="00A26B12">
              <w:rPr>
                <w:rFonts w:ascii="Arial" w:hAnsi="Arial" w:cs="Arial"/>
                <w:bCs/>
                <w:sz w:val="24"/>
                <w:szCs w:val="24"/>
              </w:rPr>
              <w:t>988</w:t>
            </w:r>
          </w:p>
        </w:tc>
      </w:tr>
      <w:tr w:rsidR="000C0F3E" w:rsidRPr="000D756E" w14:paraId="0994E67B" w14:textId="77777777" w:rsidTr="00F457DB">
        <w:tc>
          <w:tcPr>
            <w:tcW w:w="4395" w:type="dxa"/>
            <w:tcBorders>
              <w:top w:val="single" w:sz="4" w:space="0" w:color="auto"/>
              <w:left w:val="single" w:sz="4" w:space="0" w:color="auto"/>
              <w:bottom w:val="single" w:sz="4" w:space="0" w:color="auto"/>
              <w:right w:val="single" w:sz="4" w:space="0" w:color="auto"/>
            </w:tcBorders>
          </w:tcPr>
          <w:p w14:paraId="0CF87FC2" w14:textId="77777777" w:rsidR="000C0F3E" w:rsidRPr="000D756E" w:rsidRDefault="000C0F3E" w:rsidP="000C0F3E">
            <w:pPr>
              <w:rPr>
                <w:rFonts w:ascii="Arial" w:hAnsi="Arial" w:cs="Arial"/>
                <w:b/>
                <w:sz w:val="24"/>
                <w:szCs w:val="24"/>
              </w:rPr>
            </w:pPr>
            <w:r w:rsidRPr="000D756E">
              <w:rPr>
                <w:rFonts w:ascii="Arial" w:hAnsi="Arial" w:cs="Arial"/>
                <w:b/>
                <w:sz w:val="24"/>
                <w:szCs w:val="24"/>
              </w:rPr>
              <w:t>Total debtors</w:t>
            </w:r>
          </w:p>
        </w:tc>
        <w:tc>
          <w:tcPr>
            <w:tcW w:w="1276" w:type="dxa"/>
            <w:tcBorders>
              <w:top w:val="single" w:sz="4" w:space="0" w:color="auto"/>
              <w:left w:val="single" w:sz="4" w:space="0" w:color="auto"/>
              <w:bottom w:val="single" w:sz="4" w:space="0" w:color="auto"/>
              <w:right w:val="single" w:sz="4" w:space="0" w:color="auto"/>
            </w:tcBorders>
          </w:tcPr>
          <w:p w14:paraId="3449E1C3" w14:textId="70C08308" w:rsidR="000C0F3E" w:rsidRPr="000D756E" w:rsidRDefault="000C0F3E" w:rsidP="000C0F3E">
            <w:pPr>
              <w:jc w:val="right"/>
              <w:rPr>
                <w:rFonts w:ascii="Arial" w:hAnsi="Arial" w:cs="Arial"/>
                <w:b/>
                <w:sz w:val="24"/>
                <w:szCs w:val="24"/>
              </w:rPr>
            </w:pPr>
            <w:r w:rsidRPr="000D756E">
              <w:rPr>
                <w:rFonts w:ascii="Arial" w:hAnsi="Arial" w:cs="Arial"/>
                <w:b/>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166B6BB" w14:textId="036FBD5E" w:rsidR="000C0F3E" w:rsidRPr="000D756E" w:rsidRDefault="000C0F3E" w:rsidP="000C0F3E">
            <w:pPr>
              <w:jc w:val="right"/>
              <w:rPr>
                <w:rFonts w:ascii="Arial" w:hAnsi="Arial" w:cs="Arial"/>
                <w:b/>
                <w:sz w:val="24"/>
                <w:szCs w:val="24"/>
              </w:rPr>
            </w:pPr>
            <w:r w:rsidRPr="000D756E">
              <w:rPr>
                <w:rFonts w:ascii="Arial" w:hAnsi="Arial" w:cs="Arial"/>
                <w:b/>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2C7CE2F3" w14:textId="371D36EE" w:rsidR="000C0F3E" w:rsidRPr="000D756E" w:rsidRDefault="00C24E5F" w:rsidP="000C0F3E">
            <w:pPr>
              <w:jc w:val="right"/>
              <w:rPr>
                <w:rFonts w:ascii="Arial" w:hAnsi="Arial" w:cs="Arial"/>
                <w:b/>
                <w:sz w:val="24"/>
                <w:szCs w:val="24"/>
              </w:rPr>
            </w:pPr>
            <w:r>
              <w:rPr>
                <w:rFonts w:ascii="Arial" w:hAnsi="Arial" w:cs="Arial"/>
                <w:b/>
                <w:sz w:val="24"/>
                <w:szCs w:val="24"/>
              </w:rPr>
              <w:t>431</w:t>
            </w:r>
          </w:p>
        </w:tc>
        <w:tc>
          <w:tcPr>
            <w:tcW w:w="1268" w:type="dxa"/>
            <w:tcBorders>
              <w:top w:val="single" w:sz="4" w:space="0" w:color="auto"/>
              <w:left w:val="single" w:sz="4" w:space="0" w:color="auto"/>
              <w:bottom w:val="single" w:sz="4" w:space="0" w:color="auto"/>
              <w:right w:val="single" w:sz="4" w:space="0" w:color="auto"/>
            </w:tcBorders>
          </w:tcPr>
          <w:p w14:paraId="4E1B54E6" w14:textId="1BC9CF67" w:rsidR="000C0F3E" w:rsidRPr="000D756E" w:rsidRDefault="000C0F3E" w:rsidP="000C0F3E">
            <w:pPr>
              <w:jc w:val="right"/>
              <w:rPr>
                <w:rFonts w:ascii="Arial" w:hAnsi="Arial" w:cs="Arial"/>
                <w:b/>
                <w:sz w:val="24"/>
                <w:szCs w:val="24"/>
              </w:rPr>
            </w:pPr>
            <w:r w:rsidRPr="000D756E">
              <w:rPr>
                <w:rFonts w:ascii="Arial" w:hAnsi="Arial" w:cs="Arial"/>
                <w:b/>
                <w:sz w:val="24"/>
                <w:szCs w:val="24"/>
              </w:rPr>
              <w:t>988</w:t>
            </w:r>
          </w:p>
        </w:tc>
      </w:tr>
    </w:tbl>
    <w:p w14:paraId="305AB7E1" w14:textId="77777777" w:rsidR="001C4F6F" w:rsidRPr="000D756E" w:rsidRDefault="001C4F6F"/>
    <w:p w14:paraId="4487AF62" w14:textId="77777777" w:rsidR="009644E6" w:rsidRDefault="009644E6">
      <w:r>
        <w:br w:type="page"/>
      </w:r>
    </w:p>
    <w:tbl>
      <w:tblPr>
        <w:tblW w:w="9648" w:type="dxa"/>
        <w:tblInd w:w="-601" w:type="dxa"/>
        <w:tblLook w:val="01E0" w:firstRow="1" w:lastRow="1" w:firstColumn="1" w:lastColumn="1" w:noHBand="0" w:noVBand="0"/>
      </w:tblPr>
      <w:tblGrid>
        <w:gridCol w:w="4395"/>
        <w:gridCol w:w="1276"/>
        <w:gridCol w:w="1331"/>
        <w:gridCol w:w="1378"/>
        <w:gridCol w:w="1268"/>
      </w:tblGrid>
      <w:tr w:rsidR="006329E6" w:rsidRPr="000D756E" w14:paraId="4A75DC29" w14:textId="77777777" w:rsidTr="00F457DB">
        <w:tc>
          <w:tcPr>
            <w:tcW w:w="4395" w:type="dxa"/>
            <w:tcBorders>
              <w:bottom w:val="single" w:sz="4" w:space="0" w:color="auto"/>
            </w:tcBorders>
          </w:tcPr>
          <w:p w14:paraId="234CF93F" w14:textId="74643D11" w:rsidR="004E7A09" w:rsidRPr="000D756E" w:rsidRDefault="004E7A09" w:rsidP="002A7C01">
            <w:pPr>
              <w:rPr>
                <w:rFonts w:ascii="Arial" w:hAnsi="Arial" w:cs="Arial"/>
                <w:sz w:val="24"/>
                <w:szCs w:val="24"/>
              </w:rPr>
            </w:pPr>
          </w:p>
        </w:tc>
        <w:tc>
          <w:tcPr>
            <w:tcW w:w="1276" w:type="dxa"/>
            <w:tcBorders>
              <w:bottom w:val="single" w:sz="4" w:space="0" w:color="auto"/>
            </w:tcBorders>
          </w:tcPr>
          <w:p w14:paraId="5B02BCCD" w14:textId="77777777" w:rsidR="004E7A09" w:rsidRPr="000D756E" w:rsidRDefault="004E7A09" w:rsidP="002A7C01">
            <w:pPr>
              <w:rPr>
                <w:rFonts w:ascii="Arial" w:hAnsi="Arial" w:cs="Arial"/>
                <w:sz w:val="24"/>
                <w:szCs w:val="24"/>
              </w:rPr>
            </w:pPr>
          </w:p>
        </w:tc>
        <w:tc>
          <w:tcPr>
            <w:tcW w:w="1331" w:type="dxa"/>
            <w:tcBorders>
              <w:bottom w:val="single" w:sz="4" w:space="0" w:color="auto"/>
            </w:tcBorders>
          </w:tcPr>
          <w:p w14:paraId="1311F94A" w14:textId="77777777" w:rsidR="004E7A09" w:rsidRPr="000D756E" w:rsidRDefault="004E7A09" w:rsidP="002A7C01">
            <w:pPr>
              <w:rPr>
                <w:rFonts w:ascii="Arial" w:hAnsi="Arial" w:cs="Arial"/>
                <w:sz w:val="24"/>
                <w:szCs w:val="24"/>
              </w:rPr>
            </w:pPr>
          </w:p>
        </w:tc>
        <w:tc>
          <w:tcPr>
            <w:tcW w:w="1378" w:type="dxa"/>
            <w:tcBorders>
              <w:bottom w:val="single" w:sz="4" w:space="0" w:color="auto"/>
            </w:tcBorders>
          </w:tcPr>
          <w:p w14:paraId="3395462E" w14:textId="77777777" w:rsidR="004E7A09" w:rsidRPr="000D756E" w:rsidRDefault="004E7A09" w:rsidP="002A7C01">
            <w:pPr>
              <w:rPr>
                <w:rFonts w:ascii="Arial" w:hAnsi="Arial" w:cs="Arial"/>
                <w:sz w:val="24"/>
                <w:szCs w:val="24"/>
              </w:rPr>
            </w:pPr>
          </w:p>
        </w:tc>
        <w:tc>
          <w:tcPr>
            <w:tcW w:w="1268" w:type="dxa"/>
            <w:tcBorders>
              <w:bottom w:val="single" w:sz="4" w:space="0" w:color="auto"/>
            </w:tcBorders>
          </w:tcPr>
          <w:p w14:paraId="00B21254" w14:textId="77777777" w:rsidR="004E7A09" w:rsidRPr="000D756E" w:rsidRDefault="004E7A09" w:rsidP="002A7C01">
            <w:pPr>
              <w:rPr>
                <w:rFonts w:ascii="Arial" w:hAnsi="Arial" w:cs="Arial"/>
                <w:sz w:val="24"/>
                <w:szCs w:val="24"/>
              </w:rPr>
            </w:pPr>
          </w:p>
        </w:tc>
      </w:tr>
      <w:tr w:rsidR="000D6639" w:rsidRPr="000D756E" w14:paraId="5C228F8E" w14:textId="77777777" w:rsidTr="00F457DB">
        <w:tc>
          <w:tcPr>
            <w:tcW w:w="4395" w:type="dxa"/>
            <w:tcBorders>
              <w:top w:val="single" w:sz="4" w:space="0" w:color="auto"/>
              <w:left w:val="single" w:sz="4" w:space="0" w:color="auto"/>
              <w:bottom w:val="single" w:sz="4" w:space="0" w:color="auto"/>
            </w:tcBorders>
          </w:tcPr>
          <w:p w14:paraId="268BDADA" w14:textId="77777777" w:rsidR="004E7A09" w:rsidRPr="000D756E" w:rsidRDefault="004E7A09" w:rsidP="002A7C01">
            <w:pPr>
              <w:rPr>
                <w:rFonts w:ascii="Arial" w:hAnsi="Arial" w:cs="Arial"/>
                <w:sz w:val="24"/>
                <w:szCs w:val="24"/>
              </w:rPr>
            </w:pPr>
          </w:p>
        </w:tc>
        <w:tc>
          <w:tcPr>
            <w:tcW w:w="2607" w:type="dxa"/>
            <w:gridSpan w:val="2"/>
            <w:tcBorders>
              <w:top w:val="single" w:sz="4" w:space="0" w:color="auto"/>
              <w:left w:val="single" w:sz="4" w:space="0" w:color="auto"/>
              <w:bottom w:val="single" w:sz="4" w:space="0" w:color="auto"/>
              <w:right w:val="single" w:sz="4" w:space="0" w:color="auto"/>
            </w:tcBorders>
          </w:tcPr>
          <w:p w14:paraId="5E57A6D9" w14:textId="77777777" w:rsidR="004E7A09" w:rsidRPr="000D756E" w:rsidRDefault="004E7A09" w:rsidP="0004335B">
            <w:pPr>
              <w:jc w:val="center"/>
              <w:rPr>
                <w:rFonts w:ascii="Arial" w:hAnsi="Arial" w:cs="Arial"/>
                <w:b/>
                <w:sz w:val="24"/>
                <w:szCs w:val="24"/>
              </w:rPr>
            </w:pPr>
            <w:r w:rsidRPr="000D756E">
              <w:rPr>
                <w:rFonts w:ascii="Arial" w:hAnsi="Arial" w:cs="Arial"/>
                <w:b/>
                <w:sz w:val="24"/>
                <w:szCs w:val="24"/>
              </w:rPr>
              <w:t>Long Term</w:t>
            </w:r>
          </w:p>
        </w:tc>
        <w:tc>
          <w:tcPr>
            <w:tcW w:w="2646" w:type="dxa"/>
            <w:gridSpan w:val="2"/>
            <w:tcBorders>
              <w:top w:val="single" w:sz="4" w:space="0" w:color="auto"/>
              <w:bottom w:val="single" w:sz="4" w:space="0" w:color="auto"/>
              <w:right w:val="single" w:sz="4" w:space="0" w:color="auto"/>
            </w:tcBorders>
          </w:tcPr>
          <w:p w14:paraId="63A8C1E0" w14:textId="77777777" w:rsidR="004E7A09" w:rsidRPr="000D756E" w:rsidRDefault="004E7A09" w:rsidP="0004335B">
            <w:pPr>
              <w:jc w:val="center"/>
              <w:rPr>
                <w:rFonts w:ascii="Arial" w:hAnsi="Arial" w:cs="Arial"/>
                <w:b/>
                <w:sz w:val="24"/>
                <w:szCs w:val="24"/>
              </w:rPr>
            </w:pPr>
            <w:r w:rsidRPr="000D756E">
              <w:rPr>
                <w:rFonts w:ascii="Arial" w:hAnsi="Arial" w:cs="Arial"/>
                <w:b/>
                <w:sz w:val="24"/>
                <w:szCs w:val="24"/>
              </w:rPr>
              <w:t>Current</w:t>
            </w:r>
          </w:p>
        </w:tc>
      </w:tr>
      <w:tr w:rsidR="006071DF" w:rsidRPr="000D756E" w14:paraId="7DF644C6" w14:textId="77777777" w:rsidTr="00F457DB">
        <w:tc>
          <w:tcPr>
            <w:tcW w:w="4395" w:type="dxa"/>
            <w:tcBorders>
              <w:top w:val="single" w:sz="4" w:space="0" w:color="auto"/>
              <w:left w:val="single" w:sz="4" w:space="0" w:color="auto"/>
              <w:bottom w:val="single" w:sz="4" w:space="0" w:color="auto"/>
            </w:tcBorders>
          </w:tcPr>
          <w:p w14:paraId="34EA2AFB" w14:textId="77777777" w:rsidR="003B7E4D" w:rsidRPr="000D756E" w:rsidRDefault="003B7E4D" w:rsidP="003B7E4D">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7FA458" w14:textId="6CABB88F" w:rsidR="003B7E4D" w:rsidRPr="000D756E" w:rsidRDefault="003B7E4D" w:rsidP="003B7E4D">
            <w:pPr>
              <w:jc w:val="right"/>
              <w:rPr>
                <w:rFonts w:ascii="Arial" w:hAnsi="Arial" w:cs="Arial"/>
                <w:b/>
                <w:sz w:val="22"/>
                <w:szCs w:val="22"/>
              </w:rPr>
            </w:pPr>
            <w:r w:rsidRPr="000D756E">
              <w:rPr>
                <w:rFonts w:ascii="Arial" w:hAnsi="Arial" w:cs="Arial"/>
                <w:b/>
                <w:sz w:val="22"/>
                <w:szCs w:val="22"/>
              </w:rPr>
              <w:t xml:space="preserve">31 March </w:t>
            </w:r>
            <w:r w:rsidR="0074100F" w:rsidRPr="000D756E">
              <w:rPr>
                <w:rFonts w:ascii="Arial" w:hAnsi="Arial" w:cs="Arial"/>
                <w:b/>
                <w:sz w:val="22"/>
                <w:szCs w:val="22"/>
              </w:rPr>
              <w:t>202</w:t>
            </w:r>
            <w:r w:rsidR="00597713">
              <w:rPr>
                <w:rFonts w:ascii="Arial" w:hAnsi="Arial" w:cs="Arial"/>
                <w:b/>
                <w:sz w:val="22"/>
                <w:szCs w:val="22"/>
              </w:rPr>
              <w:t>5</w:t>
            </w:r>
          </w:p>
          <w:p w14:paraId="39D0908C" w14:textId="77777777" w:rsidR="003B7E4D" w:rsidRPr="000D756E" w:rsidRDefault="003B7E4D" w:rsidP="003B7E4D">
            <w:pPr>
              <w:jc w:val="right"/>
              <w:rPr>
                <w:rFonts w:ascii="Arial" w:hAnsi="Arial" w:cs="Arial"/>
                <w:b/>
                <w:sz w:val="22"/>
                <w:szCs w:val="22"/>
              </w:rPr>
            </w:pPr>
            <w:r w:rsidRPr="000D756E">
              <w:rPr>
                <w:rFonts w:ascii="Arial" w:hAnsi="Arial" w:cs="Arial"/>
                <w:b/>
                <w:sz w:val="22"/>
                <w:szCs w:val="22"/>
              </w:rPr>
              <w:t>£’000</w:t>
            </w:r>
          </w:p>
        </w:tc>
        <w:tc>
          <w:tcPr>
            <w:tcW w:w="1331" w:type="dxa"/>
            <w:tcBorders>
              <w:top w:val="single" w:sz="4" w:space="0" w:color="auto"/>
              <w:left w:val="single" w:sz="4" w:space="0" w:color="auto"/>
              <w:bottom w:val="single" w:sz="4" w:space="0" w:color="auto"/>
              <w:right w:val="single" w:sz="4" w:space="0" w:color="auto"/>
            </w:tcBorders>
          </w:tcPr>
          <w:p w14:paraId="2A18B7FB" w14:textId="6FEE0D74" w:rsidR="0074100F" w:rsidRPr="000D756E" w:rsidRDefault="0074100F" w:rsidP="0074100F">
            <w:pPr>
              <w:jc w:val="right"/>
              <w:rPr>
                <w:rFonts w:ascii="Arial" w:hAnsi="Arial" w:cs="Arial"/>
                <w:b/>
                <w:sz w:val="22"/>
                <w:szCs w:val="22"/>
              </w:rPr>
            </w:pPr>
            <w:r w:rsidRPr="000D756E">
              <w:rPr>
                <w:rFonts w:ascii="Arial" w:hAnsi="Arial" w:cs="Arial"/>
                <w:b/>
                <w:sz w:val="22"/>
                <w:szCs w:val="22"/>
              </w:rPr>
              <w:t>31 March 202</w:t>
            </w:r>
            <w:r w:rsidR="00597713">
              <w:rPr>
                <w:rFonts w:ascii="Arial" w:hAnsi="Arial" w:cs="Arial"/>
                <w:b/>
                <w:sz w:val="22"/>
                <w:szCs w:val="22"/>
              </w:rPr>
              <w:t>4</w:t>
            </w:r>
          </w:p>
          <w:p w14:paraId="48E410C1" w14:textId="1156E297" w:rsidR="003B7E4D" w:rsidRPr="000D756E" w:rsidRDefault="003B7E4D" w:rsidP="003B7E4D">
            <w:pPr>
              <w:jc w:val="right"/>
              <w:rPr>
                <w:rFonts w:ascii="Arial" w:hAnsi="Arial" w:cs="Arial"/>
                <w:b/>
                <w:sz w:val="22"/>
                <w:szCs w:val="22"/>
              </w:rPr>
            </w:pPr>
            <w:r w:rsidRPr="000D756E">
              <w:rPr>
                <w:rFonts w:ascii="Arial" w:hAnsi="Arial" w:cs="Arial"/>
                <w:b/>
                <w:sz w:val="22"/>
                <w:szCs w:val="22"/>
              </w:rPr>
              <w:t>£’000</w:t>
            </w:r>
          </w:p>
        </w:tc>
        <w:tc>
          <w:tcPr>
            <w:tcW w:w="1378" w:type="dxa"/>
            <w:tcBorders>
              <w:top w:val="single" w:sz="4" w:space="0" w:color="auto"/>
              <w:left w:val="single" w:sz="4" w:space="0" w:color="auto"/>
              <w:bottom w:val="single" w:sz="4" w:space="0" w:color="auto"/>
              <w:right w:val="single" w:sz="4" w:space="0" w:color="auto"/>
            </w:tcBorders>
          </w:tcPr>
          <w:p w14:paraId="706394C0" w14:textId="4A22C84F" w:rsidR="003B7E4D" w:rsidRPr="000D756E" w:rsidRDefault="003B7E4D" w:rsidP="003B7E4D">
            <w:pPr>
              <w:jc w:val="right"/>
              <w:rPr>
                <w:rFonts w:ascii="Arial" w:hAnsi="Arial" w:cs="Arial"/>
                <w:b/>
                <w:sz w:val="22"/>
                <w:szCs w:val="22"/>
              </w:rPr>
            </w:pPr>
            <w:r w:rsidRPr="000D756E">
              <w:rPr>
                <w:rFonts w:ascii="Arial" w:hAnsi="Arial" w:cs="Arial"/>
                <w:b/>
                <w:sz w:val="22"/>
                <w:szCs w:val="22"/>
              </w:rPr>
              <w:t xml:space="preserve">31 March </w:t>
            </w:r>
            <w:r w:rsidR="0074100F" w:rsidRPr="000D756E">
              <w:rPr>
                <w:rFonts w:ascii="Arial" w:hAnsi="Arial" w:cs="Arial"/>
                <w:b/>
                <w:sz w:val="22"/>
                <w:szCs w:val="22"/>
              </w:rPr>
              <w:t>202</w:t>
            </w:r>
            <w:r w:rsidR="00597713">
              <w:rPr>
                <w:rFonts w:ascii="Arial" w:hAnsi="Arial" w:cs="Arial"/>
                <w:b/>
                <w:sz w:val="22"/>
                <w:szCs w:val="22"/>
              </w:rPr>
              <w:t>5</w:t>
            </w:r>
          </w:p>
          <w:p w14:paraId="374E8562" w14:textId="77777777" w:rsidR="003B7E4D" w:rsidRPr="000D756E" w:rsidRDefault="003B7E4D" w:rsidP="003B7E4D">
            <w:pPr>
              <w:jc w:val="right"/>
              <w:rPr>
                <w:rFonts w:ascii="Arial" w:hAnsi="Arial" w:cs="Arial"/>
                <w:b/>
                <w:sz w:val="22"/>
                <w:szCs w:val="22"/>
              </w:rPr>
            </w:pPr>
            <w:r w:rsidRPr="000D756E">
              <w:rPr>
                <w:rFonts w:ascii="Arial" w:hAnsi="Arial" w:cs="Arial"/>
                <w:b/>
                <w:sz w:val="22"/>
                <w:szCs w:val="22"/>
              </w:rPr>
              <w:t>£’000</w:t>
            </w:r>
          </w:p>
        </w:tc>
        <w:tc>
          <w:tcPr>
            <w:tcW w:w="1268" w:type="dxa"/>
            <w:tcBorders>
              <w:top w:val="single" w:sz="4" w:space="0" w:color="auto"/>
              <w:left w:val="single" w:sz="4" w:space="0" w:color="auto"/>
              <w:bottom w:val="single" w:sz="4" w:space="0" w:color="auto"/>
              <w:right w:val="single" w:sz="4" w:space="0" w:color="auto"/>
            </w:tcBorders>
          </w:tcPr>
          <w:p w14:paraId="24AF7311" w14:textId="36282F37" w:rsidR="0074100F" w:rsidRPr="000D756E" w:rsidRDefault="0074100F" w:rsidP="0074100F">
            <w:pPr>
              <w:jc w:val="right"/>
              <w:rPr>
                <w:rFonts w:ascii="Arial" w:hAnsi="Arial" w:cs="Arial"/>
                <w:b/>
                <w:sz w:val="22"/>
                <w:szCs w:val="22"/>
              </w:rPr>
            </w:pPr>
            <w:r w:rsidRPr="000D756E">
              <w:rPr>
                <w:rFonts w:ascii="Arial" w:hAnsi="Arial" w:cs="Arial"/>
                <w:b/>
                <w:sz w:val="22"/>
                <w:szCs w:val="22"/>
              </w:rPr>
              <w:t>31 March 202</w:t>
            </w:r>
            <w:r w:rsidR="00597713">
              <w:rPr>
                <w:rFonts w:ascii="Arial" w:hAnsi="Arial" w:cs="Arial"/>
                <w:b/>
                <w:sz w:val="22"/>
                <w:szCs w:val="22"/>
              </w:rPr>
              <w:t>4</w:t>
            </w:r>
          </w:p>
          <w:p w14:paraId="28A285DD" w14:textId="79DE28F7" w:rsidR="003B7E4D" w:rsidRPr="000D756E" w:rsidRDefault="003B7E4D" w:rsidP="003B7E4D">
            <w:pPr>
              <w:jc w:val="right"/>
              <w:rPr>
                <w:rFonts w:ascii="Arial" w:hAnsi="Arial" w:cs="Arial"/>
                <w:b/>
                <w:sz w:val="22"/>
                <w:szCs w:val="22"/>
              </w:rPr>
            </w:pPr>
            <w:r w:rsidRPr="000D756E">
              <w:rPr>
                <w:rFonts w:ascii="Arial" w:hAnsi="Arial" w:cs="Arial"/>
                <w:b/>
                <w:sz w:val="22"/>
                <w:szCs w:val="22"/>
              </w:rPr>
              <w:t>£’000</w:t>
            </w:r>
          </w:p>
        </w:tc>
      </w:tr>
      <w:tr w:rsidR="00597713" w:rsidRPr="000D756E" w14:paraId="514376BC" w14:textId="77777777" w:rsidTr="00F457DB">
        <w:tc>
          <w:tcPr>
            <w:tcW w:w="4395" w:type="dxa"/>
            <w:tcBorders>
              <w:top w:val="single" w:sz="4" w:space="0" w:color="auto"/>
              <w:left w:val="single" w:sz="4" w:space="0" w:color="auto"/>
              <w:bottom w:val="single" w:sz="4" w:space="0" w:color="auto"/>
              <w:right w:val="single" w:sz="4" w:space="0" w:color="auto"/>
            </w:tcBorders>
          </w:tcPr>
          <w:p w14:paraId="6BB969CC" w14:textId="77777777" w:rsidR="00597713" w:rsidRPr="000D756E" w:rsidRDefault="00597713" w:rsidP="00597713">
            <w:pPr>
              <w:rPr>
                <w:rFonts w:ascii="Arial" w:hAnsi="Arial" w:cs="Arial"/>
                <w:sz w:val="24"/>
                <w:szCs w:val="24"/>
              </w:rPr>
            </w:pPr>
          </w:p>
          <w:p w14:paraId="431C9957" w14:textId="77777777" w:rsidR="00597713" w:rsidRPr="000D756E" w:rsidRDefault="00597713" w:rsidP="00597713">
            <w:pPr>
              <w:rPr>
                <w:rFonts w:ascii="Arial" w:hAnsi="Arial" w:cs="Arial"/>
                <w:b/>
                <w:sz w:val="24"/>
                <w:szCs w:val="24"/>
              </w:rPr>
            </w:pPr>
            <w:r w:rsidRPr="000D756E">
              <w:rPr>
                <w:rFonts w:ascii="Arial" w:hAnsi="Arial" w:cs="Arial"/>
                <w:b/>
                <w:sz w:val="24"/>
                <w:szCs w:val="24"/>
              </w:rPr>
              <w:t>Borrowings</w:t>
            </w:r>
          </w:p>
          <w:p w14:paraId="3B337D8A" w14:textId="77777777" w:rsidR="00597713" w:rsidRPr="000D756E" w:rsidRDefault="00597713" w:rsidP="00597713">
            <w:pPr>
              <w:rPr>
                <w:rFonts w:ascii="Arial" w:hAnsi="Arial" w:cs="Arial"/>
                <w:sz w:val="24"/>
                <w:szCs w:val="24"/>
              </w:rPr>
            </w:pPr>
            <w:r w:rsidRPr="000D756E">
              <w:rPr>
                <w:rFonts w:ascii="Arial" w:hAnsi="Arial" w:cs="Arial"/>
                <w:sz w:val="24"/>
                <w:szCs w:val="24"/>
              </w:rPr>
              <w:t>Financial liabilities at amortised cost</w:t>
            </w:r>
          </w:p>
        </w:tc>
        <w:tc>
          <w:tcPr>
            <w:tcW w:w="1276" w:type="dxa"/>
            <w:tcBorders>
              <w:top w:val="single" w:sz="4" w:space="0" w:color="auto"/>
              <w:left w:val="single" w:sz="4" w:space="0" w:color="auto"/>
              <w:bottom w:val="single" w:sz="4" w:space="0" w:color="auto"/>
              <w:right w:val="single" w:sz="4" w:space="0" w:color="auto"/>
            </w:tcBorders>
          </w:tcPr>
          <w:p w14:paraId="08A0EE17" w14:textId="77777777" w:rsidR="00BF744B" w:rsidRDefault="00BF744B" w:rsidP="00597713">
            <w:pPr>
              <w:jc w:val="right"/>
              <w:rPr>
                <w:rFonts w:ascii="Arial" w:hAnsi="Arial" w:cs="Arial"/>
                <w:sz w:val="24"/>
                <w:szCs w:val="24"/>
              </w:rPr>
            </w:pPr>
          </w:p>
          <w:p w14:paraId="005F0C1D" w14:textId="77777777" w:rsidR="00BF744B" w:rsidRDefault="00BF744B" w:rsidP="00597713">
            <w:pPr>
              <w:jc w:val="right"/>
              <w:rPr>
                <w:rFonts w:ascii="Arial" w:hAnsi="Arial" w:cs="Arial"/>
                <w:sz w:val="24"/>
                <w:szCs w:val="24"/>
              </w:rPr>
            </w:pPr>
          </w:p>
          <w:p w14:paraId="3282F39E" w14:textId="20DAAE57" w:rsidR="00597713" w:rsidRPr="000D756E" w:rsidRDefault="00BF744B" w:rsidP="00597713">
            <w:pPr>
              <w:jc w:val="right"/>
              <w:rPr>
                <w:rFonts w:ascii="Arial" w:hAnsi="Arial" w:cs="Arial"/>
                <w:sz w:val="24"/>
                <w:szCs w:val="24"/>
              </w:rPr>
            </w:pPr>
            <w:r>
              <w:rPr>
                <w:rFonts w:ascii="Arial" w:hAnsi="Arial" w:cs="Arial"/>
                <w:sz w:val="24"/>
                <w:szCs w:val="24"/>
              </w:rPr>
              <w:t>5,045</w:t>
            </w:r>
          </w:p>
        </w:tc>
        <w:tc>
          <w:tcPr>
            <w:tcW w:w="1331" w:type="dxa"/>
            <w:tcBorders>
              <w:top w:val="single" w:sz="4" w:space="0" w:color="auto"/>
              <w:left w:val="single" w:sz="4" w:space="0" w:color="auto"/>
              <w:bottom w:val="single" w:sz="4" w:space="0" w:color="auto"/>
              <w:right w:val="single" w:sz="4" w:space="0" w:color="auto"/>
            </w:tcBorders>
          </w:tcPr>
          <w:p w14:paraId="7B824305" w14:textId="77777777" w:rsidR="00597713" w:rsidRPr="000D756E" w:rsidRDefault="00597713" w:rsidP="00597713">
            <w:pPr>
              <w:jc w:val="right"/>
              <w:rPr>
                <w:rFonts w:ascii="Arial" w:hAnsi="Arial" w:cs="Arial"/>
                <w:sz w:val="24"/>
                <w:szCs w:val="24"/>
              </w:rPr>
            </w:pPr>
          </w:p>
          <w:p w14:paraId="4F51FDEB" w14:textId="77777777" w:rsidR="00597713" w:rsidRPr="000D756E" w:rsidRDefault="00597713" w:rsidP="00597713">
            <w:pPr>
              <w:jc w:val="right"/>
              <w:rPr>
                <w:rFonts w:ascii="Arial" w:hAnsi="Arial" w:cs="Arial"/>
                <w:sz w:val="24"/>
                <w:szCs w:val="24"/>
              </w:rPr>
            </w:pPr>
          </w:p>
          <w:p w14:paraId="627375E1" w14:textId="1786F7D1" w:rsidR="00597713" w:rsidRPr="000D756E" w:rsidRDefault="00597713" w:rsidP="00597713">
            <w:pPr>
              <w:jc w:val="right"/>
              <w:rPr>
                <w:rFonts w:ascii="Arial" w:hAnsi="Arial" w:cs="Arial"/>
                <w:sz w:val="24"/>
                <w:szCs w:val="24"/>
              </w:rPr>
            </w:pPr>
            <w:r w:rsidRPr="000D756E">
              <w:rPr>
                <w:rFonts w:ascii="Arial" w:hAnsi="Arial" w:cs="Arial"/>
                <w:sz w:val="24"/>
                <w:szCs w:val="24"/>
              </w:rPr>
              <w:t>5,045</w:t>
            </w:r>
          </w:p>
        </w:tc>
        <w:tc>
          <w:tcPr>
            <w:tcW w:w="1378" w:type="dxa"/>
            <w:tcBorders>
              <w:top w:val="single" w:sz="4" w:space="0" w:color="auto"/>
              <w:left w:val="single" w:sz="4" w:space="0" w:color="auto"/>
              <w:bottom w:val="single" w:sz="4" w:space="0" w:color="auto"/>
              <w:right w:val="single" w:sz="4" w:space="0" w:color="auto"/>
            </w:tcBorders>
          </w:tcPr>
          <w:p w14:paraId="7D52BC4A" w14:textId="77777777" w:rsidR="00597713" w:rsidRDefault="00597713" w:rsidP="00597713">
            <w:pPr>
              <w:jc w:val="right"/>
              <w:rPr>
                <w:rFonts w:ascii="Arial" w:hAnsi="Arial" w:cs="Arial"/>
                <w:sz w:val="24"/>
                <w:szCs w:val="24"/>
              </w:rPr>
            </w:pPr>
          </w:p>
          <w:p w14:paraId="43D12230" w14:textId="77777777" w:rsidR="00BF744B" w:rsidRDefault="00BF744B" w:rsidP="00597713">
            <w:pPr>
              <w:jc w:val="right"/>
              <w:rPr>
                <w:rFonts w:ascii="Arial" w:hAnsi="Arial" w:cs="Arial"/>
                <w:sz w:val="24"/>
                <w:szCs w:val="24"/>
              </w:rPr>
            </w:pPr>
          </w:p>
          <w:p w14:paraId="13FE9CF8" w14:textId="49197264" w:rsidR="00BF744B" w:rsidRPr="000D756E" w:rsidRDefault="00BF744B" w:rsidP="00597713">
            <w:pPr>
              <w:jc w:val="right"/>
              <w:rPr>
                <w:rFonts w:ascii="Arial" w:hAnsi="Arial" w:cs="Arial"/>
                <w:sz w:val="24"/>
                <w:szCs w:val="24"/>
              </w:rPr>
            </w:pPr>
            <w:r>
              <w:rPr>
                <w:rFonts w:ascii="Arial" w:hAnsi="Arial" w:cs="Arial"/>
                <w:sz w:val="24"/>
                <w:szCs w:val="24"/>
              </w:rPr>
              <w:t>0</w:t>
            </w:r>
          </w:p>
        </w:tc>
        <w:tc>
          <w:tcPr>
            <w:tcW w:w="1268" w:type="dxa"/>
            <w:tcBorders>
              <w:top w:val="single" w:sz="4" w:space="0" w:color="auto"/>
              <w:left w:val="single" w:sz="4" w:space="0" w:color="auto"/>
              <w:bottom w:val="single" w:sz="4" w:space="0" w:color="auto"/>
              <w:right w:val="single" w:sz="4" w:space="0" w:color="auto"/>
            </w:tcBorders>
          </w:tcPr>
          <w:p w14:paraId="52EC3704" w14:textId="77777777" w:rsidR="00597713" w:rsidRPr="000D756E" w:rsidRDefault="00597713" w:rsidP="00597713">
            <w:pPr>
              <w:jc w:val="right"/>
              <w:rPr>
                <w:rFonts w:ascii="Arial" w:hAnsi="Arial" w:cs="Arial"/>
                <w:sz w:val="24"/>
                <w:szCs w:val="24"/>
              </w:rPr>
            </w:pPr>
          </w:p>
          <w:p w14:paraId="4B076A3F" w14:textId="77777777" w:rsidR="00597713" w:rsidRPr="000D756E" w:rsidRDefault="00597713" w:rsidP="00597713">
            <w:pPr>
              <w:jc w:val="right"/>
              <w:rPr>
                <w:rFonts w:ascii="Arial" w:hAnsi="Arial" w:cs="Arial"/>
                <w:sz w:val="24"/>
                <w:szCs w:val="24"/>
              </w:rPr>
            </w:pPr>
          </w:p>
          <w:p w14:paraId="54A82294" w14:textId="7683CBE6" w:rsidR="00597713" w:rsidRPr="000D756E" w:rsidRDefault="00597713" w:rsidP="00597713">
            <w:pPr>
              <w:jc w:val="right"/>
              <w:rPr>
                <w:rFonts w:ascii="Arial" w:hAnsi="Arial" w:cs="Arial"/>
                <w:sz w:val="24"/>
                <w:szCs w:val="24"/>
              </w:rPr>
            </w:pPr>
            <w:r w:rsidRPr="000D756E">
              <w:rPr>
                <w:rFonts w:ascii="Arial" w:hAnsi="Arial" w:cs="Arial"/>
                <w:sz w:val="24"/>
                <w:szCs w:val="24"/>
              </w:rPr>
              <w:t>210</w:t>
            </w:r>
          </w:p>
        </w:tc>
      </w:tr>
      <w:tr w:rsidR="00597713" w:rsidRPr="000D756E" w14:paraId="29182BF1" w14:textId="77777777" w:rsidTr="00F457DB">
        <w:trPr>
          <w:trHeight w:val="321"/>
        </w:trPr>
        <w:tc>
          <w:tcPr>
            <w:tcW w:w="4395" w:type="dxa"/>
            <w:tcBorders>
              <w:top w:val="single" w:sz="4" w:space="0" w:color="auto"/>
              <w:left w:val="single" w:sz="4" w:space="0" w:color="auto"/>
              <w:bottom w:val="single" w:sz="4" w:space="0" w:color="auto"/>
              <w:right w:val="single" w:sz="4" w:space="0" w:color="auto"/>
            </w:tcBorders>
          </w:tcPr>
          <w:p w14:paraId="242EE483" w14:textId="77777777" w:rsidR="00597713" w:rsidRPr="000D756E" w:rsidRDefault="00597713" w:rsidP="00597713">
            <w:pPr>
              <w:rPr>
                <w:rFonts w:ascii="Arial" w:hAnsi="Arial" w:cs="Arial"/>
                <w:b/>
                <w:sz w:val="24"/>
                <w:szCs w:val="24"/>
              </w:rPr>
            </w:pPr>
            <w:r w:rsidRPr="000D756E">
              <w:rPr>
                <w:rFonts w:ascii="Arial" w:hAnsi="Arial" w:cs="Arial"/>
                <w:b/>
                <w:sz w:val="24"/>
                <w:szCs w:val="24"/>
              </w:rPr>
              <w:t>Total borrowings</w:t>
            </w:r>
          </w:p>
        </w:tc>
        <w:tc>
          <w:tcPr>
            <w:tcW w:w="1276" w:type="dxa"/>
            <w:tcBorders>
              <w:top w:val="single" w:sz="4" w:space="0" w:color="auto"/>
              <w:left w:val="single" w:sz="4" w:space="0" w:color="auto"/>
              <w:bottom w:val="single" w:sz="4" w:space="0" w:color="auto"/>
              <w:right w:val="single" w:sz="4" w:space="0" w:color="auto"/>
            </w:tcBorders>
          </w:tcPr>
          <w:p w14:paraId="360143BE" w14:textId="27472135" w:rsidR="00597713" w:rsidRPr="000D756E" w:rsidRDefault="00BF744B" w:rsidP="00597713">
            <w:pPr>
              <w:jc w:val="right"/>
              <w:rPr>
                <w:rFonts w:ascii="Arial" w:hAnsi="Arial" w:cs="Arial"/>
                <w:b/>
                <w:sz w:val="24"/>
                <w:szCs w:val="24"/>
              </w:rPr>
            </w:pPr>
            <w:r>
              <w:rPr>
                <w:rFonts w:ascii="Arial" w:hAnsi="Arial" w:cs="Arial"/>
                <w:b/>
                <w:sz w:val="24"/>
                <w:szCs w:val="24"/>
              </w:rPr>
              <w:t>5,045</w:t>
            </w:r>
          </w:p>
        </w:tc>
        <w:tc>
          <w:tcPr>
            <w:tcW w:w="1331" w:type="dxa"/>
            <w:tcBorders>
              <w:top w:val="single" w:sz="4" w:space="0" w:color="auto"/>
              <w:left w:val="single" w:sz="4" w:space="0" w:color="auto"/>
              <w:bottom w:val="single" w:sz="4" w:space="0" w:color="auto"/>
              <w:right w:val="single" w:sz="4" w:space="0" w:color="auto"/>
            </w:tcBorders>
          </w:tcPr>
          <w:p w14:paraId="699094CE" w14:textId="6905A2C5" w:rsidR="00597713" w:rsidRPr="000D756E" w:rsidRDefault="00597713" w:rsidP="00597713">
            <w:pPr>
              <w:jc w:val="right"/>
              <w:rPr>
                <w:rFonts w:ascii="Arial" w:hAnsi="Arial" w:cs="Arial"/>
                <w:b/>
                <w:sz w:val="24"/>
                <w:szCs w:val="24"/>
              </w:rPr>
            </w:pPr>
            <w:r w:rsidRPr="000D756E">
              <w:rPr>
                <w:rFonts w:ascii="Arial" w:hAnsi="Arial" w:cs="Arial"/>
                <w:b/>
                <w:sz w:val="24"/>
                <w:szCs w:val="24"/>
              </w:rPr>
              <w:t>5,045</w:t>
            </w:r>
          </w:p>
        </w:tc>
        <w:tc>
          <w:tcPr>
            <w:tcW w:w="1378" w:type="dxa"/>
            <w:tcBorders>
              <w:top w:val="single" w:sz="4" w:space="0" w:color="auto"/>
              <w:left w:val="single" w:sz="4" w:space="0" w:color="auto"/>
              <w:bottom w:val="single" w:sz="4" w:space="0" w:color="auto"/>
              <w:right w:val="single" w:sz="4" w:space="0" w:color="auto"/>
            </w:tcBorders>
          </w:tcPr>
          <w:p w14:paraId="6AA9994C" w14:textId="110B22AB" w:rsidR="00597713" w:rsidRPr="000D756E" w:rsidRDefault="00597713" w:rsidP="00597713">
            <w:pPr>
              <w:jc w:val="right"/>
              <w:rPr>
                <w:rFonts w:ascii="Arial" w:hAnsi="Arial" w:cs="Arial"/>
                <w:b/>
                <w:sz w:val="24"/>
                <w:szCs w:val="24"/>
              </w:rPr>
            </w:pPr>
          </w:p>
        </w:tc>
        <w:tc>
          <w:tcPr>
            <w:tcW w:w="1268" w:type="dxa"/>
            <w:tcBorders>
              <w:top w:val="single" w:sz="4" w:space="0" w:color="auto"/>
              <w:left w:val="single" w:sz="4" w:space="0" w:color="auto"/>
              <w:bottom w:val="single" w:sz="4" w:space="0" w:color="auto"/>
              <w:right w:val="single" w:sz="4" w:space="0" w:color="auto"/>
            </w:tcBorders>
          </w:tcPr>
          <w:p w14:paraId="076AD91F" w14:textId="55351031" w:rsidR="00597713" w:rsidRPr="000D756E" w:rsidRDefault="00597713" w:rsidP="00597713">
            <w:pPr>
              <w:jc w:val="right"/>
              <w:rPr>
                <w:rFonts w:ascii="Arial" w:hAnsi="Arial" w:cs="Arial"/>
                <w:b/>
                <w:sz w:val="24"/>
                <w:szCs w:val="24"/>
              </w:rPr>
            </w:pPr>
            <w:r w:rsidRPr="000D756E">
              <w:rPr>
                <w:rFonts w:ascii="Arial" w:hAnsi="Arial" w:cs="Arial"/>
                <w:b/>
                <w:sz w:val="24"/>
                <w:szCs w:val="24"/>
              </w:rPr>
              <w:t>210</w:t>
            </w:r>
          </w:p>
        </w:tc>
      </w:tr>
      <w:tr w:rsidR="00A26B12" w:rsidRPr="000D756E" w14:paraId="3504B8AD" w14:textId="77777777" w:rsidTr="00F457DB">
        <w:tc>
          <w:tcPr>
            <w:tcW w:w="4395" w:type="dxa"/>
            <w:tcBorders>
              <w:top w:val="single" w:sz="4" w:space="0" w:color="auto"/>
              <w:left w:val="single" w:sz="4" w:space="0" w:color="auto"/>
              <w:bottom w:val="single" w:sz="4" w:space="0" w:color="auto"/>
              <w:right w:val="single" w:sz="4" w:space="0" w:color="auto"/>
            </w:tcBorders>
          </w:tcPr>
          <w:p w14:paraId="2D16C041" w14:textId="77777777" w:rsidR="00A26B12" w:rsidRDefault="00A26B12" w:rsidP="00597713">
            <w:pPr>
              <w:rPr>
                <w:rFonts w:ascii="Arial" w:hAnsi="Arial" w:cs="Arial"/>
                <w:b/>
                <w:sz w:val="24"/>
                <w:szCs w:val="24"/>
              </w:rPr>
            </w:pPr>
            <w:r>
              <w:rPr>
                <w:rFonts w:ascii="Arial" w:hAnsi="Arial" w:cs="Arial"/>
                <w:b/>
                <w:sz w:val="24"/>
                <w:szCs w:val="24"/>
              </w:rPr>
              <w:t>Creditors</w:t>
            </w:r>
          </w:p>
          <w:p w14:paraId="6747B6D2" w14:textId="7305AEF2" w:rsidR="00A26B12" w:rsidRPr="0006160F" w:rsidRDefault="0006160F" w:rsidP="00597713">
            <w:pPr>
              <w:rPr>
                <w:rFonts w:ascii="Arial" w:hAnsi="Arial" w:cs="Arial"/>
                <w:bCs/>
                <w:sz w:val="24"/>
                <w:szCs w:val="24"/>
              </w:rPr>
            </w:pPr>
            <w:r>
              <w:rPr>
                <w:rFonts w:ascii="Arial" w:hAnsi="Arial" w:cs="Arial"/>
                <w:bCs/>
                <w:sz w:val="24"/>
                <w:szCs w:val="24"/>
              </w:rPr>
              <w:t>Financial liabilities carried at amortised cost</w:t>
            </w:r>
          </w:p>
        </w:tc>
        <w:tc>
          <w:tcPr>
            <w:tcW w:w="1276" w:type="dxa"/>
            <w:tcBorders>
              <w:top w:val="single" w:sz="4" w:space="0" w:color="auto"/>
              <w:left w:val="single" w:sz="4" w:space="0" w:color="auto"/>
              <w:bottom w:val="single" w:sz="4" w:space="0" w:color="auto"/>
              <w:right w:val="single" w:sz="4" w:space="0" w:color="auto"/>
            </w:tcBorders>
          </w:tcPr>
          <w:p w14:paraId="1C3A6268" w14:textId="77777777" w:rsidR="00A26B12" w:rsidRDefault="00A26B12" w:rsidP="00597713">
            <w:pPr>
              <w:jc w:val="right"/>
              <w:rPr>
                <w:rFonts w:ascii="Arial" w:hAnsi="Arial" w:cs="Arial"/>
                <w:sz w:val="24"/>
                <w:szCs w:val="24"/>
              </w:rPr>
            </w:pPr>
          </w:p>
          <w:p w14:paraId="453D906C" w14:textId="06DDFCF6" w:rsidR="0006160F" w:rsidRPr="000D756E" w:rsidRDefault="0006160F" w:rsidP="00597713">
            <w:pPr>
              <w:jc w:val="right"/>
              <w:rPr>
                <w:rFonts w:ascii="Arial" w:hAnsi="Arial" w:cs="Arial"/>
                <w:sz w:val="24"/>
                <w:szCs w:val="24"/>
              </w:rPr>
            </w:pPr>
            <w:r>
              <w:rPr>
                <w:rFonts w:ascii="Arial" w:hAnsi="Arial" w:cs="Arial"/>
                <w:sz w:val="24"/>
                <w:szCs w:val="24"/>
              </w:rPr>
              <w:t>0</w:t>
            </w:r>
          </w:p>
        </w:tc>
        <w:tc>
          <w:tcPr>
            <w:tcW w:w="1331" w:type="dxa"/>
            <w:tcBorders>
              <w:top w:val="single" w:sz="4" w:space="0" w:color="auto"/>
              <w:left w:val="single" w:sz="4" w:space="0" w:color="auto"/>
              <w:bottom w:val="single" w:sz="4" w:space="0" w:color="auto"/>
              <w:right w:val="single" w:sz="4" w:space="0" w:color="auto"/>
            </w:tcBorders>
          </w:tcPr>
          <w:p w14:paraId="23699632" w14:textId="77777777" w:rsidR="00A26B12" w:rsidRDefault="00A26B12" w:rsidP="00597713">
            <w:pPr>
              <w:jc w:val="right"/>
              <w:rPr>
                <w:rFonts w:ascii="Arial" w:hAnsi="Arial" w:cs="Arial"/>
                <w:sz w:val="24"/>
                <w:szCs w:val="24"/>
              </w:rPr>
            </w:pPr>
          </w:p>
          <w:p w14:paraId="65DA5BEB" w14:textId="24B3B171" w:rsidR="0006160F" w:rsidRPr="000D756E" w:rsidRDefault="0006160F" w:rsidP="00597713">
            <w:pPr>
              <w:jc w:val="right"/>
              <w:rPr>
                <w:rFonts w:ascii="Arial" w:hAnsi="Arial" w:cs="Arial"/>
                <w:sz w:val="24"/>
                <w:szCs w:val="24"/>
              </w:rPr>
            </w:pPr>
            <w:r>
              <w:rPr>
                <w:rFonts w:ascii="Arial" w:hAnsi="Arial" w:cs="Arial"/>
                <w:sz w:val="24"/>
                <w:szCs w:val="24"/>
              </w:rPr>
              <w:t>0</w:t>
            </w:r>
          </w:p>
        </w:tc>
        <w:tc>
          <w:tcPr>
            <w:tcW w:w="1378" w:type="dxa"/>
            <w:tcBorders>
              <w:top w:val="single" w:sz="4" w:space="0" w:color="auto"/>
              <w:left w:val="single" w:sz="4" w:space="0" w:color="auto"/>
              <w:bottom w:val="single" w:sz="4" w:space="0" w:color="auto"/>
              <w:right w:val="single" w:sz="4" w:space="0" w:color="auto"/>
            </w:tcBorders>
          </w:tcPr>
          <w:p w14:paraId="658B7603" w14:textId="77777777" w:rsidR="00A26B12" w:rsidRDefault="00A26B12" w:rsidP="00597713">
            <w:pPr>
              <w:jc w:val="right"/>
              <w:rPr>
                <w:rFonts w:ascii="Arial" w:hAnsi="Arial" w:cs="Arial"/>
                <w:sz w:val="24"/>
                <w:szCs w:val="24"/>
              </w:rPr>
            </w:pPr>
          </w:p>
          <w:p w14:paraId="05053AAA" w14:textId="6F596803" w:rsidR="0006160F" w:rsidRDefault="0006160F" w:rsidP="00597713">
            <w:pPr>
              <w:jc w:val="right"/>
              <w:rPr>
                <w:rFonts w:ascii="Arial" w:hAnsi="Arial" w:cs="Arial"/>
                <w:sz w:val="24"/>
                <w:szCs w:val="24"/>
              </w:rPr>
            </w:pPr>
            <w:r>
              <w:rPr>
                <w:rFonts w:ascii="Arial" w:hAnsi="Arial" w:cs="Arial"/>
                <w:sz w:val="24"/>
                <w:szCs w:val="24"/>
              </w:rPr>
              <w:t>1,123</w:t>
            </w:r>
          </w:p>
        </w:tc>
        <w:tc>
          <w:tcPr>
            <w:tcW w:w="1268" w:type="dxa"/>
            <w:tcBorders>
              <w:top w:val="single" w:sz="4" w:space="0" w:color="auto"/>
              <w:left w:val="single" w:sz="4" w:space="0" w:color="auto"/>
              <w:bottom w:val="single" w:sz="4" w:space="0" w:color="auto"/>
              <w:right w:val="single" w:sz="4" w:space="0" w:color="auto"/>
            </w:tcBorders>
          </w:tcPr>
          <w:p w14:paraId="71CBA33C" w14:textId="77777777" w:rsidR="00A26B12" w:rsidRDefault="00A26B12" w:rsidP="00597713">
            <w:pPr>
              <w:jc w:val="right"/>
              <w:rPr>
                <w:rFonts w:ascii="Arial" w:hAnsi="Arial" w:cs="Arial"/>
                <w:sz w:val="24"/>
                <w:szCs w:val="24"/>
              </w:rPr>
            </w:pPr>
          </w:p>
          <w:p w14:paraId="34A83BA3" w14:textId="78DB7965" w:rsidR="0006160F" w:rsidRPr="000D756E" w:rsidRDefault="0006160F" w:rsidP="00597713">
            <w:pPr>
              <w:jc w:val="right"/>
              <w:rPr>
                <w:rFonts w:ascii="Arial" w:hAnsi="Arial" w:cs="Arial"/>
                <w:sz w:val="24"/>
                <w:szCs w:val="24"/>
              </w:rPr>
            </w:pPr>
            <w:r>
              <w:rPr>
                <w:rFonts w:ascii="Arial" w:hAnsi="Arial" w:cs="Arial"/>
                <w:sz w:val="24"/>
                <w:szCs w:val="24"/>
              </w:rPr>
              <w:t>1,392</w:t>
            </w:r>
          </w:p>
        </w:tc>
      </w:tr>
      <w:tr w:rsidR="00597713" w:rsidRPr="000D756E" w14:paraId="325B651B" w14:textId="77777777" w:rsidTr="00F457DB">
        <w:tc>
          <w:tcPr>
            <w:tcW w:w="4395" w:type="dxa"/>
            <w:tcBorders>
              <w:top w:val="single" w:sz="4" w:space="0" w:color="auto"/>
              <w:left w:val="single" w:sz="4" w:space="0" w:color="auto"/>
              <w:bottom w:val="single" w:sz="4" w:space="0" w:color="auto"/>
              <w:right w:val="single" w:sz="4" w:space="0" w:color="auto"/>
            </w:tcBorders>
          </w:tcPr>
          <w:p w14:paraId="29EC23AF" w14:textId="77777777" w:rsidR="00597713" w:rsidRPr="000D756E" w:rsidRDefault="00597713" w:rsidP="00597713">
            <w:pPr>
              <w:rPr>
                <w:rFonts w:ascii="Arial" w:hAnsi="Arial" w:cs="Arial"/>
                <w:b/>
                <w:sz w:val="24"/>
                <w:szCs w:val="24"/>
              </w:rPr>
            </w:pPr>
            <w:r w:rsidRPr="000D756E">
              <w:rPr>
                <w:rFonts w:ascii="Arial" w:hAnsi="Arial" w:cs="Arial"/>
                <w:b/>
                <w:sz w:val="24"/>
                <w:szCs w:val="24"/>
              </w:rPr>
              <w:t>Total creditors</w:t>
            </w:r>
          </w:p>
        </w:tc>
        <w:tc>
          <w:tcPr>
            <w:tcW w:w="1276" w:type="dxa"/>
            <w:tcBorders>
              <w:top w:val="single" w:sz="4" w:space="0" w:color="auto"/>
              <w:left w:val="single" w:sz="4" w:space="0" w:color="auto"/>
              <w:bottom w:val="single" w:sz="4" w:space="0" w:color="auto"/>
              <w:right w:val="single" w:sz="4" w:space="0" w:color="auto"/>
            </w:tcBorders>
          </w:tcPr>
          <w:p w14:paraId="6321B954" w14:textId="7333AABA" w:rsidR="00597713" w:rsidRPr="000D756E" w:rsidRDefault="00597713" w:rsidP="00597713">
            <w:pPr>
              <w:jc w:val="right"/>
              <w:rPr>
                <w:rFonts w:ascii="Arial" w:hAnsi="Arial" w:cs="Arial"/>
                <w:b/>
                <w:sz w:val="24"/>
                <w:szCs w:val="24"/>
              </w:rPr>
            </w:pPr>
            <w:r w:rsidRPr="000D756E">
              <w:rPr>
                <w:rFonts w:ascii="Arial" w:hAnsi="Arial" w:cs="Arial"/>
                <w:b/>
                <w:sz w:val="24"/>
                <w:szCs w:val="24"/>
              </w:rPr>
              <w:t>0</w:t>
            </w:r>
          </w:p>
        </w:tc>
        <w:tc>
          <w:tcPr>
            <w:tcW w:w="1331" w:type="dxa"/>
            <w:tcBorders>
              <w:top w:val="single" w:sz="4" w:space="0" w:color="auto"/>
              <w:left w:val="single" w:sz="4" w:space="0" w:color="auto"/>
              <w:bottom w:val="single" w:sz="4" w:space="0" w:color="auto"/>
              <w:right w:val="single" w:sz="4" w:space="0" w:color="auto"/>
            </w:tcBorders>
          </w:tcPr>
          <w:p w14:paraId="1FCFB3AB" w14:textId="76896D9C" w:rsidR="00597713" w:rsidRPr="000D756E" w:rsidRDefault="00597713" w:rsidP="00597713">
            <w:pPr>
              <w:jc w:val="right"/>
              <w:rPr>
                <w:rFonts w:ascii="Arial" w:hAnsi="Arial" w:cs="Arial"/>
                <w:b/>
                <w:sz w:val="24"/>
                <w:szCs w:val="24"/>
              </w:rPr>
            </w:pPr>
            <w:r w:rsidRPr="000D756E">
              <w:rPr>
                <w:rFonts w:ascii="Arial" w:hAnsi="Arial" w:cs="Arial"/>
                <w:b/>
                <w:bCs/>
                <w:sz w:val="24"/>
                <w:szCs w:val="24"/>
              </w:rPr>
              <w:t>0</w:t>
            </w:r>
          </w:p>
        </w:tc>
        <w:tc>
          <w:tcPr>
            <w:tcW w:w="1378" w:type="dxa"/>
            <w:tcBorders>
              <w:top w:val="single" w:sz="4" w:space="0" w:color="auto"/>
              <w:left w:val="single" w:sz="4" w:space="0" w:color="auto"/>
              <w:bottom w:val="single" w:sz="4" w:space="0" w:color="auto"/>
              <w:right w:val="single" w:sz="4" w:space="0" w:color="auto"/>
            </w:tcBorders>
          </w:tcPr>
          <w:p w14:paraId="7E2C6D07" w14:textId="600639D1" w:rsidR="00597713" w:rsidRPr="000D756E" w:rsidRDefault="00BE158F" w:rsidP="00597713">
            <w:pPr>
              <w:jc w:val="right"/>
              <w:rPr>
                <w:rFonts w:ascii="Arial" w:hAnsi="Arial" w:cs="Arial"/>
                <w:b/>
                <w:sz w:val="24"/>
                <w:szCs w:val="24"/>
              </w:rPr>
            </w:pPr>
            <w:r>
              <w:rPr>
                <w:rFonts w:ascii="Arial" w:hAnsi="Arial" w:cs="Arial"/>
                <w:b/>
                <w:sz w:val="24"/>
                <w:szCs w:val="24"/>
              </w:rPr>
              <w:t>1,123</w:t>
            </w:r>
          </w:p>
        </w:tc>
        <w:tc>
          <w:tcPr>
            <w:tcW w:w="1268" w:type="dxa"/>
            <w:tcBorders>
              <w:top w:val="single" w:sz="4" w:space="0" w:color="auto"/>
              <w:left w:val="single" w:sz="4" w:space="0" w:color="auto"/>
              <w:bottom w:val="single" w:sz="4" w:space="0" w:color="auto"/>
              <w:right w:val="single" w:sz="4" w:space="0" w:color="auto"/>
            </w:tcBorders>
          </w:tcPr>
          <w:p w14:paraId="095F9172" w14:textId="0A1782F0" w:rsidR="00597713" w:rsidRPr="000D756E" w:rsidRDefault="00597713" w:rsidP="00597713">
            <w:pPr>
              <w:jc w:val="right"/>
              <w:rPr>
                <w:rFonts w:ascii="Arial" w:hAnsi="Arial" w:cs="Arial"/>
                <w:b/>
                <w:sz w:val="24"/>
                <w:szCs w:val="24"/>
              </w:rPr>
            </w:pPr>
            <w:r w:rsidRPr="000D756E">
              <w:rPr>
                <w:rFonts w:ascii="Arial" w:hAnsi="Arial" w:cs="Arial"/>
                <w:b/>
                <w:sz w:val="24"/>
                <w:szCs w:val="24"/>
              </w:rPr>
              <w:t>1,392</w:t>
            </w:r>
          </w:p>
        </w:tc>
      </w:tr>
    </w:tbl>
    <w:p w14:paraId="31D1EDCB" w14:textId="2F2BAA15" w:rsidR="0E6F239C" w:rsidRPr="000D756E" w:rsidRDefault="0E6F239C"/>
    <w:p w14:paraId="77429A77" w14:textId="77777777" w:rsidR="004831CD" w:rsidRPr="000D756E" w:rsidRDefault="004831CD" w:rsidP="004831CD">
      <w:pPr>
        <w:rPr>
          <w:rFonts w:ascii="Arial" w:hAnsi="Arial" w:cs="Arial"/>
          <w:b/>
          <w:sz w:val="24"/>
          <w:szCs w:val="24"/>
        </w:rPr>
      </w:pPr>
    </w:p>
    <w:p w14:paraId="4B34B70E" w14:textId="2DEF165E" w:rsidR="002544DF" w:rsidRPr="000D756E" w:rsidRDefault="002B5748" w:rsidP="002A7C01">
      <w:pPr>
        <w:pStyle w:val="Heading2"/>
        <w:rPr>
          <w:rFonts w:cs="Arial"/>
          <w:szCs w:val="24"/>
        </w:rPr>
      </w:pPr>
      <w:r w:rsidRPr="000D756E">
        <w:rPr>
          <w:rFonts w:cs="Arial"/>
          <w:caps w:val="0"/>
          <w:szCs w:val="24"/>
        </w:rPr>
        <w:t xml:space="preserve">Income, Expense, </w:t>
      </w:r>
      <w:r w:rsidR="002544DF" w:rsidRPr="000D756E">
        <w:rPr>
          <w:rFonts w:cs="Arial"/>
          <w:caps w:val="0"/>
          <w:szCs w:val="24"/>
        </w:rPr>
        <w:t xml:space="preserve">Gains </w:t>
      </w:r>
      <w:r w:rsidR="00C06A83" w:rsidRPr="000D756E">
        <w:rPr>
          <w:rFonts w:cs="Arial"/>
          <w:caps w:val="0"/>
          <w:szCs w:val="24"/>
        </w:rPr>
        <w:t>a</w:t>
      </w:r>
      <w:r w:rsidR="002544DF" w:rsidRPr="000D756E">
        <w:rPr>
          <w:rFonts w:cs="Arial"/>
          <w:caps w:val="0"/>
          <w:szCs w:val="24"/>
        </w:rPr>
        <w:t>nd Losses</w:t>
      </w:r>
    </w:p>
    <w:p w14:paraId="405F67EE" w14:textId="77777777" w:rsidR="002544DF" w:rsidRPr="000D756E" w:rsidRDefault="002544DF" w:rsidP="002A7C01">
      <w:pPr>
        <w:pStyle w:val="Heading2"/>
        <w:ind w:left="360"/>
        <w:rPr>
          <w:rFonts w:cs="Arial"/>
          <w:szCs w:val="24"/>
        </w:rPr>
      </w:pPr>
    </w:p>
    <w:p w14:paraId="2722F91E" w14:textId="77777777" w:rsidR="002544DF" w:rsidRPr="000D756E" w:rsidRDefault="002544DF" w:rsidP="002A7C01">
      <w:pPr>
        <w:rPr>
          <w:rFonts w:ascii="Arial" w:hAnsi="Arial" w:cs="Arial"/>
          <w:sz w:val="24"/>
          <w:szCs w:val="24"/>
        </w:rPr>
      </w:pPr>
      <w:r w:rsidRPr="000D756E">
        <w:rPr>
          <w:rFonts w:ascii="Arial" w:hAnsi="Arial" w:cs="Arial"/>
          <w:sz w:val="24"/>
          <w:szCs w:val="24"/>
        </w:rPr>
        <w:t>The gains and losses recognised in the Comprehensive Income and Expenditure Statement in relation to financial instruments are made up as follows:</w:t>
      </w:r>
    </w:p>
    <w:p w14:paraId="03BBBDB5" w14:textId="77777777" w:rsidR="002544DF" w:rsidRPr="000D756E" w:rsidRDefault="002544DF" w:rsidP="002A7C01">
      <w:pPr>
        <w:ind w:left="360"/>
        <w:rPr>
          <w:rFonts w:ascii="Arial" w:hAnsi="Arial" w:cs="Arial"/>
          <w:sz w:val="24"/>
          <w:szCs w:val="24"/>
        </w:rPr>
      </w:pPr>
    </w:p>
    <w:tbl>
      <w:tblPr>
        <w:tblW w:w="103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559"/>
        <w:gridCol w:w="1418"/>
        <w:gridCol w:w="1559"/>
        <w:gridCol w:w="1512"/>
      </w:tblGrid>
      <w:tr w:rsidR="00CC7A62" w:rsidRPr="000D756E" w14:paraId="001A4830" w14:textId="77777777" w:rsidTr="00D07EF7">
        <w:trPr>
          <w:trHeight w:val="259"/>
        </w:trPr>
        <w:tc>
          <w:tcPr>
            <w:tcW w:w="4253" w:type="dxa"/>
          </w:tcPr>
          <w:p w14:paraId="54697902" w14:textId="77777777" w:rsidR="00B96E9E" w:rsidRPr="000D756E" w:rsidRDefault="00B96E9E" w:rsidP="002A7C01">
            <w:pPr>
              <w:ind w:left="-709"/>
              <w:rPr>
                <w:rFonts w:ascii="Arial" w:hAnsi="Arial" w:cs="Arial"/>
                <w:sz w:val="24"/>
                <w:szCs w:val="24"/>
              </w:rPr>
            </w:pPr>
          </w:p>
        </w:tc>
        <w:tc>
          <w:tcPr>
            <w:tcW w:w="2977" w:type="dxa"/>
            <w:gridSpan w:val="2"/>
          </w:tcPr>
          <w:p w14:paraId="6D541AAA" w14:textId="1BE2DC24" w:rsidR="00B96E9E" w:rsidRPr="000D756E" w:rsidRDefault="00B96E9E" w:rsidP="009526A1">
            <w:pPr>
              <w:jc w:val="center"/>
              <w:rPr>
                <w:rFonts w:ascii="Arial" w:hAnsi="Arial" w:cs="Arial"/>
                <w:b/>
                <w:sz w:val="22"/>
                <w:szCs w:val="22"/>
              </w:rPr>
            </w:pPr>
            <w:r w:rsidRPr="000D756E">
              <w:rPr>
                <w:rFonts w:ascii="Arial" w:hAnsi="Arial" w:cs="Arial"/>
                <w:b/>
                <w:sz w:val="22"/>
                <w:szCs w:val="22"/>
              </w:rPr>
              <w:t>20</w:t>
            </w:r>
            <w:r w:rsidR="00096EAC" w:rsidRPr="000D756E">
              <w:rPr>
                <w:rFonts w:ascii="Arial" w:hAnsi="Arial" w:cs="Arial"/>
                <w:b/>
                <w:sz w:val="22"/>
                <w:szCs w:val="22"/>
              </w:rPr>
              <w:t>2</w:t>
            </w:r>
            <w:r w:rsidR="00597713">
              <w:rPr>
                <w:rFonts w:ascii="Arial" w:hAnsi="Arial" w:cs="Arial"/>
                <w:b/>
                <w:sz w:val="22"/>
                <w:szCs w:val="22"/>
              </w:rPr>
              <w:t>4/25</w:t>
            </w:r>
          </w:p>
        </w:tc>
        <w:tc>
          <w:tcPr>
            <w:tcW w:w="3071" w:type="dxa"/>
            <w:gridSpan w:val="2"/>
          </w:tcPr>
          <w:p w14:paraId="4E8FDCE6" w14:textId="3638184B" w:rsidR="00B96E9E" w:rsidRPr="000D756E" w:rsidRDefault="00B96E9E" w:rsidP="009526A1">
            <w:pPr>
              <w:jc w:val="center"/>
              <w:rPr>
                <w:rFonts w:ascii="Arial" w:hAnsi="Arial" w:cs="Arial"/>
                <w:b/>
                <w:sz w:val="22"/>
                <w:szCs w:val="22"/>
              </w:rPr>
            </w:pPr>
            <w:r w:rsidRPr="000D756E">
              <w:rPr>
                <w:rFonts w:ascii="Arial" w:hAnsi="Arial" w:cs="Arial"/>
                <w:b/>
                <w:sz w:val="22"/>
                <w:szCs w:val="22"/>
              </w:rPr>
              <w:t>20</w:t>
            </w:r>
            <w:r w:rsidR="00932B1D" w:rsidRPr="000D756E">
              <w:rPr>
                <w:rFonts w:ascii="Arial" w:hAnsi="Arial" w:cs="Arial"/>
                <w:b/>
                <w:sz w:val="22"/>
                <w:szCs w:val="22"/>
              </w:rPr>
              <w:t>2</w:t>
            </w:r>
            <w:r w:rsidR="00597713">
              <w:rPr>
                <w:rFonts w:ascii="Arial" w:hAnsi="Arial" w:cs="Arial"/>
                <w:b/>
                <w:sz w:val="22"/>
                <w:szCs w:val="22"/>
              </w:rPr>
              <w:t>3/24</w:t>
            </w:r>
          </w:p>
        </w:tc>
      </w:tr>
      <w:tr w:rsidR="00CC7A62" w:rsidRPr="000D756E" w14:paraId="2F38889F" w14:textId="77777777" w:rsidTr="00D07EF7">
        <w:tc>
          <w:tcPr>
            <w:tcW w:w="4253" w:type="dxa"/>
          </w:tcPr>
          <w:p w14:paraId="0B500ABE" w14:textId="77777777" w:rsidR="00B96E9E" w:rsidRPr="000D756E" w:rsidRDefault="00B96E9E" w:rsidP="002A7C01">
            <w:pPr>
              <w:rPr>
                <w:rFonts w:ascii="Arial" w:hAnsi="Arial" w:cs="Arial"/>
                <w:sz w:val="24"/>
                <w:szCs w:val="24"/>
              </w:rPr>
            </w:pPr>
          </w:p>
        </w:tc>
        <w:tc>
          <w:tcPr>
            <w:tcW w:w="1559" w:type="dxa"/>
          </w:tcPr>
          <w:p w14:paraId="18B8E26F" w14:textId="77777777" w:rsidR="00B96E9E" w:rsidRPr="000D756E" w:rsidRDefault="00B96E9E" w:rsidP="0004335B">
            <w:pPr>
              <w:jc w:val="right"/>
              <w:rPr>
                <w:rFonts w:ascii="Arial" w:hAnsi="Arial" w:cs="Arial"/>
                <w:b/>
                <w:sz w:val="22"/>
                <w:szCs w:val="22"/>
              </w:rPr>
            </w:pPr>
            <w:r w:rsidRPr="000D756E">
              <w:rPr>
                <w:rFonts w:ascii="Arial" w:hAnsi="Arial" w:cs="Arial"/>
                <w:b/>
                <w:sz w:val="22"/>
                <w:szCs w:val="22"/>
              </w:rPr>
              <w:t>Liabilities at amortised cost</w:t>
            </w:r>
          </w:p>
          <w:p w14:paraId="07D38227" w14:textId="77777777" w:rsidR="00B96E9E" w:rsidRPr="000D756E" w:rsidRDefault="00B96E9E" w:rsidP="0004335B">
            <w:pPr>
              <w:jc w:val="right"/>
              <w:rPr>
                <w:rFonts w:ascii="Arial" w:hAnsi="Arial" w:cs="Arial"/>
                <w:b/>
                <w:sz w:val="22"/>
                <w:szCs w:val="22"/>
              </w:rPr>
            </w:pPr>
            <w:r w:rsidRPr="000D756E">
              <w:rPr>
                <w:rFonts w:ascii="Arial" w:hAnsi="Arial" w:cs="Arial"/>
                <w:b/>
                <w:sz w:val="22"/>
                <w:szCs w:val="22"/>
              </w:rPr>
              <w:t>£’000</w:t>
            </w:r>
          </w:p>
        </w:tc>
        <w:tc>
          <w:tcPr>
            <w:tcW w:w="1418" w:type="dxa"/>
          </w:tcPr>
          <w:p w14:paraId="5834C17C" w14:textId="77777777" w:rsidR="00B96E9E" w:rsidRPr="000D756E" w:rsidRDefault="00B96E9E" w:rsidP="0004335B">
            <w:pPr>
              <w:jc w:val="right"/>
              <w:rPr>
                <w:rFonts w:ascii="Arial" w:hAnsi="Arial" w:cs="Arial"/>
                <w:b/>
                <w:sz w:val="22"/>
                <w:szCs w:val="22"/>
              </w:rPr>
            </w:pPr>
            <w:r w:rsidRPr="000D756E">
              <w:rPr>
                <w:rFonts w:ascii="Arial" w:hAnsi="Arial" w:cs="Arial"/>
                <w:b/>
                <w:sz w:val="22"/>
                <w:szCs w:val="22"/>
              </w:rPr>
              <w:t>Assets – loans and receivables</w:t>
            </w:r>
          </w:p>
          <w:p w14:paraId="7AEF93CA" w14:textId="77777777" w:rsidR="00B96E9E" w:rsidRPr="000D756E" w:rsidRDefault="00B96E9E" w:rsidP="0004335B">
            <w:pPr>
              <w:jc w:val="right"/>
              <w:rPr>
                <w:rFonts w:ascii="Arial" w:hAnsi="Arial" w:cs="Arial"/>
                <w:b/>
                <w:sz w:val="22"/>
                <w:szCs w:val="22"/>
              </w:rPr>
            </w:pPr>
            <w:r w:rsidRPr="000D756E">
              <w:rPr>
                <w:rFonts w:ascii="Arial" w:hAnsi="Arial" w:cs="Arial"/>
                <w:b/>
                <w:sz w:val="22"/>
                <w:szCs w:val="22"/>
              </w:rPr>
              <w:t>£’000</w:t>
            </w:r>
          </w:p>
        </w:tc>
        <w:tc>
          <w:tcPr>
            <w:tcW w:w="1559" w:type="dxa"/>
          </w:tcPr>
          <w:p w14:paraId="54059788" w14:textId="77777777" w:rsidR="00B96E9E" w:rsidRPr="000D756E" w:rsidRDefault="00B96E9E" w:rsidP="0004335B">
            <w:pPr>
              <w:jc w:val="right"/>
              <w:rPr>
                <w:rFonts w:ascii="Arial" w:hAnsi="Arial" w:cs="Arial"/>
                <w:b/>
                <w:sz w:val="22"/>
                <w:szCs w:val="22"/>
              </w:rPr>
            </w:pPr>
            <w:r w:rsidRPr="000D756E">
              <w:rPr>
                <w:rFonts w:ascii="Arial" w:hAnsi="Arial" w:cs="Arial"/>
                <w:b/>
                <w:sz w:val="22"/>
                <w:szCs w:val="22"/>
              </w:rPr>
              <w:t>Liabilities at amortised cost</w:t>
            </w:r>
          </w:p>
          <w:p w14:paraId="75930CA7" w14:textId="77777777" w:rsidR="00B96E9E" w:rsidRPr="000D756E" w:rsidRDefault="00B96E9E" w:rsidP="0004335B">
            <w:pPr>
              <w:jc w:val="right"/>
              <w:rPr>
                <w:rFonts w:ascii="Arial" w:hAnsi="Arial" w:cs="Arial"/>
                <w:b/>
                <w:sz w:val="22"/>
                <w:szCs w:val="22"/>
              </w:rPr>
            </w:pPr>
            <w:r w:rsidRPr="000D756E">
              <w:rPr>
                <w:rFonts w:ascii="Arial" w:hAnsi="Arial" w:cs="Arial"/>
                <w:b/>
                <w:sz w:val="22"/>
                <w:szCs w:val="22"/>
              </w:rPr>
              <w:t>£’000</w:t>
            </w:r>
          </w:p>
        </w:tc>
        <w:tc>
          <w:tcPr>
            <w:tcW w:w="1512" w:type="dxa"/>
          </w:tcPr>
          <w:p w14:paraId="2559511D" w14:textId="77777777" w:rsidR="00B96E9E" w:rsidRPr="000D756E" w:rsidRDefault="00B96E9E" w:rsidP="0004335B">
            <w:pPr>
              <w:jc w:val="right"/>
              <w:rPr>
                <w:rFonts w:ascii="Arial" w:hAnsi="Arial" w:cs="Arial"/>
                <w:b/>
                <w:sz w:val="22"/>
                <w:szCs w:val="22"/>
              </w:rPr>
            </w:pPr>
            <w:r w:rsidRPr="000D756E">
              <w:rPr>
                <w:rFonts w:ascii="Arial" w:hAnsi="Arial" w:cs="Arial"/>
                <w:b/>
                <w:sz w:val="22"/>
                <w:szCs w:val="22"/>
              </w:rPr>
              <w:t>Assets – loans and receivables</w:t>
            </w:r>
          </w:p>
          <w:p w14:paraId="6E89957B" w14:textId="77777777" w:rsidR="00B96E9E" w:rsidRPr="000D756E" w:rsidRDefault="00B96E9E" w:rsidP="0004335B">
            <w:pPr>
              <w:jc w:val="right"/>
              <w:rPr>
                <w:rFonts w:ascii="Arial" w:hAnsi="Arial" w:cs="Arial"/>
                <w:b/>
                <w:sz w:val="22"/>
                <w:szCs w:val="22"/>
              </w:rPr>
            </w:pPr>
            <w:r w:rsidRPr="000D756E">
              <w:rPr>
                <w:rFonts w:ascii="Arial" w:hAnsi="Arial" w:cs="Arial"/>
                <w:b/>
                <w:sz w:val="22"/>
                <w:szCs w:val="22"/>
              </w:rPr>
              <w:t>£’000</w:t>
            </w:r>
          </w:p>
        </w:tc>
      </w:tr>
      <w:tr w:rsidR="00CC7A62" w:rsidRPr="000D756E" w14:paraId="49F01216" w14:textId="77777777" w:rsidTr="00D07EF7">
        <w:trPr>
          <w:trHeight w:val="517"/>
        </w:trPr>
        <w:tc>
          <w:tcPr>
            <w:tcW w:w="4253" w:type="dxa"/>
          </w:tcPr>
          <w:p w14:paraId="26DDF5D5" w14:textId="77777777" w:rsidR="00597713" w:rsidRPr="000D756E" w:rsidRDefault="00597713" w:rsidP="00597713">
            <w:pPr>
              <w:rPr>
                <w:rFonts w:ascii="Arial" w:hAnsi="Arial" w:cs="Arial"/>
                <w:sz w:val="22"/>
                <w:szCs w:val="22"/>
              </w:rPr>
            </w:pPr>
          </w:p>
          <w:p w14:paraId="2C2CBD74" w14:textId="77777777" w:rsidR="00597713" w:rsidRPr="000D756E" w:rsidRDefault="00597713" w:rsidP="00597713">
            <w:pPr>
              <w:rPr>
                <w:rFonts w:ascii="Arial" w:hAnsi="Arial" w:cs="Arial"/>
                <w:sz w:val="22"/>
                <w:szCs w:val="22"/>
              </w:rPr>
            </w:pPr>
            <w:r w:rsidRPr="000D756E">
              <w:rPr>
                <w:rFonts w:ascii="Arial" w:hAnsi="Arial" w:cs="Arial"/>
                <w:sz w:val="22"/>
                <w:szCs w:val="22"/>
              </w:rPr>
              <w:t>Interest expense</w:t>
            </w:r>
          </w:p>
          <w:p w14:paraId="4B6CD325" w14:textId="77777777" w:rsidR="00597713" w:rsidRPr="000D756E" w:rsidRDefault="00597713" w:rsidP="00597713">
            <w:pPr>
              <w:rPr>
                <w:rFonts w:ascii="Arial" w:hAnsi="Arial" w:cs="Arial"/>
                <w:sz w:val="24"/>
                <w:szCs w:val="24"/>
              </w:rPr>
            </w:pPr>
          </w:p>
        </w:tc>
        <w:tc>
          <w:tcPr>
            <w:tcW w:w="1559" w:type="dxa"/>
          </w:tcPr>
          <w:p w14:paraId="43859CB6" w14:textId="77777777" w:rsidR="0042781F" w:rsidRDefault="0042781F" w:rsidP="00597713">
            <w:pPr>
              <w:jc w:val="right"/>
              <w:rPr>
                <w:rFonts w:ascii="Arial" w:hAnsi="Arial" w:cs="Arial"/>
                <w:sz w:val="24"/>
                <w:szCs w:val="24"/>
              </w:rPr>
            </w:pPr>
          </w:p>
          <w:p w14:paraId="2C3032F9" w14:textId="2E4DAD53" w:rsidR="00417B1C" w:rsidRPr="000D756E" w:rsidRDefault="00417B1C" w:rsidP="00597713">
            <w:pPr>
              <w:jc w:val="right"/>
              <w:rPr>
                <w:rFonts w:ascii="Arial" w:hAnsi="Arial" w:cs="Arial"/>
                <w:sz w:val="24"/>
                <w:szCs w:val="24"/>
              </w:rPr>
            </w:pPr>
            <w:r>
              <w:rPr>
                <w:rFonts w:ascii="Arial" w:hAnsi="Arial" w:cs="Arial"/>
                <w:sz w:val="24"/>
                <w:szCs w:val="24"/>
              </w:rPr>
              <w:t>232</w:t>
            </w:r>
          </w:p>
        </w:tc>
        <w:tc>
          <w:tcPr>
            <w:tcW w:w="1418" w:type="dxa"/>
          </w:tcPr>
          <w:p w14:paraId="49DD2D1E" w14:textId="77777777" w:rsidR="00597713" w:rsidRPr="000D756E" w:rsidRDefault="00597713" w:rsidP="00597713">
            <w:pPr>
              <w:jc w:val="right"/>
              <w:rPr>
                <w:rFonts w:ascii="Arial" w:hAnsi="Arial" w:cs="Arial"/>
                <w:sz w:val="24"/>
                <w:szCs w:val="24"/>
              </w:rPr>
            </w:pPr>
          </w:p>
          <w:p w14:paraId="7FB402CB" w14:textId="60A45778" w:rsidR="00597713" w:rsidRPr="000D756E" w:rsidRDefault="00417B1C" w:rsidP="00597713">
            <w:pPr>
              <w:jc w:val="right"/>
              <w:rPr>
                <w:rFonts w:ascii="Arial" w:hAnsi="Arial" w:cs="Arial"/>
                <w:sz w:val="24"/>
                <w:szCs w:val="24"/>
              </w:rPr>
            </w:pPr>
            <w:r>
              <w:rPr>
                <w:rFonts w:ascii="Arial" w:hAnsi="Arial" w:cs="Arial"/>
                <w:sz w:val="24"/>
                <w:szCs w:val="24"/>
              </w:rPr>
              <w:t>0</w:t>
            </w:r>
          </w:p>
        </w:tc>
        <w:tc>
          <w:tcPr>
            <w:tcW w:w="1559" w:type="dxa"/>
          </w:tcPr>
          <w:p w14:paraId="63AE2094" w14:textId="77777777" w:rsidR="00597713" w:rsidRDefault="00597713" w:rsidP="00597713">
            <w:pPr>
              <w:jc w:val="right"/>
              <w:rPr>
                <w:rFonts w:ascii="Arial" w:hAnsi="Arial" w:cs="Arial"/>
                <w:sz w:val="24"/>
                <w:szCs w:val="24"/>
              </w:rPr>
            </w:pPr>
          </w:p>
          <w:p w14:paraId="109DB000" w14:textId="6ADDED6B" w:rsidR="00417B1C" w:rsidRPr="000D756E" w:rsidRDefault="00DE60DB" w:rsidP="00597713">
            <w:pPr>
              <w:jc w:val="right"/>
              <w:rPr>
                <w:rFonts w:ascii="Arial" w:hAnsi="Arial" w:cs="Arial"/>
                <w:sz w:val="24"/>
                <w:szCs w:val="24"/>
              </w:rPr>
            </w:pPr>
            <w:r>
              <w:rPr>
                <w:rFonts w:ascii="Arial" w:hAnsi="Arial" w:cs="Arial"/>
                <w:sz w:val="24"/>
                <w:szCs w:val="24"/>
              </w:rPr>
              <w:t>234</w:t>
            </w:r>
          </w:p>
        </w:tc>
        <w:tc>
          <w:tcPr>
            <w:tcW w:w="1512" w:type="dxa"/>
          </w:tcPr>
          <w:p w14:paraId="056359C4" w14:textId="77777777" w:rsidR="00597713" w:rsidRPr="000D756E" w:rsidRDefault="00597713" w:rsidP="00597713">
            <w:pPr>
              <w:jc w:val="right"/>
              <w:rPr>
                <w:rFonts w:ascii="Arial" w:hAnsi="Arial" w:cs="Arial"/>
                <w:sz w:val="24"/>
                <w:szCs w:val="24"/>
              </w:rPr>
            </w:pPr>
          </w:p>
          <w:p w14:paraId="189FEA66" w14:textId="668AD6FD" w:rsidR="00597713" w:rsidRPr="000D756E" w:rsidRDefault="00DE60DB" w:rsidP="00597713">
            <w:pPr>
              <w:jc w:val="right"/>
              <w:rPr>
                <w:rFonts w:ascii="Arial" w:hAnsi="Arial" w:cs="Arial"/>
                <w:sz w:val="24"/>
                <w:szCs w:val="24"/>
              </w:rPr>
            </w:pPr>
            <w:r>
              <w:rPr>
                <w:rFonts w:ascii="Arial" w:hAnsi="Arial" w:cs="Arial"/>
                <w:sz w:val="24"/>
                <w:szCs w:val="24"/>
              </w:rPr>
              <w:t>0</w:t>
            </w:r>
          </w:p>
        </w:tc>
      </w:tr>
      <w:tr w:rsidR="00CC7A62" w:rsidRPr="000D756E" w14:paraId="3D0DF11D" w14:textId="77777777" w:rsidTr="00D07EF7">
        <w:trPr>
          <w:trHeight w:val="526"/>
        </w:trPr>
        <w:tc>
          <w:tcPr>
            <w:tcW w:w="4253" w:type="dxa"/>
          </w:tcPr>
          <w:p w14:paraId="19F2B754" w14:textId="77777777" w:rsidR="00597713" w:rsidRPr="000D756E" w:rsidRDefault="00597713" w:rsidP="00597713">
            <w:pPr>
              <w:rPr>
                <w:rFonts w:ascii="Arial" w:hAnsi="Arial" w:cs="Arial"/>
                <w:b/>
                <w:sz w:val="22"/>
                <w:szCs w:val="22"/>
              </w:rPr>
            </w:pPr>
            <w:r w:rsidRPr="000D756E">
              <w:rPr>
                <w:rFonts w:ascii="Arial" w:hAnsi="Arial" w:cs="Arial"/>
                <w:b/>
                <w:sz w:val="22"/>
                <w:szCs w:val="22"/>
              </w:rPr>
              <w:t>Total expense in Surplus or Deficit on the Provision of Services</w:t>
            </w:r>
          </w:p>
        </w:tc>
        <w:tc>
          <w:tcPr>
            <w:tcW w:w="1559" w:type="dxa"/>
          </w:tcPr>
          <w:p w14:paraId="7944CF15" w14:textId="77777777" w:rsidR="0042781F" w:rsidRDefault="0042781F" w:rsidP="00597713">
            <w:pPr>
              <w:jc w:val="right"/>
              <w:rPr>
                <w:rFonts w:ascii="Arial" w:hAnsi="Arial" w:cs="Arial"/>
                <w:b/>
                <w:sz w:val="24"/>
                <w:szCs w:val="24"/>
              </w:rPr>
            </w:pPr>
          </w:p>
          <w:p w14:paraId="4D9D392E" w14:textId="0207431C" w:rsidR="00417B1C" w:rsidRPr="000D756E" w:rsidRDefault="00417B1C" w:rsidP="00597713">
            <w:pPr>
              <w:jc w:val="right"/>
              <w:rPr>
                <w:rFonts w:ascii="Arial" w:hAnsi="Arial" w:cs="Arial"/>
                <w:b/>
                <w:sz w:val="24"/>
                <w:szCs w:val="24"/>
              </w:rPr>
            </w:pPr>
            <w:r>
              <w:rPr>
                <w:rFonts w:ascii="Arial" w:hAnsi="Arial" w:cs="Arial"/>
                <w:b/>
                <w:sz w:val="24"/>
                <w:szCs w:val="24"/>
              </w:rPr>
              <w:t>232</w:t>
            </w:r>
          </w:p>
        </w:tc>
        <w:tc>
          <w:tcPr>
            <w:tcW w:w="1418" w:type="dxa"/>
          </w:tcPr>
          <w:p w14:paraId="088EEDB7" w14:textId="77777777" w:rsidR="00597713" w:rsidRPr="000D756E" w:rsidRDefault="00597713" w:rsidP="00597713">
            <w:pPr>
              <w:jc w:val="right"/>
              <w:rPr>
                <w:rFonts w:ascii="Arial" w:hAnsi="Arial" w:cs="Arial"/>
                <w:b/>
                <w:sz w:val="24"/>
                <w:szCs w:val="24"/>
              </w:rPr>
            </w:pPr>
          </w:p>
          <w:p w14:paraId="6828AF7D" w14:textId="72ABBC83" w:rsidR="00597713" w:rsidRPr="000D756E" w:rsidRDefault="00417B1C" w:rsidP="00597713">
            <w:pPr>
              <w:jc w:val="right"/>
              <w:rPr>
                <w:rFonts w:ascii="Arial" w:hAnsi="Arial" w:cs="Arial"/>
                <w:b/>
                <w:sz w:val="24"/>
                <w:szCs w:val="24"/>
              </w:rPr>
            </w:pPr>
            <w:r>
              <w:rPr>
                <w:rFonts w:ascii="Arial" w:hAnsi="Arial" w:cs="Arial"/>
                <w:b/>
                <w:sz w:val="24"/>
                <w:szCs w:val="24"/>
              </w:rPr>
              <w:t>0</w:t>
            </w:r>
          </w:p>
        </w:tc>
        <w:tc>
          <w:tcPr>
            <w:tcW w:w="1559" w:type="dxa"/>
          </w:tcPr>
          <w:p w14:paraId="55DF7372" w14:textId="77777777" w:rsidR="00597713" w:rsidRDefault="00597713" w:rsidP="00597713">
            <w:pPr>
              <w:jc w:val="right"/>
              <w:rPr>
                <w:rFonts w:ascii="Arial" w:hAnsi="Arial" w:cs="Arial"/>
                <w:b/>
                <w:sz w:val="24"/>
                <w:szCs w:val="24"/>
              </w:rPr>
            </w:pPr>
          </w:p>
          <w:p w14:paraId="0D27537F" w14:textId="6ACF05D9" w:rsidR="00DE60DB" w:rsidRPr="000D756E" w:rsidRDefault="00DE60DB" w:rsidP="00597713">
            <w:pPr>
              <w:jc w:val="right"/>
              <w:rPr>
                <w:rFonts w:ascii="Arial" w:hAnsi="Arial" w:cs="Arial"/>
                <w:b/>
                <w:sz w:val="24"/>
                <w:szCs w:val="24"/>
              </w:rPr>
            </w:pPr>
            <w:r>
              <w:rPr>
                <w:rFonts w:ascii="Arial" w:hAnsi="Arial" w:cs="Arial"/>
                <w:b/>
                <w:sz w:val="24"/>
                <w:szCs w:val="24"/>
              </w:rPr>
              <w:t>234</w:t>
            </w:r>
          </w:p>
        </w:tc>
        <w:tc>
          <w:tcPr>
            <w:tcW w:w="1512" w:type="dxa"/>
          </w:tcPr>
          <w:p w14:paraId="170C9DAF" w14:textId="77777777" w:rsidR="00597713" w:rsidRPr="000D756E" w:rsidRDefault="00597713" w:rsidP="00597713">
            <w:pPr>
              <w:jc w:val="right"/>
              <w:rPr>
                <w:rFonts w:ascii="Arial" w:hAnsi="Arial" w:cs="Arial"/>
                <w:b/>
                <w:sz w:val="24"/>
                <w:szCs w:val="24"/>
              </w:rPr>
            </w:pPr>
          </w:p>
          <w:p w14:paraId="7460B508" w14:textId="4DBB5C3D" w:rsidR="00597713" w:rsidRPr="000D756E" w:rsidRDefault="00DE60DB" w:rsidP="00597713">
            <w:pPr>
              <w:jc w:val="right"/>
              <w:rPr>
                <w:rFonts w:ascii="Arial" w:hAnsi="Arial" w:cs="Arial"/>
                <w:b/>
                <w:sz w:val="24"/>
                <w:szCs w:val="24"/>
              </w:rPr>
            </w:pPr>
            <w:r>
              <w:rPr>
                <w:rFonts w:ascii="Arial" w:hAnsi="Arial" w:cs="Arial"/>
                <w:b/>
                <w:sz w:val="24"/>
                <w:szCs w:val="24"/>
              </w:rPr>
              <w:t>0</w:t>
            </w:r>
          </w:p>
        </w:tc>
      </w:tr>
      <w:tr w:rsidR="00CC7A62" w:rsidRPr="000D756E" w14:paraId="27C91AD0" w14:textId="77777777" w:rsidTr="00D07EF7">
        <w:tc>
          <w:tcPr>
            <w:tcW w:w="4253" w:type="dxa"/>
          </w:tcPr>
          <w:p w14:paraId="5AE7AD17" w14:textId="77777777" w:rsidR="00597713" w:rsidRPr="000D756E" w:rsidRDefault="00597713" w:rsidP="00597713">
            <w:pPr>
              <w:rPr>
                <w:rFonts w:ascii="Arial" w:hAnsi="Arial" w:cs="Arial"/>
                <w:sz w:val="22"/>
                <w:szCs w:val="22"/>
              </w:rPr>
            </w:pPr>
          </w:p>
          <w:p w14:paraId="04E8371B" w14:textId="59F21BF9" w:rsidR="00597713" w:rsidRPr="000D756E" w:rsidRDefault="00597713" w:rsidP="00597713">
            <w:pPr>
              <w:rPr>
                <w:rFonts w:ascii="Arial" w:hAnsi="Arial" w:cs="Arial"/>
                <w:sz w:val="22"/>
                <w:szCs w:val="22"/>
              </w:rPr>
            </w:pPr>
            <w:r w:rsidRPr="000D756E">
              <w:rPr>
                <w:rFonts w:ascii="Arial" w:hAnsi="Arial" w:cs="Arial"/>
                <w:sz w:val="22"/>
                <w:szCs w:val="22"/>
              </w:rPr>
              <w:t>Interest revenue</w:t>
            </w:r>
          </w:p>
        </w:tc>
        <w:tc>
          <w:tcPr>
            <w:tcW w:w="1559" w:type="dxa"/>
          </w:tcPr>
          <w:p w14:paraId="374376F6" w14:textId="1A32DA9E" w:rsidR="00DE60DB" w:rsidRDefault="00DE60DB" w:rsidP="00DE60DB">
            <w:pPr>
              <w:rPr>
                <w:rFonts w:ascii="Arial" w:hAnsi="Arial" w:cs="Arial"/>
                <w:sz w:val="24"/>
                <w:szCs w:val="24"/>
              </w:rPr>
            </w:pPr>
          </w:p>
          <w:p w14:paraId="419A8700" w14:textId="131A048A" w:rsidR="0042781F" w:rsidRPr="000D756E" w:rsidRDefault="00DE60DB" w:rsidP="00DE60DB">
            <w:pPr>
              <w:jc w:val="right"/>
              <w:rPr>
                <w:rFonts w:ascii="Arial" w:hAnsi="Arial" w:cs="Arial"/>
                <w:sz w:val="24"/>
                <w:szCs w:val="24"/>
              </w:rPr>
            </w:pPr>
            <w:r>
              <w:rPr>
                <w:rFonts w:ascii="Arial" w:hAnsi="Arial" w:cs="Arial"/>
                <w:sz w:val="24"/>
                <w:szCs w:val="24"/>
              </w:rPr>
              <w:t>0</w:t>
            </w:r>
          </w:p>
        </w:tc>
        <w:tc>
          <w:tcPr>
            <w:tcW w:w="1418" w:type="dxa"/>
          </w:tcPr>
          <w:p w14:paraId="54BDB573" w14:textId="77777777" w:rsidR="00597713" w:rsidRPr="000D756E" w:rsidRDefault="00597713" w:rsidP="00597713">
            <w:pPr>
              <w:jc w:val="right"/>
              <w:rPr>
                <w:rFonts w:ascii="Arial" w:hAnsi="Arial" w:cs="Arial"/>
                <w:sz w:val="24"/>
                <w:szCs w:val="24"/>
              </w:rPr>
            </w:pPr>
          </w:p>
          <w:p w14:paraId="283ADBB6" w14:textId="1870B240" w:rsidR="00597713" w:rsidRPr="000D756E" w:rsidRDefault="00660514" w:rsidP="00597713">
            <w:pPr>
              <w:jc w:val="right"/>
              <w:rPr>
                <w:rFonts w:ascii="Arial" w:hAnsi="Arial" w:cs="Arial"/>
                <w:sz w:val="24"/>
                <w:szCs w:val="24"/>
              </w:rPr>
            </w:pPr>
            <w:r>
              <w:rPr>
                <w:rFonts w:ascii="Arial" w:hAnsi="Arial" w:cs="Arial"/>
                <w:sz w:val="24"/>
                <w:szCs w:val="24"/>
              </w:rPr>
              <w:t>475</w:t>
            </w:r>
          </w:p>
        </w:tc>
        <w:tc>
          <w:tcPr>
            <w:tcW w:w="1559" w:type="dxa"/>
          </w:tcPr>
          <w:p w14:paraId="209FC1C2" w14:textId="77777777" w:rsidR="00597713" w:rsidRDefault="00597713" w:rsidP="00597713">
            <w:pPr>
              <w:jc w:val="right"/>
              <w:rPr>
                <w:rFonts w:ascii="Arial" w:hAnsi="Arial" w:cs="Arial"/>
                <w:sz w:val="24"/>
                <w:szCs w:val="24"/>
              </w:rPr>
            </w:pPr>
          </w:p>
          <w:p w14:paraId="13181922" w14:textId="2BD8EEA5" w:rsidR="00231596" w:rsidRPr="000D756E" w:rsidRDefault="00231596" w:rsidP="00597713">
            <w:pPr>
              <w:jc w:val="right"/>
              <w:rPr>
                <w:rFonts w:ascii="Arial" w:hAnsi="Arial" w:cs="Arial"/>
                <w:sz w:val="24"/>
                <w:szCs w:val="24"/>
              </w:rPr>
            </w:pPr>
            <w:r>
              <w:rPr>
                <w:rFonts w:ascii="Arial" w:hAnsi="Arial" w:cs="Arial"/>
                <w:sz w:val="24"/>
                <w:szCs w:val="24"/>
              </w:rPr>
              <w:t>0</w:t>
            </w:r>
          </w:p>
        </w:tc>
        <w:tc>
          <w:tcPr>
            <w:tcW w:w="1512" w:type="dxa"/>
          </w:tcPr>
          <w:p w14:paraId="36E238FA" w14:textId="77777777" w:rsidR="00597713" w:rsidRPr="000D756E" w:rsidRDefault="00597713" w:rsidP="00597713">
            <w:pPr>
              <w:jc w:val="right"/>
              <w:rPr>
                <w:rFonts w:ascii="Arial" w:hAnsi="Arial" w:cs="Arial"/>
                <w:sz w:val="24"/>
                <w:szCs w:val="24"/>
              </w:rPr>
            </w:pPr>
          </w:p>
          <w:p w14:paraId="046813B8" w14:textId="4887D521" w:rsidR="00597713" w:rsidRPr="000D756E" w:rsidRDefault="00660514" w:rsidP="00597713">
            <w:pPr>
              <w:jc w:val="right"/>
              <w:rPr>
                <w:rFonts w:ascii="Arial" w:hAnsi="Arial" w:cs="Arial"/>
                <w:sz w:val="24"/>
                <w:szCs w:val="24"/>
              </w:rPr>
            </w:pPr>
            <w:r>
              <w:rPr>
                <w:rFonts w:ascii="Arial" w:hAnsi="Arial" w:cs="Arial"/>
                <w:sz w:val="24"/>
                <w:szCs w:val="24"/>
              </w:rPr>
              <w:t>543</w:t>
            </w:r>
          </w:p>
        </w:tc>
      </w:tr>
      <w:tr w:rsidR="00CC7A62" w:rsidRPr="000D756E" w14:paraId="5850D6F4" w14:textId="77777777" w:rsidTr="00D07EF7">
        <w:tc>
          <w:tcPr>
            <w:tcW w:w="4253" w:type="dxa"/>
          </w:tcPr>
          <w:p w14:paraId="69167467" w14:textId="77777777" w:rsidR="00597713" w:rsidRPr="000D756E" w:rsidRDefault="00597713" w:rsidP="00597713">
            <w:pPr>
              <w:rPr>
                <w:rFonts w:ascii="Arial" w:hAnsi="Arial" w:cs="Arial"/>
                <w:b/>
                <w:sz w:val="22"/>
                <w:szCs w:val="22"/>
              </w:rPr>
            </w:pPr>
            <w:r w:rsidRPr="000D756E">
              <w:rPr>
                <w:rFonts w:ascii="Arial" w:hAnsi="Arial" w:cs="Arial"/>
                <w:b/>
                <w:sz w:val="22"/>
                <w:szCs w:val="22"/>
              </w:rPr>
              <w:t>Total income in Surplus or Deficit on the Provision of Services</w:t>
            </w:r>
          </w:p>
        </w:tc>
        <w:tc>
          <w:tcPr>
            <w:tcW w:w="1559" w:type="dxa"/>
          </w:tcPr>
          <w:p w14:paraId="1ADAB58B" w14:textId="77777777" w:rsidR="00597713" w:rsidRDefault="00597713" w:rsidP="00597713">
            <w:pPr>
              <w:jc w:val="right"/>
              <w:rPr>
                <w:rFonts w:ascii="Arial" w:hAnsi="Arial" w:cs="Arial"/>
                <w:b/>
                <w:sz w:val="24"/>
                <w:szCs w:val="24"/>
              </w:rPr>
            </w:pPr>
          </w:p>
          <w:p w14:paraId="4C77CC1E" w14:textId="7D475D88" w:rsidR="00DE60DB" w:rsidRPr="000D756E" w:rsidRDefault="00660514" w:rsidP="00597713">
            <w:pPr>
              <w:jc w:val="right"/>
              <w:rPr>
                <w:rFonts w:ascii="Arial" w:hAnsi="Arial" w:cs="Arial"/>
                <w:b/>
                <w:sz w:val="24"/>
                <w:szCs w:val="24"/>
              </w:rPr>
            </w:pPr>
            <w:r>
              <w:rPr>
                <w:rFonts w:ascii="Arial" w:hAnsi="Arial" w:cs="Arial"/>
                <w:b/>
                <w:sz w:val="24"/>
                <w:szCs w:val="24"/>
              </w:rPr>
              <w:t>0</w:t>
            </w:r>
          </w:p>
        </w:tc>
        <w:tc>
          <w:tcPr>
            <w:tcW w:w="1418" w:type="dxa"/>
          </w:tcPr>
          <w:p w14:paraId="24D10D50" w14:textId="77777777" w:rsidR="00597713" w:rsidRPr="000D756E" w:rsidRDefault="00597713" w:rsidP="00597713">
            <w:pPr>
              <w:jc w:val="right"/>
              <w:rPr>
                <w:rFonts w:ascii="Arial" w:hAnsi="Arial" w:cs="Arial"/>
                <w:b/>
                <w:sz w:val="24"/>
                <w:szCs w:val="24"/>
              </w:rPr>
            </w:pPr>
          </w:p>
          <w:p w14:paraId="34F49407" w14:textId="36730BE1" w:rsidR="00597713" w:rsidRPr="000D756E" w:rsidRDefault="00660514" w:rsidP="00597713">
            <w:pPr>
              <w:jc w:val="right"/>
              <w:rPr>
                <w:rFonts w:ascii="Arial" w:hAnsi="Arial" w:cs="Arial"/>
                <w:b/>
                <w:sz w:val="24"/>
                <w:szCs w:val="24"/>
              </w:rPr>
            </w:pPr>
            <w:r>
              <w:rPr>
                <w:rFonts w:ascii="Arial" w:hAnsi="Arial" w:cs="Arial"/>
                <w:b/>
                <w:sz w:val="24"/>
                <w:szCs w:val="24"/>
              </w:rPr>
              <w:t>475</w:t>
            </w:r>
          </w:p>
        </w:tc>
        <w:tc>
          <w:tcPr>
            <w:tcW w:w="1559" w:type="dxa"/>
          </w:tcPr>
          <w:p w14:paraId="2DA16966" w14:textId="77777777" w:rsidR="00597713" w:rsidRDefault="00597713" w:rsidP="00597713">
            <w:pPr>
              <w:jc w:val="right"/>
              <w:rPr>
                <w:rFonts w:ascii="Arial" w:hAnsi="Arial" w:cs="Arial"/>
                <w:b/>
                <w:sz w:val="24"/>
                <w:szCs w:val="24"/>
              </w:rPr>
            </w:pPr>
          </w:p>
          <w:p w14:paraId="114D5B21" w14:textId="24552A00" w:rsidR="00231596" w:rsidRPr="000D756E" w:rsidRDefault="00231596" w:rsidP="00597713">
            <w:pPr>
              <w:jc w:val="right"/>
              <w:rPr>
                <w:rFonts w:ascii="Arial" w:hAnsi="Arial" w:cs="Arial"/>
                <w:b/>
                <w:sz w:val="24"/>
                <w:szCs w:val="24"/>
              </w:rPr>
            </w:pPr>
            <w:r>
              <w:rPr>
                <w:rFonts w:ascii="Arial" w:hAnsi="Arial" w:cs="Arial"/>
                <w:b/>
                <w:sz w:val="24"/>
                <w:szCs w:val="24"/>
              </w:rPr>
              <w:t>0</w:t>
            </w:r>
          </w:p>
        </w:tc>
        <w:tc>
          <w:tcPr>
            <w:tcW w:w="1512" w:type="dxa"/>
          </w:tcPr>
          <w:p w14:paraId="751347F5" w14:textId="77777777" w:rsidR="00597713" w:rsidRPr="000D756E" w:rsidRDefault="00597713" w:rsidP="00597713">
            <w:pPr>
              <w:jc w:val="right"/>
              <w:rPr>
                <w:rFonts w:ascii="Arial" w:hAnsi="Arial" w:cs="Arial"/>
                <w:b/>
                <w:sz w:val="24"/>
                <w:szCs w:val="24"/>
              </w:rPr>
            </w:pPr>
          </w:p>
          <w:p w14:paraId="2735DC4A" w14:textId="572A9E8B" w:rsidR="00597713" w:rsidRPr="000D756E" w:rsidRDefault="00660514" w:rsidP="00597713">
            <w:pPr>
              <w:jc w:val="right"/>
              <w:rPr>
                <w:rFonts w:ascii="Arial" w:hAnsi="Arial" w:cs="Arial"/>
                <w:b/>
                <w:sz w:val="24"/>
                <w:szCs w:val="24"/>
              </w:rPr>
            </w:pPr>
            <w:r>
              <w:rPr>
                <w:rFonts w:ascii="Arial" w:hAnsi="Arial" w:cs="Arial"/>
                <w:b/>
                <w:sz w:val="24"/>
                <w:szCs w:val="24"/>
              </w:rPr>
              <w:t>543</w:t>
            </w:r>
          </w:p>
        </w:tc>
      </w:tr>
      <w:tr w:rsidR="00CC7A62" w:rsidRPr="000D756E" w14:paraId="45512D30" w14:textId="77777777" w:rsidTr="00D07EF7">
        <w:tc>
          <w:tcPr>
            <w:tcW w:w="4253" w:type="dxa"/>
          </w:tcPr>
          <w:p w14:paraId="305320D7" w14:textId="77777777" w:rsidR="00597713" w:rsidRPr="000D756E" w:rsidRDefault="00597713" w:rsidP="00597713">
            <w:pPr>
              <w:rPr>
                <w:rFonts w:ascii="Arial" w:hAnsi="Arial" w:cs="Arial"/>
                <w:b/>
                <w:sz w:val="22"/>
                <w:szCs w:val="22"/>
              </w:rPr>
            </w:pPr>
          </w:p>
          <w:p w14:paraId="001F958D" w14:textId="36EFE0F1" w:rsidR="00597713" w:rsidRPr="000D756E" w:rsidRDefault="00597713" w:rsidP="00597713">
            <w:pPr>
              <w:rPr>
                <w:rFonts w:ascii="Arial" w:hAnsi="Arial" w:cs="Arial"/>
                <w:b/>
                <w:sz w:val="22"/>
                <w:szCs w:val="22"/>
              </w:rPr>
            </w:pPr>
            <w:r w:rsidRPr="000D756E">
              <w:rPr>
                <w:rFonts w:ascii="Arial" w:hAnsi="Arial" w:cs="Arial"/>
                <w:b/>
                <w:sz w:val="22"/>
                <w:szCs w:val="22"/>
              </w:rPr>
              <w:t>Net gain for the year</w:t>
            </w:r>
          </w:p>
        </w:tc>
        <w:tc>
          <w:tcPr>
            <w:tcW w:w="1559" w:type="dxa"/>
          </w:tcPr>
          <w:p w14:paraId="58086F1D" w14:textId="77777777" w:rsidR="00597713" w:rsidRDefault="00597713" w:rsidP="00597713">
            <w:pPr>
              <w:jc w:val="right"/>
              <w:rPr>
                <w:rFonts w:ascii="Arial" w:hAnsi="Arial" w:cs="Arial"/>
                <w:b/>
                <w:sz w:val="24"/>
                <w:szCs w:val="24"/>
              </w:rPr>
            </w:pPr>
          </w:p>
          <w:p w14:paraId="10662953" w14:textId="13A9B6AE" w:rsidR="00660514" w:rsidRPr="000D756E" w:rsidRDefault="00660514" w:rsidP="00597713">
            <w:pPr>
              <w:jc w:val="right"/>
              <w:rPr>
                <w:rFonts w:ascii="Arial" w:hAnsi="Arial" w:cs="Arial"/>
                <w:b/>
                <w:sz w:val="24"/>
                <w:szCs w:val="24"/>
              </w:rPr>
            </w:pPr>
            <w:r>
              <w:rPr>
                <w:rFonts w:ascii="Arial" w:hAnsi="Arial" w:cs="Arial"/>
                <w:b/>
                <w:sz w:val="24"/>
                <w:szCs w:val="24"/>
              </w:rPr>
              <w:t>232</w:t>
            </w:r>
          </w:p>
        </w:tc>
        <w:tc>
          <w:tcPr>
            <w:tcW w:w="1418" w:type="dxa"/>
          </w:tcPr>
          <w:p w14:paraId="68592112" w14:textId="77777777" w:rsidR="00597713" w:rsidRPr="000D756E" w:rsidRDefault="00597713" w:rsidP="00597713">
            <w:pPr>
              <w:jc w:val="right"/>
              <w:rPr>
                <w:rFonts w:ascii="Arial" w:hAnsi="Arial" w:cs="Arial"/>
                <w:b/>
                <w:sz w:val="24"/>
                <w:szCs w:val="24"/>
              </w:rPr>
            </w:pPr>
          </w:p>
          <w:p w14:paraId="14160197" w14:textId="769B8D47" w:rsidR="00597713" w:rsidRPr="000D756E" w:rsidRDefault="00660514" w:rsidP="00597713">
            <w:pPr>
              <w:jc w:val="right"/>
              <w:rPr>
                <w:rFonts w:ascii="Arial" w:hAnsi="Arial" w:cs="Arial"/>
                <w:b/>
                <w:sz w:val="24"/>
                <w:szCs w:val="24"/>
              </w:rPr>
            </w:pPr>
            <w:r>
              <w:rPr>
                <w:rFonts w:ascii="Arial" w:hAnsi="Arial" w:cs="Arial"/>
                <w:b/>
                <w:sz w:val="24"/>
                <w:szCs w:val="24"/>
              </w:rPr>
              <w:t>475</w:t>
            </w:r>
          </w:p>
        </w:tc>
        <w:tc>
          <w:tcPr>
            <w:tcW w:w="1559" w:type="dxa"/>
          </w:tcPr>
          <w:p w14:paraId="0FFA064E" w14:textId="77777777" w:rsidR="00597713" w:rsidRDefault="00597713" w:rsidP="00597713">
            <w:pPr>
              <w:jc w:val="right"/>
              <w:rPr>
                <w:rFonts w:ascii="Arial" w:hAnsi="Arial" w:cs="Arial"/>
                <w:b/>
                <w:sz w:val="24"/>
                <w:szCs w:val="24"/>
              </w:rPr>
            </w:pPr>
          </w:p>
          <w:p w14:paraId="7BBDB544" w14:textId="2D0D83D1" w:rsidR="00231596" w:rsidRPr="000D756E" w:rsidRDefault="00FA2C70" w:rsidP="00597713">
            <w:pPr>
              <w:jc w:val="right"/>
              <w:rPr>
                <w:rFonts w:ascii="Arial" w:hAnsi="Arial" w:cs="Arial"/>
                <w:b/>
                <w:sz w:val="24"/>
                <w:szCs w:val="24"/>
              </w:rPr>
            </w:pPr>
            <w:r>
              <w:rPr>
                <w:rFonts w:ascii="Arial" w:hAnsi="Arial" w:cs="Arial"/>
                <w:b/>
                <w:sz w:val="24"/>
                <w:szCs w:val="24"/>
              </w:rPr>
              <w:t>234</w:t>
            </w:r>
          </w:p>
        </w:tc>
        <w:tc>
          <w:tcPr>
            <w:tcW w:w="1512" w:type="dxa"/>
          </w:tcPr>
          <w:p w14:paraId="430A9346" w14:textId="77777777" w:rsidR="00597713" w:rsidRPr="000D756E" w:rsidRDefault="00597713" w:rsidP="00597713">
            <w:pPr>
              <w:jc w:val="right"/>
              <w:rPr>
                <w:rFonts w:ascii="Arial" w:hAnsi="Arial" w:cs="Arial"/>
                <w:b/>
                <w:sz w:val="24"/>
                <w:szCs w:val="24"/>
              </w:rPr>
            </w:pPr>
          </w:p>
          <w:p w14:paraId="2669D65B" w14:textId="3A155A04" w:rsidR="00597713" w:rsidRPr="000D756E" w:rsidRDefault="00660514" w:rsidP="00597713">
            <w:pPr>
              <w:jc w:val="right"/>
              <w:rPr>
                <w:rFonts w:ascii="Arial" w:hAnsi="Arial" w:cs="Arial"/>
                <w:b/>
                <w:sz w:val="24"/>
                <w:szCs w:val="24"/>
              </w:rPr>
            </w:pPr>
            <w:r>
              <w:rPr>
                <w:rFonts w:ascii="Arial" w:hAnsi="Arial" w:cs="Arial"/>
                <w:b/>
                <w:sz w:val="24"/>
                <w:szCs w:val="24"/>
              </w:rPr>
              <w:t>543</w:t>
            </w:r>
          </w:p>
        </w:tc>
      </w:tr>
    </w:tbl>
    <w:p w14:paraId="563F52E4" w14:textId="77777777" w:rsidR="002544DF" w:rsidRPr="000D756E" w:rsidRDefault="002544DF" w:rsidP="002A7C01">
      <w:pPr>
        <w:rPr>
          <w:rFonts w:ascii="Arial" w:hAnsi="Arial" w:cs="Arial"/>
          <w:sz w:val="24"/>
          <w:szCs w:val="24"/>
        </w:rPr>
      </w:pPr>
    </w:p>
    <w:p w14:paraId="565BE778" w14:textId="77777777" w:rsidR="002544DF" w:rsidRPr="000D756E" w:rsidRDefault="002544DF" w:rsidP="002A7C01">
      <w:pPr>
        <w:rPr>
          <w:rFonts w:ascii="Arial" w:hAnsi="Arial" w:cs="Arial"/>
          <w:sz w:val="24"/>
          <w:szCs w:val="24"/>
        </w:rPr>
      </w:pPr>
      <w:r w:rsidRPr="000D756E">
        <w:rPr>
          <w:rFonts w:ascii="Arial" w:hAnsi="Arial" w:cs="Arial"/>
          <w:b/>
          <w:sz w:val="24"/>
          <w:szCs w:val="24"/>
        </w:rPr>
        <w:t xml:space="preserve">Nature and extent of risk arising from financial instruments: </w:t>
      </w:r>
      <w:r w:rsidRPr="000D756E">
        <w:rPr>
          <w:rFonts w:ascii="Arial" w:hAnsi="Arial" w:cs="Arial"/>
          <w:sz w:val="24"/>
          <w:szCs w:val="24"/>
        </w:rPr>
        <w:t>The Authority’s activities expose it to a variety of financial risks:</w:t>
      </w:r>
    </w:p>
    <w:p w14:paraId="1ECBBCFD" w14:textId="77777777" w:rsidR="002544DF" w:rsidRPr="000D756E" w:rsidRDefault="002544DF" w:rsidP="002A7C01">
      <w:pPr>
        <w:rPr>
          <w:rFonts w:ascii="Arial" w:hAnsi="Arial" w:cs="Arial"/>
          <w:sz w:val="24"/>
          <w:szCs w:val="24"/>
        </w:rPr>
      </w:pPr>
    </w:p>
    <w:p w14:paraId="091DF9F3" w14:textId="143048C9" w:rsidR="006C043C" w:rsidRPr="000D756E" w:rsidRDefault="002544DF" w:rsidP="002A7C01">
      <w:pPr>
        <w:rPr>
          <w:rFonts w:ascii="Arial" w:hAnsi="Arial" w:cs="Arial"/>
          <w:sz w:val="24"/>
          <w:szCs w:val="24"/>
        </w:rPr>
      </w:pPr>
      <w:r w:rsidRPr="000D756E">
        <w:rPr>
          <w:rFonts w:ascii="Arial" w:hAnsi="Arial" w:cs="Arial"/>
          <w:b/>
          <w:sz w:val="24"/>
          <w:szCs w:val="24"/>
        </w:rPr>
        <w:t>Credit Risk</w:t>
      </w:r>
      <w:r w:rsidRPr="000D756E">
        <w:rPr>
          <w:rFonts w:ascii="Arial" w:hAnsi="Arial" w:cs="Arial"/>
          <w:sz w:val="24"/>
          <w:szCs w:val="24"/>
        </w:rPr>
        <w:t xml:space="preserve"> –</w:t>
      </w:r>
      <w:r w:rsidR="00663987" w:rsidRPr="000D756E">
        <w:rPr>
          <w:rFonts w:ascii="Arial" w:hAnsi="Arial" w:cs="Arial"/>
          <w:sz w:val="24"/>
          <w:szCs w:val="24"/>
        </w:rPr>
        <w:t xml:space="preserve">this is </w:t>
      </w:r>
      <w:r w:rsidRPr="000D756E">
        <w:rPr>
          <w:rFonts w:ascii="Arial" w:hAnsi="Arial" w:cs="Arial"/>
          <w:sz w:val="24"/>
          <w:szCs w:val="24"/>
        </w:rPr>
        <w:t xml:space="preserve">the possibility other parties may fail to pay amounts due to the Authority. This arises from the lending of surplus funds to banks, building societies and other local authorities, as well as credit </w:t>
      </w:r>
      <w:r w:rsidR="00C95C7B" w:rsidRPr="000D756E">
        <w:rPr>
          <w:rFonts w:ascii="Arial" w:hAnsi="Arial" w:cs="Arial"/>
          <w:sz w:val="24"/>
          <w:szCs w:val="24"/>
        </w:rPr>
        <w:t>risks</w:t>
      </w:r>
      <w:r w:rsidRPr="000D756E">
        <w:rPr>
          <w:rFonts w:ascii="Arial" w:hAnsi="Arial" w:cs="Arial"/>
          <w:sz w:val="24"/>
          <w:szCs w:val="24"/>
        </w:rPr>
        <w:t xml:space="preserve"> to the Authority’s customers.</w:t>
      </w:r>
    </w:p>
    <w:p w14:paraId="5E0A900E" w14:textId="77777777" w:rsidR="002544DF" w:rsidRPr="000D756E" w:rsidRDefault="002544DF" w:rsidP="002A7C01">
      <w:pPr>
        <w:rPr>
          <w:rFonts w:ascii="Arial" w:hAnsi="Arial" w:cs="Arial"/>
          <w:sz w:val="24"/>
          <w:szCs w:val="24"/>
        </w:rPr>
      </w:pPr>
      <w:r w:rsidRPr="000D756E">
        <w:rPr>
          <w:rFonts w:ascii="Arial" w:hAnsi="Arial" w:cs="Arial"/>
          <w:sz w:val="24"/>
          <w:szCs w:val="24"/>
        </w:rPr>
        <w:t>The Authority, with support and guidance from Treasury Services at Shropshire Council, work to minimise the exposure to the unpredictability of financial markets and to protect the financial resources available to fund services.</w:t>
      </w:r>
    </w:p>
    <w:p w14:paraId="56454C71" w14:textId="77777777" w:rsidR="002544DF" w:rsidRPr="000D756E" w:rsidRDefault="002544DF" w:rsidP="002A7C01">
      <w:pPr>
        <w:rPr>
          <w:rFonts w:ascii="Arial" w:hAnsi="Arial" w:cs="Arial"/>
          <w:sz w:val="24"/>
          <w:szCs w:val="24"/>
        </w:rPr>
      </w:pPr>
    </w:p>
    <w:p w14:paraId="3B925F59" w14:textId="77777777" w:rsidR="002544DF" w:rsidRPr="000D756E" w:rsidRDefault="002544DF" w:rsidP="002A7C01">
      <w:pPr>
        <w:rPr>
          <w:rFonts w:ascii="Arial" w:hAnsi="Arial" w:cs="Arial"/>
          <w:sz w:val="24"/>
          <w:szCs w:val="24"/>
        </w:rPr>
      </w:pPr>
      <w:r w:rsidRPr="000D756E">
        <w:rPr>
          <w:rFonts w:ascii="Arial" w:hAnsi="Arial" w:cs="Arial"/>
          <w:sz w:val="24"/>
          <w:szCs w:val="24"/>
        </w:rPr>
        <w:t>The Authority has adopted CIPFA’s Code of Treasury Management Practices, and an Annual Treasury Management Strategy has also been approved by the Authority.</w:t>
      </w:r>
    </w:p>
    <w:p w14:paraId="79609A11" w14:textId="77777777" w:rsidR="00C24462" w:rsidRPr="000D756E" w:rsidRDefault="00C24462" w:rsidP="002A7C01">
      <w:pPr>
        <w:rPr>
          <w:rFonts w:ascii="Arial" w:hAnsi="Arial" w:cs="Arial"/>
          <w:sz w:val="24"/>
          <w:szCs w:val="24"/>
        </w:rPr>
      </w:pPr>
    </w:p>
    <w:p w14:paraId="0A037BFC" w14:textId="77777777" w:rsidR="00CC723A" w:rsidRPr="000D756E" w:rsidRDefault="002544DF" w:rsidP="002A7C01">
      <w:pPr>
        <w:rPr>
          <w:rFonts w:ascii="Arial" w:hAnsi="Arial" w:cs="Arial"/>
          <w:sz w:val="24"/>
          <w:szCs w:val="24"/>
        </w:rPr>
      </w:pPr>
      <w:r w:rsidRPr="000D756E">
        <w:rPr>
          <w:rFonts w:ascii="Arial" w:hAnsi="Arial" w:cs="Arial"/>
          <w:b/>
          <w:sz w:val="24"/>
          <w:szCs w:val="24"/>
        </w:rPr>
        <w:lastRenderedPageBreak/>
        <w:t>Liquidity Risk</w:t>
      </w:r>
      <w:r w:rsidRPr="000D756E">
        <w:rPr>
          <w:rFonts w:ascii="Arial" w:hAnsi="Arial" w:cs="Arial"/>
          <w:sz w:val="24"/>
          <w:szCs w:val="24"/>
        </w:rPr>
        <w:t xml:space="preserve"> – </w:t>
      </w:r>
      <w:r w:rsidR="00663987" w:rsidRPr="000D756E">
        <w:rPr>
          <w:rFonts w:ascii="Arial" w:hAnsi="Arial" w:cs="Arial"/>
          <w:sz w:val="24"/>
          <w:szCs w:val="24"/>
        </w:rPr>
        <w:t xml:space="preserve">this is </w:t>
      </w:r>
      <w:r w:rsidRPr="000D756E">
        <w:rPr>
          <w:rFonts w:ascii="Arial" w:hAnsi="Arial" w:cs="Arial"/>
          <w:sz w:val="24"/>
          <w:szCs w:val="24"/>
        </w:rPr>
        <w:t>the possibility the Authority may not have funds available to meet its commitments to make payments. As the Authority has ready access to</w:t>
      </w:r>
    </w:p>
    <w:p w14:paraId="42B82520" w14:textId="77777777" w:rsidR="002544DF" w:rsidRPr="000D756E" w:rsidRDefault="002544DF" w:rsidP="002A7C01">
      <w:pPr>
        <w:rPr>
          <w:rFonts w:ascii="Arial" w:hAnsi="Arial" w:cs="Arial"/>
          <w:sz w:val="24"/>
          <w:szCs w:val="24"/>
        </w:rPr>
      </w:pPr>
      <w:r w:rsidRPr="000D756E">
        <w:rPr>
          <w:rFonts w:ascii="Arial" w:hAnsi="Arial" w:cs="Arial"/>
          <w:sz w:val="24"/>
          <w:szCs w:val="24"/>
        </w:rPr>
        <w:t>borrowings, there is no significant risk it will be unable to raise finance to meet its commitments.</w:t>
      </w:r>
    </w:p>
    <w:p w14:paraId="2D750768" w14:textId="77777777" w:rsidR="002544DF" w:rsidRPr="000D756E" w:rsidRDefault="002544DF" w:rsidP="002A7C01">
      <w:pPr>
        <w:rPr>
          <w:rFonts w:ascii="Arial" w:hAnsi="Arial" w:cs="Arial"/>
          <w:sz w:val="24"/>
          <w:szCs w:val="24"/>
        </w:rPr>
      </w:pPr>
    </w:p>
    <w:p w14:paraId="6DC85040" w14:textId="4EB2D7D1" w:rsidR="4D0CBBAD" w:rsidRPr="000D756E" w:rsidRDefault="002544DF" w:rsidP="4D0CBBAD">
      <w:pPr>
        <w:rPr>
          <w:rFonts w:ascii="Arial" w:hAnsi="Arial" w:cs="Arial"/>
          <w:sz w:val="24"/>
          <w:szCs w:val="24"/>
        </w:rPr>
      </w:pPr>
      <w:r w:rsidRPr="000D756E">
        <w:rPr>
          <w:rFonts w:ascii="Arial" w:hAnsi="Arial" w:cs="Arial"/>
          <w:b/>
          <w:sz w:val="24"/>
          <w:szCs w:val="24"/>
        </w:rPr>
        <w:t>Market Risk</w:t>
      </w:r>
      <w:r w:rsidRPr="000D756E">
        <w:rPr>
          <w:rFonts w:ascii="Arial" w:hAnsi="Arial" w:cs="Arial"/>
          <w:sz w:val="24"/>
          <w:szCs w:val="24"/>
        </w:rPr>
        <w:t xml:space="preserve"> – </w:t>
      </w:r>
      <w:r w:rsidR="00663987" w:rsidRPr="000D756E">
        <w:rPr>
          <w:rFonts w:ascii="Arial" w:hAnsi="Arial" w:cs="Arial"/>
          <w:sz w:val="24"/>
          <w:szCs w:val="24"/>
        </w:rPr>
        <w:t xml:space="preserve">this is </w:t>
      </w:r>
      <w:r w:rsidRPr="000D756E">
        <w:rPr>
          <w:rFonts w:ascii="Arial" w:hAnsi="Arial" w:cs="Arial"/>
          <w:sz w:val="24"/>
          <w:szCs w:val="24"/>
        </w:rPr>
        <w:t>the possibility financial loss might arise for the Authority as a result of changes in such measures as interest rates. Changes in interest receivable on variable rate investments will be posted to the Comprehensive Income and Expenditure Statement and will therefore directly affect the General Fund Balance.</w:t>
      </w:r>
    </w:p>
    <w:p w14:paraId="5F16D09A" w14:textId="23B9B70B" w:rsidR="4D0CBBAD" w:rsidRPr="000D756E" w:rsidRDefault="4D0CBBAD" w:rsidP="4D0CBBAD">
      <w:pPr>
        <w:rPr>
          <w:rFonts w:ascii="Arial" w:hAnsi="Arial" w:cs="Arial"/>
          <w:sz w:val="24"/>
          <w:szCs w:val="24"/>
        </w:rPr>
      </w:pPr>
    </w:p>
    <w:p w14:paraId="342DAB2B" w14:textId="77777777" w:rsidR="002544DF" w:rsidRPr="000D756E" w:rsidRDefault="002544DF" w:rsidP="002A7C01">
      <w:pPr>
        <w:rPr>
          <w:rFonts w:ascii="Arial" w:hAnsi="Arial" w:cs="Arial"/>
          <w:b/>
          <w:sz w:val="24"/>
          <w:szCs w:val="24"/>
        </w:rPr>
      </w:pPr>
      <w:r w:rsidRPr="000D756E">
        <w:rPr>
          <w:rFonts w:ascii="Arial" w:hAnsi="Arial" w:cs="Arial"/>
          <w:b/>
          <w:sz w:val="24"/>
          <w:szCs w:val="24"/>
        </w:rPr>
        <w:t>Fair Values of Assets and Liabilities</w:t>
      </w:r>
    </w:p>
    <w:p w14:paraId="570C6DC2" w14:textId="77777777" w:rsidR="002544DF" w:rsidRPr="000D756E" w:rsidRDefault="002544DF" w:rsidP="002A7C01">
      <w:pPr>
        <w:rPr>
          <w:rFonts w:ascii="Arial" w:hAnsi="Arial" w:cs="Arial"/>
          <w:b/>
          <w:sz w:val="24"/>
          <w:szCs w:val="24"/>
        </w:rPr>
      </w:pPr>
    </w:p>
    <w:p w14:paraId="12DB7CDA" w14:textId="77777777" w:rsidR="002544DF" w:rsidRPr="000D756E" w:rsidRDefault="002544DF" w:rsidP="002A7C01">
      <w:pPr>
        <w:rPr>
          <w:rFonts w:ascii="Arial" w:hAnsi="Arial" w:cs="Arial"/>
          <w:sz w:val="24"/>
          <w:szCs w:val="24"/>
        </w:rPr>
      </w:pPr>
      <w:r w:rsidRPr="000D756E">
        <w:rPr>
          <w:rFonts w:ascii="Arial" w:hAnsi="Arial" w:cs="Arial"/>
          <w:sz w:val="24"/>
          <w:szCs w:val="24"/>
        </w:rPr>
        <w:t>Financial liabilities</w:t>
      </w:r>
      <w:r w:rsidR="00190D00" w:rsidRPr="000D756E">
        <w:rPr>
          <w:rFonts w:ascii="Arial" w:hAnsi="Arial" w:cs="Arial"/>
          <w:sz w:val="24"/>
          <w:szCs w:val="24"/>
        </w:rPr>
        <w:t xml:space="preserve"> and</w:t>
      </w:r>
      <w:r w:rsidRPr="000D756E">
        <w:rPr>
          <w:rFonts w:ascii="Arial" w:hAnsi="Arial" w:cs="Arial"/>
          <w:sz w:val="24"/>
          <w:szCs w:val="24"/>
        </w:rPr>
        <w:t xml:space="preserve"> financial assets represented by loans and receivables and long term debtors and creditors are carried in the Balance sheet at amortised cost. Their fair value can be assessed by calculating the present value of the cash flows that will </w:t>
      </w:r>
      <w:r w:rsidR="009A1BB2" w:rsidRPr="000D756E">
        <w:rPr>
          <w:rFonts w:ascii="Arial" w:hAnsi="Arial" w:cs="Arial"/>
          <w:sz w:val="24"/>
          <w:szCs w:val="24"/>
        </w:rPr>
        <w:t xml:space="preserve">take place </w:t>
      </w:r>
      <w:r w:rsidRPr="000D756E">
        <w:rPr>
          <w:rFonts w:ascii="Arial" w:hAnsi="Arial" w:cs="Arial"/>
          <w:sz w:val="24"/>
          <w:szCs w:val="24"/>
        </w:rPr>
        <w:t>over the remaining term of the instruments, using the following assumptions:</w:t>
      </w:r>
    </w:p>
    <w:p w14:paraId="095174B7" w14:textId="77777777" w:rsidR="002544DF" w:rsidRPr="000D756E" w:rsidRDefault="002544DF" w:rsidP="002A7C01">
      <w:pPr>
        <w:rPr>
          <w:rFonts w:ascii="Arial" w:hAnsi="Arial" w:cs="Arial"/>
          <w:sz w:val="24"/>
          <w:szCs w:val="24"/>
        </w:rPr>
      </w:pPr>
    </w:p>
    <w:p w14:paraId="14F748D4" w14:textId="6A50ACE9" w:rsidR="002544DF" w:rsidRPr="000D756E" w:rsidRDefault="002544DF" w:rsidP="001C227A">
      <w:pPr>
        <w:numPr>
          <w:ilvl w:val="0"/>
          <w:numId w:val="16"/>
        </w:numPr>
        <w:tabs>
          <w:tab w:val="clear" w:pos="1758"/>
          <w:tab w:val="num" w:pos="426"/>
        </w:tabs>
        <w:ind w:left="426" w:hanging="313"/>
        <w:rPr>
          <w:rFonts w:ascii="Arial" w:hAnsi="Arial" w:cs="Arial"/>
          <w:sz w:val="24"/>
          <w:szCs w:val="24"/>
        </w:rPr>
      </w:pPr>
      <w:r w:rsidRPr="000D756E">
        <w:rPr>
          <w:rFonts w:ascii="Arial" w:hAnsi="Arial" w:cs="Arial"/>
          <w:sz w:val="24"/>
          <w:szCs w:val="24"/>
        </w:rPr>
        <w:t>Estimated ranges of</w:t>
      </w:r>
      <w:r w:rsidR="006A107D" w:rsidRPr="000D756E">
        <w:rPr>
          <w:rFonts w:ascii="Arial" w:hAnsi="Arial" w:cs="Arial"/>
          <w:sz w:val="24"/>
          <w:szCs w:val="24"/>
        </w:rPr>
        <w:t xml:space="preserve"> interest rates at 31 March 20</w:t>
      </w:r>
      <w:r w:rsidR="00C77D79" w:rsidRPr="000D756E">
        <w:rPr>
          <w:rFonts w:ascii="Arial" w:hAnsi="Arial" w:cs="Arial"/>
          <w:sz w:val="24"/>
          <w:szCs w:val="24"/>
        </w:rPr>
        <w:t>2</w:t>
      </w:r>
      <w:r w:rsidR="00597713">
        <w:rPr>
          <w:rFonts w:ascii="Arial" w:hAnsi="Arial" w:cs="Arial"/>
          <w:sz w:val="24"/>
          <w:szCs w:val="24"/>
        </w:rPr>
        <w:t>5</w:t>
      </w:r>
      <w:r w:rsidRPr="000D756E">
        <w:rPr>
          <w:rFonts w:ascii="Arial" w:hAnsi="Arial" w:cs="Arial"/>
          <w:sz w:val="24"/>
          <w:szCs w:val="24"/>
        </w:rPr>
        <w:t xml:space="preserve"> of </w:t>
      </w:r>
      <w:r w:rsidR="00826A1E" w:rsidRPr="004E1571">
        <w:rPr>
          <w:rFonts w:ascii="Arial" w:hAnsi="Arial" w:cs="Arial"/>
          <w:sz w:val="24"/>
          <w:szCs w:val="24"/>
        </w:rPr>
        <w:t>4.05</w:t>
      </w:r>
      <w:r w:rsidRPr="004E1571">
        <w:rPr>
          <w:rFonts w:ascii="Arial" w:hAnsi="Arial" w:cs="Arial"/>
          <w:sz w:val="24"/>
          <w:szCs w:val="24"/>
        </w:rPr>
        <w:t xml:space="preserve">% to </w:t>
      </w:r>
      <w:r w:rsidR="00F96981" w:rsidRPr="004E1571">
        <w:rPr>
          <w:rFonts w:ascii="Arial" w:hAnsi="Arial" w:cs="Arial"/>
          <w:sz w:val="24"/>
          <w:szCs w:val="24"/>
        </w:rPr>
        <w:t>4.80</w:t>
      </w:r>
      <w:r w:rsidRPr="004E1571">
        <w:rPr>
          <w:rFonts w:ascii="Arial" w:hAnsi="Arial" w:cs="Arial"/>
          <w:sz w:val="24"/>
          <w:szCs w:val="24"/>
        </w:rPr>
        <w:t xml:space="preserve">% for </w:t>
      </w:r>
      <w:r w:rsidRPr="000D756E">
        <w:rPr>
          <w:rFonts w:ascii="Arial" w:hAnsi="Arial" w:cs="Arial"/>
          <w:sz w:val="24"/>
          <w:szCs w:val="24"/>
        </w:rPr>
        <w:t xml:space="preserve">loans from the PWLB </w:t>
      </w:r>
    </w:p>
    <w:p w14:paraId="6DB1B744" w14:textId="77777777" w:rsidR="002544DF" w:rsidRPr="000D756E" w:rsidRDefault="002544DF" w:rsidP="001C227A">
      <w:pPr>
        <w:numPr>
          <w:ilvl w:val="0"/>
          <w:numId w:val="16"/>
        </w:numPr>
        <w:tabs>
          <w:tab w:val="clear" w:pos="1758"/>
          <w:tab w:val="num" w:pos="426"/>
        </w:tabs>
        <w:ind w:left="426" w:hanging="313"/>
        <w:rPr>
          <w:rFonts w:ascii="Arial" w:hAnsi="Arial" w:cs="Arial"/>
          <w:sz w:val="24"/>
          <w:szCs w:val="24"/>
        </w:rPr>
      </w:pPr>
      <w:r w:rsidRPr="000D756E">
        <w:rPr>
          <w:rFonts w:ascii="Arial" w:hAnsi="Arial" w:cs="Arial"/>
          <w:sz w:val="24"/>
          <w:szCs w:val="24"/>
        </w:rPr>
        <w:t>No early repayment or impairment is recognised</w:t>
      </w:r>
    </w:p>
    <w:p w14:paraId="55D0AC21" w14:textId="77777777" w:rsidR="002544DF" w:rsidRPr="000D756E" w:rsidRDefault="002544DF" w:rsidP="001C227A">
      <w:pPr>
        <w:numPr>
          <w:ilvl w:val="0"/>
          <w:numId w:val="16"/>
        </w:numPr>
        <w:tabs>
          <w:tab w:val="clear" w:pos="1758"/>
          <w:tab w:val="num" w:pos="426"/>
        </w:tabs>
        <w:ind w:left="426" w:hanging="313"/>
        <w:rPr>
          <w:rFonts w:ascii="Arial" w:hAnsi="Arial" w:cs="Arial"/>
          <w:sz w:val="24"/>
          <w:szCs w:val="24"/>
        </w:rPr>
      </w:pPr>
      <w:r w:rsidRPr="000D756E">
        <w:rPr>
          <w:rFonts w:ascii="Arial" w:hAnsi="Arial" w:cs="Arial"/>
          <w:sz w:val="24"/>
          <w:szCs w:val="24"/>
        </w:rPr>
        <w:t>Where an instrument will mature in the next 12 months, carrying amount is assumed to approximate to fair value</w:t>
      </w:r>
    </w:p>
    <w:p w14:paraId="416854B7" w14:textId="77777777" w:rsidR="00C06A83" w:rsidRPr="000D756E" w:rsidRDefault="002544DF" w:rsidP="001C227A">
      <w:pPr>
        <w:numPr>
          <w:ilvl w:val="0"/>
          <w:numId w:val="16"/>
        </w:numPr>
        <w:tabs>
          <w:tab w:val="clear" w:pos="1758"/>
          <w:tab w:val="num" w:pos="426"/>
        </w:tabs>
        <w:ind w:left="426" w:hanging="313"/>
        <w:rPr>
          <w:rFonts w:ascii="Arial" w:hAnsi="Arial" w:cs="Arial"/>
          <w:sz w:val="24"/>
          <w:szCs w:val="24"/>
        </w:rPr>
      </w:pPr>
      <w:r w:rsidRPr="000D756E">
        <w:rPr>
          <w:rFonts w:ascii="Arial" w:hAnsi="Arial" w:cs="Arial"/>
          <w:sz w:val="24"/>
          <w:szCs w:val="24"/>
        </w:rPr>
        <w:t>The fair value of trade and other receivables is taken to be the invoiced or billed amount.</w:t>
      </w:r>
    </w:p>
    <w:p w14:paraId="5A86CB71" w14:textId="77777777" w:rsidR="00256C3D" w:rsidRPr="000D756E" w:rsidRDefault="00256C3D" w:rsidP="002A7C01">
      <w:pPr>
        <w:rPr>
          <w:rFonts w:ascii="Arial" w:hAnsi="Arial" w:cs="Arial"/>
          <w:sz w:val="24"/>
          <w:szCs w:val="24"/>
        </w:rPr>
      </w:pPr>
    </w:p>
    <w:p w14:paraId="00379B86" w14:textId="77777777" w:rsidR="002544DF" w:rsidRPr="000D756E" w:rsidRDefault="002544DF" w:rsidP="002A7C01">
      <w:pPr>
        <w:rPr>
          <w:rFonts w:ascii="Arial" w:hAnsi="Arial" w:cs="Arial"/>
          <w:sz w:val="24"/>
          <w:szCs w:val="24"/>
        </w:rPr>
      </w:pPr>
      <w:r w:rsidRPr="000D756E">
        <w:rPr>
          <w:rFonts w:ascii="Arial" w:hAnsi="Arial" w:cs="Arial"/>
          <w:sz w:val="24"/>
          <w:szCs w:val="24"/>
        </w:rPr>
        <w:t>The fair values calculated are as followed:</w:t>
      </w:r>
    </w:p>
    <w:p w14:paraId="7056259D" w14:textId="77777777" w:rsidR="002544DF" w:rsidRPr="000D756E" w:rsidRDefault="002544DF" w:rsidP="002A7C01">
      <w:pPr>
        <w:rPr>
          <w:rFonts w:ascii="Arial" w:hAnsi="Arial" w:cs="Arial"/>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560"/>
        <w:gridCol w:w="1559"/>
        <w:gridCol w:w="1417"/>
        <w:gridCol w:w="1418"/>
      </w:tblGrid>
      <w:tr w:rsidR="006329E6" w:rsidRPr="000D756E" w14:paraId="55468178" w14:textId="77777777" w:rsidTr="00247033">
        <w:tc>
          <w:tcPr>
            <w:tcW w:w="2943" w:type="dxa"/>
          </w:tcPr>
          <w:p w14:paraId="33EDF23F" w14:textId="77777777" w:rsidR="0057759E" w:rsidRPr="000D756E" w:rsidRDefault="0057759E" w:rsidP="002A7C01">
            <w:pPr>
              <w:rPr>
                <w:rFonts w:ascii="Arial" w:hAnsi="Arial" w:cs="Arial"/>
                <w:sz w:val="24"/>
                <w:szCs w:val="24"/>
              </w:rPr>
            </w:pPr>
          </w:p>
        </w:tc>
        <w:tc>
          <w:tcPr>
            <w:tcW w:w="3119" w:type="dxa"/>
            <w:gridSpan w:val="2"/>
          </w:tcPr>
          <w:p w14:paraId="4A7326A4" w14:textId="4C57CDCF" w:rsidR="0057759E" w:rsidRPr="000D756E" w:rsidRDefault="0057759E" w:rsidP="009526A1">
            <w:pPr>
              <w:jc w:val="center"/>
              <w:rPr>
                <w:rFonts w:ascii="Arial" w:hAnsi="Arial" w:cs="Arial"/>
                <w:b/>
                <w:sz w:val="24"/>
                <w:szCs w:val="24"/>
              </w:rPr>
            </w:pPr>
            <w:r w:rsidRPr="000D756E">
              <w:rPr>
                <w:rFonts w:ascii="Arial" w:hAnsi="Arial" w:cs="Arial"/>
                <w:b/>
                <w:sz w:val="24"/>
                <w:szCs w:val="24"/>
              </w:rPr>
              <w:t xml:space="preserve">31 March </w:t>
            </w:r>
            <w:r w:rsidR="00DF54B0" w:rsidRPr="000D756E">
              <w:rPr>
                <w:rFonts w:ascii="Arial" w:hAnsi="Arial" w:cs="Arial"/>
                <w:b/>
                <w:sz w:val="24"/>
                <w:szCs w:val="24"/>
              </w:rPr>
              <w:t>202</w:t>
            </w:r>
            <w:r w:rsidR="001A0060">
              <w:rPr>
                <w:rFonts w:ascii="Arial" w:hAnsi="Arial" w:cs="Arial"/>
                <w:b/>
                <w:sz w:val="24"/>
                <w:szCs w:val="24"/>
              </w:rPr>
              <w:t>5</w:t>
            </w:r>
          </w:p>
        </w:tc>
        <w:tc>
          <w:tcPr>
            <w:tcW w:w="2835" w:type="dxa"/>
            <w:gridSpan w:val="2"/>
          </w:tcPr>
          <w:p w14:paraId="3E9E2D8E" w14:textId="5C0E6C2A" w:rsidR="0057759E" w:rsidRPr="000D756E" w:rsidRDefault="0057759E" w:rsidP="009526A1">
            <w:pPr>
              <w:jc w:val="center"/>
              <w:rPr>
                <w:rFonts w:ascii="Arial" w:hAnsi="Arial" w:cs="Arial"/>
                <w:b/>
                <w:sz w:val="24"/>
                <w:szCs w:val="24"/>
              </w:rPr>
            </w:pPr>
            <w:r w:rsidRPr="000D756E">
              <w:rPr>
                <w:rFonts w:ascii="Arial" w:hAnsi="Arial" w:cs="Arial"/>
                <w:b/>
                <w:sz w:val="24"/>
                <w:szCs w:val="24"/>
              </w:rPr>
              <w:t xml:space="preserve">31 March </w:t>
            </w:r>
            <w:r w:rsidR="00DF54B0" w:rsidRPr="000D756E">
              <w:rPr>
                <w:rFonts w:ascii="Arial" w:hAnsi="Arial" w:cs="Arial"/>
                <w:b/>
                <w:sz w:val="24"/>
                <w:szCs w:val="24"/>
              </w:rPr>
              <w:t>202</w:t>
            </w:r>
            <w:r w:rsidR="001A0060">
              <w:rPr>
                <w:rFonts w:ascii="Arial" w:hAnsi="Arial" w:cs="Arial"/>
                <w:b/>
                <w:sz w:val="24"/>
                <w:szCs w:val="24"/>
              </w:rPr>
              <w:t>4</w:t>
            </w:r>
          </w:p>
        </w:tc>
      </w:tr>
      <w:tr w:rsidR="006329E6" w:rsidRPr="000D756E" w14:paraId="19E07AE8" w14:textId="77777777" w:rsidTr="00247033">
        <w:tc>
          <w:tcPr>
            <w:tcW w:w="2943" w:type="dxa"/>
          </w:tcPr>
          <w:p w14:paraId="0CE1AD1E" w14:textId="77777777" w:rsidR="0057759E" w:rsidRPr="000D756E" w:rsidRDefault="0057759E" w:rsidP="002A7C01">
            <w:pPr>
              <w:rPr>
                <w:rFonts w:ascii="Arial" w:hAnsi="Arial" w:cs="Arial"/>
                <w:sz w:val="24"/>
                <w:szCs w:val="24"/>
              </w:rPr>
            </w:pPr>
          </w:p>
        </w:tc>
        <w:tc>
          <w:tcPr>
            <w:tcW w:w="1560" w:type="dxa"/>
          </w:tcPr>
          <w:p w14:paraId="48BB072E" w14:textId="77777777" w:rsidR="0057759E" w:rsidRPr="000D756E" w:rsidRDefault="0057759E" w:rsidP="0004335B">
            <w:pPr>
              <w:jc w:val="right"/>
              <w:rPr>
                <w:rFonts w:ascii="Arial" w:hAnsi="Arial" w:cs="Arial"/>
                <w:b/>
                <w:sz w:val="24"/>
                <w:szCs w:val="24"/>
              </w:rPr>
            </w:pPr>
            <w:r w:rsidRPr="000D756E">
              <w:rPr>
                <w:rFonts w:ascii="Arial" w:hAnsi="Arial" w:cs="Arial"/>
                <w:b/>
                <w:sz w:val="24"/>
                <w:szCs w:val="24"/>
              </w:rPr>
              <w:t>Carrying amount</w:t>
            </w:r>
          </w:p>
          <w:p w14:paraId="4A0F3ACA" w14:textId="77777777" w:rsidR="0057759E" w:rsidRPr="000D756E" w:rsidRDefault="0057759E" w:rsidP="0004335B">
            <w:pPr>
              <w:jc w:val="right"/>
              <w:rPr>
                <w:rFonts w:ascii="Arial" w:hAnsi="Arial" w:cs="Arial"/>
                <w:b/>
                <w:sz w:val="24"/>
                <w:szCs w:val="24"/>
              </w:rPr>
            </w:pPr>
            <w:r w:rsidRPr="000D756E">
              <w:rPr>
                <w:rFonts w:ascii="Arial" w:hAnsi="Arial" w:cs="Arial"/>
                <w:b/>
                <w:sz w:val="24"/>
                <w:szCs w:val="24"/>
              </w:rPr>
              <w:t>£’000</w:t>
            </w:r>
          </w:p>
        </w:tc>
        <w:tc>
          <w:tcPr>
            <w:tcW w:w="1559" w:type="dxa"/>
          </w:tcPr>
          <w:p w14:paraId="39F6248B" w14:textId="400C945A" w:rsidR="00DF54B0" w:rsidRPr="000D756E" w:rsidRDefault="00331944" w:rsidP="00DF54B0">
            <w:pPr>
              <w:jc w:val="right"/>
              <w:rPr>
                <w:rFonts w:ascii="Arial" w:hAnsi="Arial" w:cs="Arial"/>
                <w:b/>
                <w:sz w:val="24"/>
                <w:szCs w:val="24"/>
              </w:rPr>
            </w:pPr>
            <w:r w:rsidRPr="000D756E">
              <w:rPr>
                <w:rFonts w:ascii="Arial" w:hAnsi="Arial" w:cs="Arial"/>
                <w:b/>
                <w:sz w:val="24"/>
                <w:szCs w:val="24"/>
              </w:rPr>
              <w:t>Fair Value</w:t>
            </w:r>
          </w:p>
          <w:p w14:paraId="0A25E920" w14:textId="32E4C602" w:rsidR="0057759E" w:rsidRPr="000D756E" w:rsidRDefault="00DF54B0" w:rsidP="0004335B">
            <w:pPr>
              <w:jc w:val="right"/>
              <w:rPr>
                <w:rFonts w:ascii="Arial" w:hAnsi="Arial" w:cs="Arial"/>
                <w:b/>
                <w:sz w:val="24"/>
                <w:szCs w:val="24"/>
              </w:rPr>
            </w:pPr>
            <w:r w:rsidRPr="000D756E">
              <w:rPr>
                <w:rFonts w:ascii="Arial" w:hAnsi="Arial" w:cs="Arial"/>
                <w:b/>
                <w:sz w:val="24"/>
                <w:szCs w:val="24"/>
              </w:rPr>
              <w:t>£’000</w:t>
            </w:r>
          </w:p>
        </w:tc>
        <w:tc>
          <w:tcPr>
            <w:tcW w:w="1417" w:type="dxa"/>
          </w:tcPr>
          <w:p w14:paraId="01D0CA12" w14:textId="77777777" w:rsidR="0057759E" w:rsidRPr="000D756E" w:rsidRDefault="0057759E" w:rsidP="0004335B">
            <w:pPr>
              <w:jc w:val="right"/>
              <w:rPr>
                <w:rFonts w:ascii="Arial" w:hAnsi="Arial" w:cs="Arial"/>
                <w:b/>
                <w:sz w:val="24"/>
                <w:szCs w:val="24"/>
              </w:rPr>
            </w:pPr>
            <w:r w:rsidRPr="000D756E">
              <w:rPr>
                <w:rFonts w:ascii="Arial" w:hAnsi="Arial" w:cs="Arial"/>
                <w:b/>
                <w:sz w:val="24"/>
                <w:szCs w:val="24"/>
              </w:rPr>
              <w:t>Carrying amount</w:t>
            </w:r>
          </w:p>
          <w:p w14:paraId="53C15A1E" w14:textId="41E4B4E9" w:rsidR="0057759E" w:rsidRPr="000D756E" w:rsidRDefault="0057759E" w:rsidP="0004335B">
            <w:pPr>
              <w:jc w:val="right"/>
              <w:rPr>
                <w:rFonts w:ascii="Arial" w:hAnsi="Arial" w:cs="Arial"/>
                <w:b/>
                <w:sz w:val="24"/>
                <w:szCs w:val="24"/>
              </w:rPr>
            </w:pPr>
            <w:r w:rsidRPr="000D756E">
              <w:rPr>
                <w:rFonts w:ascii="Arial" w:hAnsi="Arial" w:cs="Arial"/>
                <w:b/>
                <w:sz w:val="24"/>
                <w:szCs w:val="24"/>
              </w:rPr>
              <w:t>£’000</w:t>
            </w:r>
          </w:p>
        </w:tc>
        <w:tc>
          <w:tcPr>
            <w:tcW w:w="1418" w:type="dxa"/>
          </w:tcPr>
          <w:p w14:paraId="3BAB1C1F" w14:textId="77777777" w:rsidR="0057759E" w:rsidRPr="000D756E" w:rsidRDefault="0057759E" w:rsidP="0004335B">
            <w:pPr>
              <w:jc w:val="right"/>
              <w:rPr>
                <w:rFonts w:ascii="Arial" w:hAnsi="Arial" w:cs="Arial"/>
                <w:b/>
                <w:sz w:val="24"/>
                <w:szCs w:val="24"/>
              </w:rPr>
            </w:pPr>
            <w:r w:rsidRPr="000D756E">
              <w:rPr>
                <w:rFonts w:ascii="Arial" w:hAnsi="Arial" w:cs="Arial"/>
                <w:b/>
                <w:sz w:val="24"/>
                <w:szCs w:val="24"/>
              </w:rPr>
              <w:t xml:space="preserve">Fair </w:t>
            </w:r>
          </w:p>
          <w:p w14:paraId="2E62A854" w14:textId="77777777" w:rsidR="0057759E" w:rsidRPr="000D756E" w:rsidRDefault="004E49F8" w:rsidP="0004335B">
            <w:pPr>
              <w:jc w:val="right"/>
              <w:rPr>
                <w:rFonts w:ascii="Arial" w:hAnsi="Arial" w:cs="Arial"/>
                <w:b/>
                <w:sz w:val="24"/>
                <w:szCs w:val="24"/>
              </w:rPr>
            </w:pPr>
            <w:r w:rsidRPr="000D756E">
              <w:rPr>
                <w:rFonts w:ascii="Arial" w:hAnsi="Arial" w:cs="Arial"/>
                <w:b/>
                <w:sz w:val="24"/>
                <w:szCs w:val="24"/>
              </w:rPr>
              <w:t>V</w:t>
            </w:r>
            <w:r w:rsidR="0057759E" w:rsidRPr="000D756E">
              <w:rPr>
                <w:rFonts w:ascii="Arial" w:hAnsi="Arial" w:cs="Arial"/>
                <w:b/>
                <w:sz w:val="24"/>
                <w:szCs w:val="24"/>
              </w:rPr>
              <w:t>alue</w:t>
            </w:r>
            <w:r w:rsidRPr="000D756E">
              <w:rPr>
                <w:rFonts w:ascii="Arial" w:hAnsi="Arial" w:cs="Arial"/>
                <w:b/>
                <w:sz w:val="24"/>
                <w:szCs w:val="24"/>
              </w:rPr>
              <w:t xml:space="preserve"> (Level 2)</w:t>
            </w:r>
            <w:r w:rsidR="0057759E" w:rsidRPr="000D756E">
              <w:rPr>
                <w:rFonts w:ascii="Arial" w:hAnsi="Arial" w:cs="Arial"/>
                <w:b/>
                <w:sz w:val="24"/>
                <w:szCs w:val="24"/>
              </w:rPr>
              <w:t xml:space="preserve"> £’000</w:t>
            </w:r>
          </w:p>
        </w:tc>
      </w:tr>
      <w:tr w:rsidR="00597713" w:rsidRPr="000D756E" w14:paraId="78913E61" w14:textId="77777777" w:rsidTr="00247033">
        <w:tc>
          <w:tcPr>
            <w:tcW w:w="2943" w:type="dxa"/>
          </w:tcPr>
          <w:p w14:paraId="53D7C855" w14:textId="77777777" w:rsidR="00597713" w:rsidRPr="000D756E" w:rsidRDefault="00597713" w:rsidP="00597713">
            <w:pPr>
              <w:rPr>
                <w:rFonts w:ascii="Arial" w:hAnsi="Arial" w:cs="Arial"/>
                <w:sz w:val="24"/>
                <w:szCs w:val="24"/>
              </w:rPr>
            </w:pPr>
            <w:r w:rsidRPr="000D756E">
              <w:rPr>
                <w:rFonts w:ascii="Arial" w:hAnsi="Arial" w:cs="Arial"/>
                <w:sz w:val="24"/>
                <w:szCs w:val="24"/>
              </w:rPr>
              <w:t>Financial liabilities</w:t>
            </w:r>
          </w:p>
        </w:tc>
        <w:tc>
          <w:tcPr>
            <w:tcW w:w="1560" w:type="dxa"/>
          </w:tcPr>
          <w:p w14:paraId="182D4B9C" w14:textId="54EB2755" w:rsidR="00597713" w:rsidRPr="000D756E" w:rsidRDefault="003C15E1" w:rsidP="00597713">
            <w:pPr>
              <w:jc w:val="right"/>
              <w:rPr>
                <w:rFonts w:ascii="Arial" w:hAnsi="Arial" w:cs="Arial"/>
                <w:sz w:val="24"/>
                <w:szCs w:val="24"/>
              </w:rPr>
            </w:pPr>
            <w:r>
              <w:rPr>
                <w:rFonts w:ascii="Arial" w:hAnsi="Arial" w:cs="Arial"/>
                <w:sz w:val="24"/>
                <w:szCs w:val="24"/>
              </w:rPr>
              <w:t>5,045</w:t>
            </w:r>
          </w:p>
        </w:tc>
        <w:tc>
          <w:tcPr>
            <w:tcW w:w="1559" w:type="dxa"/>
          </w:tcPr>
          <w:p w14:paraId="1CBA5446" w14:textId="1AD84BF6" w:rsidR="00597713" w:rsidRPr="000D756E" w:rsidRDefault="003C15E1" w:rsidP="00597713">
            <w:pPr>
              <w:jc w:val="right"/>
              <w:rPr>
                <w:rFonts w:ascii="Arial" w:hAnsi="Arial" w:cs="Arial"/>
                <w:sz w:val="24"/>
                <w:szCs w:val="24"/>
              </w:rPr>
            </w:pPr>
            <w:r>
              <w:rPr>
                <w:rFonts w:ascii="Arial" w:hAnsi="Arial" w:cs="Arial"/>
                <w:sz w:val="24"/>
                <w:szCs w:val="24"/>
              </w:rPr>
              <w:t>4,927</w:t>
            </w:r>
          </w:p>
        </w:tc>
        <w:tc>
          <w:tcPr>
            <w:tcW w:w="1417" w:type="dxa"/>
          </w:tcPr>
          <w:p w14:paraId="333FC88A" w14:textId="4ACBE3C2" w:rsidR="00597713" w:rsidRPr="000D756E" w:rsidRDefault="00597713" w:rsidP="00597713">
            <w:pPr>
              <w:jc w:val="right"/>
              <w:rPr>
                <w:rFonts w:ascii="Arial" w:hAnsi="Arial" w:cs="Arial"/>
                <w:sz w:val="24"/>
                <w:szCs w:val="24"/>
              </w:rPr>
            </w:pPr>
            <w:r w:rsidRPr="000D756E">
              <w:rPr>
                <w:rFonts w:ascii="Arial" w:hAnsi="Arial" w:cs="Arial"/>
                <w:sz w:val="24"/>
                <w:szCs w:val="24"/>
              </w:rPr>
              <w:t>5,255</w:t>
            </w:r>
          </w:p>
        </w:tc>
        <w:tc>
          <w:tcPr>
            <w:tcW w:w="1418" w:type="dxa"/>
          </w:tcPr>
          <w:p w14:paraId="30FD1812" w14:textId="4E36410C" w:rsidR="00597713" w:rsidRPr="000D756E" w:rsidRDefault="00597713" w:rsidP="00597713">
            <w:pPr>
              <w:jc w:val="right"/>
              <w:rPr>
                <w:rFonts w:ascii="Arial" w:hAnsi="Arial" w:cs="Arial"/>
                <w:sz w:val="24"/>
                <w:szCs w:val="24"/>
              </w:rPr>
            </w:pPr>
            <w:r w:rsidRPr="000D756E">
              <w:rPr>
                <w:rFonts w:ascii="Arial" w:hAnsi="Arial" w:cs="Arial"/>
                <w:sz w:val="24"/>
                <w:szCs w:val="24"/>
              </w:rPr>
              <w:t>5,470</w:t>
            </w:r>
          </w:p>
        </w:tc>
      </w:tr>
    </w:tbl>
    <w:p w14:paraId="15888DD2" w14:textId="77777777" w:rsidR="003753EF" w:rsidRPr="000D756E" w:rsidRDefault="003753EF">
      <w:pPr>
        <w:rPr>
          <w:rFonts w:ascii="Arial" w:hAnsi="Arial" w:cs="Arial"/>
          <w:sz w:val="24"/>
          <w:szCs w:val="24"/>
        </w:rPr>
      </w:pPr>
      <w:r w:rsidRPr="000D756E">
        <w:rPr>
          <w:rFonts w:ascii="Arial" w:hAnsi="Arial" w:cs="Arial"/>
          <w:sz w:val="24"/>
          <w:szCs w:val="24"/>
        </w:rPr>
        <w:br w:type="page"/>
      </w:r>
    </w:p>
    <w:p w14:paraId="32BCC2EF" w14:textId="77777777" w:rsidR="004E5D4B" w:rsidRPr="000D756E" w:rsidRDefault="004E5D4B" w:rsidP="002A7C01">
      <w:pPr>
        <w:rPr>
          <w:rFonts w:ascii="Arial" w:hAnsi="Arial" w:cs="Arial"/>
          <w:sz w:val="24"/>
          <w:szCs w:val="24"/>
        </w:rPr>
      </w:pPr>
    </w:p>
    <w:p w14:paraId="0E8F0918" w14:textId="77777777" w:rsidR="008D73D7" w:rsidRPr="000D756E" w:rsidRDefault="008D73D7" w:rsidP="002A7C01">
      <w:pPr>
        <w:rPr>
          <w:rFonts w:ascii="Arial" w:hAnsi="Arial" w:cs="Arial"/>
          <w:sz w:val="24"/>
          <w:szCs w:val="24"/>
        </w:rPr>
      </w:pPr>
      <w:r w:rsidRPr="000D756E">
        <w:rPr>
          <w:rFonts w:ascii="Arial" w:hAnsi="Arial" w:cs="Arial"/>
          <w:sz w:val="24"/>
          <w:szCs w:val="24"/>
        </w:rPr>
        <w:t xml:space="preserve">Additional information in respect of the </w:t>
      </w:r>
      <w:r w:rsidR="00C32DF5" w:rsidRPr="000D756E">
        <w:rPr>
          <w:rFonts w:ascii="Arial" w:hAnsi="Arial" w:cs="Arial"/>
          <w:sz w:val="24"/>
          <w:szCs w:val="24"/>
        </w:rPr>
        <w:t>A</w:t>
      </w:r>
      <w:r w:rsidRPr="000D756E">
        <w:rPr>
          <w:rFonts w:ascii="Arial" w:hAnsi="Arial" w:cs="Arial"/>
          <w:sz w:val="24"/>
          <w:szCs w:val="24"/>
        </w:rPr>
        <w:t>uthority’s borrowing is given below</w:t>
      </w:r>
    </w:p>
    <w:p w14:paraId="205C8F06" w14:textId="77777777" w:rsidR="008D73D7" w:rsidRPr="000D756E" w:rsidRDefault="008D73D7" w:rsidP="002A7C01">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559"/>
        <w:gridCol w:w="1701"/>
      </w:tblGrid>
      <w:tr w:rsidR="006329E6" w:rsidRPr="000D756E" w14:paraId="607BD177" w14:textId="77777777" w:rsidTr="043A1228">
        <w:tc>
          <w:tcPr>
            <w:tcW w:w="5637" w:type="dxa"/>
          </w:tcPr>
          <w:p w14:paraId="19E7A097" w14:textId="77777777" w:rsidR="00AF0737" w:rsidRPr="000D756E" w:rsidRDefault="00AF0737" w:rsidP="00AF0737">
            <w:pPr>
              <w:rPr>
                <w:rFonts w:ascii="Arial" w:hAnsi="Arial" w:cs="Arial"/>
                <w:b/>
                <w:sz w:val="24"/>
                <w:szCs w:val="24"/>
              </w:rPr>
            </w:pPr>
          </w:p>
        </w:tc>
        <w:tc>
          <w:tcPr>
            <w:tcW w:w="1559" w:type="dxa"/>
          </w:tcPr>
          <w:p w14:paraId="6608784D" w14:textId="18AEF68A" w:rsidR="00AF0737" w:rsidRPr="000D756E" w:rsidRDefault="00AF0737" w:rsidP="00AF0737">
            <w:pPr>
              <w:jc w:val="right"/>
              <w:rPr>
                <w:rFonts w:ascii="Arial" w:hAnsi="Arial" w:cs="Arial"/>
                <w:b/>
                <w:sz w:val="24"/>
                <w:szCs w:val="24"/>
              </w:rPr>
            </w:pPr>
            <w:r w:rsidRPr="000D756E">
              <w:rPr>
                <w:rFonts w:ascii="Arial" w:hAnsi="Arial" w:cs="Arial"/>
                <w:b/>
                <w:sz w:val="24"/>
                <w:szCs w:val="24"/>
              </w:rPr>
              <w:t>31 March 202</w:t>
            </w:r>
            <w:r w:rsidR="00597713">
              <w:rPr>
                <w:rFonts w:ascii="Arial" w:hAnsi="Arial" w:cs="Arial"/>
                <w:b/>
                <w:sz w:val="24"/>
                <w:szCs w:val="24"/>
              </w:rPr>
              <w:t>5</w:t>
            </w:r>
          </w:p>
          <w:p w14:paraId="6DFC0BB2" w14:textId="77777777" w:rsidR="00AF0737" w:rsidRPr="000D756E" w:rsidRDefault="00AF0737" w:rsidP="00AF0737">
            <w:pPr>
              <w:jc w:val="right"/>
              <w:rPr>
                <w:rFonts w:ascii="Arial" w:hAnsi="Arial" w:cs="Arial"/>
                <w:b/>
                <w:sz w:val="24"/>
                <w:szCs w:val="24"/>
              </w:rPr>
            </w:pPr>
            <w:r w:rsidRPr="000D756E">
              <w:rPr>
                <w:rFonts w:ascii="Arial" w:hAnsi="Arial" w:cs="Arial"/>
                <w:b/>
                <w:sz w:val="24"/>
                <w:szCs w:val="24"/>
              </w:rPr>
              <w:t>£’000</w:t>
            </w:r>
          </w:p>
        </w:tc>
        <w:tc>
          <w:tcPr>
            <w:tcW w:w="1701" w:type="dxa"/>
          </w:tcPr>
          <w:p w14:paraId="67DAE556" w14:textId="011D9B8E" w:rsidR="00AF0737" w:rsidRPr="000D756E" w:rsidRDefault="00AF0737" w:rsidP="00AF0737">
            <w:pPr>
              <w:jc w:val="right"/>
              <w:rPr>
                <w:rFonts w:ascii="Arial" w:hAnsi="Arial" w:cs="Arial"/>
                <w:b/>
                <w:sz w:val="24"/>
                <w:szCs w:val="24"/>
              </w:rPr>
            </w:pPr>
            <w:r w:rsidRPr="000D756E">
              <w:rPr>
                <w:rFonts w:ascii="Arial" w:hAnsi="Arial" w:cs="Arial"/>
                <w:b/>
                <w:sz w:val="24"/>
                <w:szCs w:val="24"/>
              </w:rPr>
              <w:t>31 March 202</w:t>
            </w:r>
            <w:r w:rsidR="00597713">
              <w:rPr>
                <w:rFonts w:ascii="Arial" w:hAnsi="Arial" w:cs="Arial"/>
                <w:b/>
                <w:sz w:val="24"/>
                <w:szCs w:val="24"/>
              </w:rPr>
              <w:t>4</w:t>
            </w:r>
          </w:p>
          <w:p w14:paraId="3A1C135D" w14:textId="539D0AC7" w:rsidR="00AF0737" w:rsidRPr="000D756E" w:rsidRDefault="00AF0737" w:rsidP="00AF0737">
            <w:pPr>
              <w:jc w:val="right"/>
              <w:rPr>
                <w:rFonts w:ascii="Arial" w:hAnsi="Arial" w:cs="Arial"/>
                <w:b/>
                <w:sz w:val="24"/>
                <w:szCs w:val="24"/>
              </w:rPr>
            </w:pPr>
            <w:r w:rsidRPr="000D756E">
              <w:rPr>
                <w:rFonts w:ascii="Arial" w:hAnsi="Arial" w:cs="Arial"/>
                <w:b/>
                <w:sz w:val="24"/>
                <w:szCs w:val="24"/>
              </w:rPr>
              <w:t>£’000</w:t>
            </w:r>
          </w:p>
        </w:tc>
      </w:tr>
      <w:tr w:rsidR="006329E6" w:rsidRPr="000D756E" w14:paraId="1E05E68E" w14:textId="77777777" w:rsidTr="043A1228">
        <w:tc>
          <w:tcPr>
            <w:tcW w:w="5637" w:type="dxa"/>
          </w:tcPr>
          <w:p w14:paraId="091FA178" w14:textId="77777777" w:rsidR="00186527" w:rsidRPr="000D756E" w:rsidRDefault="00186527" w:rsidP="00186527">
            <w:pPr>
              <w:rPr>
                <w:rFonts w:ascii="Arial" w:hAnsi="Arial" w:cs="Arial"/>
                <w:b/>
                <w:sz w:val="24"/>
                <w:szCs w:val="24"/>
              </w:rPr>
            </w:pPr>
            <w:r w:rsidRPr="000D756E">
              <w:rPr>
                <w:rFonts w:ascii="Arial" w:hAnsi="Arial" w:cs="Arial"/>
                <w:b/>
                <w:sz w:val="24"/>
                <w:szCs w:val="24"/>
              </w:rPr>
              <w:t>Loan Source</w:t>
            </w:r>
          </w:p>
        </w:tc>
        <w:tc>
          <w:tcPr>
            <w:tcW w:w="1559" w:type="dxa"/>
          </w:tcPr>
          <w:p w14:paraId="1D8226E7" w14:textId="77777777" w:rsidR="00186527" w:rsidRPr="000D756E" w:rsidRDefault="00186527" w:rsidP="00186527">
            <w:pPr>
              <w:jc w:val="right"/>
              <w:rPr>
                <w:rFonts w:ascii="Arial" w:hAnsi="Arial" w:cs="Arial"/>
                <w:b/>
                <w:sz w:val="24"/>
                <w:szCs w:val="24"/>
              </w:rPr>
            </w:pPr>
          </w:p>
        </w:tc>
        <w:tc>
          <w:tcPr>
            <w:tcW w:w="1701" w:type="dxa"/>
          </w:tcPr>
          <w:p w14:paraId="2DEA18F6" w14:textId="77777777" w:rsidR="00186527" w:rsidRPr="000D756E" w:rsidRDefault="00186527" w:rsidP="00186527">
            <w:pPr>
              <w:jc w:val="right"/>
              <w:rPr>
                <w:rFonts w:ascii="Arial" w:hAnsi="Arial" w:cs="Arial"/>
                <w:b/>
                <w:sz w:val="24"/>
                <w:szCs w:val="24"/>
              </w:rPr>
            </w:pPr>
          </w:p>
        </w:tc>
      </w:tr>
      <w:tr w:rsidR="00597713" w:rsidRPr="000D756E" w14:paraId="621A2B58" w14:textId="77777777" w:rsidTr="043A1228">
        <w:tc>
          <w:tcPr>
            <w:tcW w:w="5637" w:type="dxa"/>
          </w:tcPr>
          <w:p w14:paraId="636A89F5" w14:textId="77777777" w:rsidR="00597713" w:rsidRPr="000D756E" w:rsidRDefault="00597713" w:rsidP="00597713">
            <w:pPr>
              <w:rPr>
                <w:rFonts w:ascii="Arial" w:hAnsi="Arial" w:cs="Arial"/>
                <w:sz w:val="24"/>
                <w:szCs w:val="24"/>
              </w:rPr>
            </w:pPr>
            <w:r w:rsidRPr="000D756E">
              <w:rPr>
                <w:rFonts w:ascii="Arial" w:hAnsi="Arial" w:cs="Arial"/>
                <w:sz w:val="24"/>
                <w:szCs w:val="24"/>
              </w:rPr>
              <w:t>Public Works Loan Board</w:t>
            </w:r>
          </w:p>
        </w:tc>
        <w:tc>
          <w:tcPr>
            <w:tcW w:w="1559" w:type="dxa"/>
          </w:tcPr>
          <w:p w14:paraId="093B7AF0" w14:textId="525B39D6" w:rsidR="00597713" w:rsidRPr="000D756E" w:rsidRDefault="001A0060" w:rsidP="00597713">
            <w:pPr>
              <w:jc w:val="right"/>
              <w:rPr>
                <w:rFonts w:ascii="Arial" w:hAnsi="Arial" w:cs="Arial"/>
                <w:sz w:val="24"/>
                <w:szCs w:val="24"/>
              </w:rPr>
            </w:pPr>
            <w:r>
              <w:rPr>
                <w:rFonts w:ascii="Arial" w:hAnsi="Arial" w:cs="Arial"/>
                <w:sz w:val="24"/>
                <w:szCs w:val="24"/>
              </w:rPr>
              <w:t>5,045</w:t>
            </w:r>
          </w:p>
        </w:tc>
        <w:tc>
          <w:tcPr>
            <w:tcW w:w="1701" w:type="dxa"/>
          </w:tcPr>
          <w:p w14:paraId="56D968A6" w14:textId="6770DF04" w:rsidR="00597713" w:rsidRPr="000D756E" w:rsidRDefault="00597713" w:rsidP="00597713">
            <w:pPr>
              <w:jc w:val="right"/>
              <w:rPr>
                <w:rFonts w:ascii="Arial" w:hAnsi="Arial" w:cs="Arial"/>
                <w:sz w:val="24"/>
                <w:szCs w:val="24"/>
              </w:rPr>
            </w:pPr>
            <w:r w:rsidRPr="000D756E">
              <w:rPr>
                <w:rFonts w:ascii="Arial" w:hAnsi="Arial" w:cs="Arial"/>
                <w:sz w:val="24"/>
                <w:szCs w:val="24"/>
              </w:rPr>
              <w:t>5,255</w:t>
            </w:r>
          </w:p>
        </w:tc>
      </w:tr>
      <w:tr w:rsidR="00597713" w:rsidRPr="000D756E" w14:paraId="7EB576CB" w14:textId="77777777" w:rsidTr="043A1228">
        <w:tc>
          <w:tcPr>
            <w:tcW w:w="5637" w:type="dxa"/>
          </w:tcPr>
          <w:p w14:paraId="20FDBD31" w14:textId="77777777" w:rsidR="00597713" w:rsidRPr="000D756E" w:rsidRDefault="00597713" w:rsidP="00597713">
            <w:pPr>
              <w:rPr>
                <w:rFonts w:ascii="Arial" w:hAnsi="Arial" w:cs="Arial"/>
                <w:sz w:val="24"/>
                <w:szCs w:val="24"/>
              </w:rPr>
            </w:pPr>
          </w:p>
        </w:tc>
        <w:tc>
          <w:tcPr>
            <w:tcW w:w="1559" w:type="dxa"/>
          </w:tcPr>
          <w:p w14:paraId="414FBBB2" w14:textId="77777777" w:rsidR="00597713" w:rsidRPr="000D756E" w:rsidRDefault="00597713" w:rsidP="00597713">
            <w:pPr>
              <w:jc w:val="right"/>
              <w:rPr>
                <w:rFonts w:ascii="Arial" w:hAnsi="Arial" w:cs="Arial"/>
                <w:sz w:val="24"/>
                <w:szCs w:val="24"/>
              </w:rPr>
            </w:pPr>
          </w:p>
        </w:tc>
        <w:tc>
          <w:tcPr>
            <w:tcW w:w="1701" w:type="dxa"/>
          </w:tcPr>
          <w:p w14:paraId="7744BF9C" w14:textId="77777777" w:rsidR="00597713" w:rsidRPr="000D756E" w:rsidRDefault="00597713" w:rsidP="00597713">
            <w:pPr>
              <w:jc w:val="right"/>
              <w:rPr>
                <w:rFonts w:ascii="Arial" w:hAnsi="Arial" w:cs="Arial"/>
                <w:sz w:val="24"/>
                <w:szCs w:val="24"/>
              </w:rPr>
            </w:pPr>
          </w:p>
        </w:tc>
      </w:tr>
      <w:tr w:rsidR="00597713" w:rsidRPr="000D756E" w14:paraId="13450C5D" w14:textId="77777777" w:rsidTr="043A1228">
        <w:tc>
          <w:tcPr>
            <w:tcW w:w="5637" w:type="dxa"/>
          </w:tcPr>
          <w:p w14:paraId="129B3D10" w14:textId="77777777" w:rsidR="00597713" w:rsidRPr="00DF691B" w:rsidRDefault="00597713" w:rsidP="00597713">
            <w:pPr>
              <w:rPr>
                <w:rFonts w:ascii="Arial" w:hAnsi="Arial" w:cs="Arial"/>
                <w:b/>
                <w:sz w:val="24"/>
                <w:szCs w:val="24"/>
              </w:rPr>
            </w:pPr>
            <w:r w:rsidRPr="00DF691B">
              <w:rPr>
                <w:rFonts w:ascii="Arial" w:hAnsi="Arial" w:cs="Arial"/>
                <w:b/>
                <w:sz w:val="24"/>
                <w:szCs w:val="24"/>
              </w:rPr>
              <w:t>Analysis by Maturity</w:t>
            </w:r>
          </w:p>
        </w:tc>
        <w:tc>
          <w:tcPr>
            <w:tcW w:w="1559" w:type="dxa"/>
          </w:tcPr>
          <w:p w14:paraId="68825744" w14:textId="2292FDE3" w:rsidR="00597713" w:rsidRPr="000D756E" w:rsidRDefault="00597713" w:rsidP="00597713">
            <w:pPr>
              <w:jc w:val="right"/>
              <w:rPr>
                <w:rFonts w:ascii="Arial" w:hAnsi="Arial" w:cs="Arial"/>
                <w:sz w:val="24"/>
                <w:szCs w:val="24"/>
              </w:rPr>
            </w:pPr>
          </w:p>
        </w:tc>
        <w:tc>
          <w:tcPr>
            <w:tcW w:w="1701" w:type="dxa"/>
          </w:tcPr>
          <w:p w14:paraId="328EACB3" w14:textId="77777777" w:rsidR="00597713" w:rsidRPr="000D756E" w:rsidRDefault="00597713" w:rsidP="00597713">
            <w:pPr>
              <w:jc w:val="right"/>
              <w:rPr>
                <w:rFonts w:ascii="Arial" w:hAnsi="Arial" w:cs="Arial"/>
                <w:sz w:val="24"/>
                <w:szCs w:val="24"/>
              </w:rPr>
            </w:pPr>
          </w:p>
        </w:tc>
      </w:tr>
      <w:tr w:rsidR="00597713" w:rsidRPr="000D756E" w14:paraId="40D81D00" w14:textId="77777777" w:rsidTr="043A1228">
        <w:tc>
          <w:tcPr>
            <w:tcW w:w="5637" w:type="dxa"/>
          </w:tcPr>
          <w:p w14:paraId="5AF80FE5" w14:textId="77777777" w:rsidR="00597713" w:rsidRPr="000D756E" w:rsidRDefault="00597713" w:rsidP="00597713">
            <w:pPr>
              <w:rPr>
                <w:rFonts w:ascii="Arial" w:hAnsi="Arial" w:cs="Arial"/>
                <w:sz w:val="24"/>
                <w:szCs w:val="24"/>
              </w:rPr>
            </w:pPr>
            <w:r w:rsidRPr="000D756E">
              <w:rPr>
                <w:rFonts w:ascii="Arial" w:hAnsi="Arial" w:cs="Arial"/>
                <w:sz w:val="24"/>
                <w:szCs w:val="24"/>
              </w:rPr>
              <w:t>Less than 1 year</w:t>
            </w:r>
          </w:p>
        </w:tc>
        <w:tc>
          <w:tcPr>
            <w:tcW w:w="1559" w:type="dxa"/>
          </w:tcPr>
          <w:p w14:paraId="663A2C89" w14:textId="593FBB4E" w:rsidR="00597713" w:rsidRPr="000D756E" w:rsidRDefault="00740AFF" w:rsidP="00597713">
            <w:pPr>
              <w:jc w:val="right"/>
              <w:rPr>
                <w:rFonts w:ascii="Arial" w:hAnsi="Arial" w:cs="Arial"/>
                <w:sz w:val="24"/>
                <w:szCs w:val="24"/>
              </w:rPr>
            </w:pPr>
            <w:r>
              <w:rPr>
                <w:rFonts w:ascii="Arial" w:hAnsi="Arial" w:cs="Arial"/>
                <w:sz w:val="24"/>
                <w:szCs w:val="24"/>
              </w:rPr>
              <w:t>0</w:t>
            </w:r>
          </w:p>
        </w:tc>
        <w:tc>
          <w:tcPr>
            <w:tcW w:w="1701" w:type="dxa"/>
          </w:tcPr>
          <w:p w14:paraId="6B9D978C" w14:textId="5D90B2EC" w:rsidR="00597713" w:rsidRPr="000D756E" w:rsidRDefault="00597713" w:rsidP="00597713">
            <w:pPr>
              <w:jc w:val="right"/>
              <w:rPr>
                <w:rFonts w:ascii="Arial" w:hAnsi="Arial" w:cs="Arial"/>
                <w:sz w:val="24"/>
                <w:szCs w:val="24"/>
              </w:rPr>
            </w:pPr>
            <w:r w:rsidRPr="000D756E">
              <w:rPr>
                <w:rFonts w:ascii="Arial" w:hAnsi="Arial" w:cs="Arial"/>
                <w:sz w:val="24"/>
                <w:szCs w:val="24"/>
              </w:rPr>
              <w:t>210</w:t>
            </w:r>
          </w:p>
        </w:tc>
      </w:tr>
      <w:tr w:rsidR="00597713" w:rsidRPr="000D756E" w14:paraId="52C69733" w14:textId="77777777" w:rsidTr="043A1228">
        <w:tc>
          <w:tcPr>
            <w:tcW w:w="5637" w:type="dxa"/>
          </w:tcPr>
          <w:p w14:paraId="3DDD4D2F" w14:textId="77777777" w:rsidR="00597713" w:rsidRPr="000D756E" w:rsidRDefault="00597713" w:rsidP="00597713">
            <w:pPr>
              <w:rPr>
                <w:rFonts w:ascii="Arial" w:hAnsi="Arial" w:cs="Arial"/>
                <w:sz w:val="24"/>
                <w:szCs w:val="24"/>
              </w:rPr>
            </w:pPr>
            <w:r w:rsidRPr="000D756E">
              <w:rPr>
                <w:rFonts w:ascii="Arial" w:hAnsi="Arial" w:cs="Arial"/>
                <w:sz w:val="24"/>
                <w:szCs w:val="24"/>
              </w:rPr>
              <w:t>Between 1 and 2 years</w:t>
            </w:r>
          </w:p>
        </w:tc>
        <w:tc>
          <w:tcPr>
            <w:tcW w:w="1559" w:type="dxa"/>
          </w:tcPr>
          <w:p w14:paraId="6D033078" w14:textId="59F3EF73" w:rsidR="00597713" w:rsidRPr="000D756E" w:rsidRDefault="00740AFF" w:rsidP="00597713">
            <w:pPr>
              <w:jc w:val="right"/>
              <w:rPr>
                <w:rFonts w:ascii="Arial" w:hAnsi="Arial" w:cs="Arial"/>
                <w:sz w:val="24"/>
                <w:szCs w:val="24"/>
              </w:rPr>
            </w:pPr>
            <w:r>
              <w:rPr>
                <w:rFonts w:ascii="Arial" w:hAnsi="Arial" w:cs="Arial"/>
                <w:sz w:val="24"/>
                <w:szCs w:val="24"/>
              </w:rPr>
              <w:t>194</w:t>
            </w:r>
          </w:p>
        </w:tc>
        <w:tc>
          <w:tcPr>
            <w:tcW w:w="1701" w:type="dxa"/>
          </w:tcPr>
          <w:p w14:paraId="5C1B0CD8" w14:textId="3E20FBB1" w:rsidR="00597713" w:rsidRPr="000D756E" w:rsidRDefault="00597713" w:rsidP="00597713">
            <w:pPr>
              <w:jc w:val="right"/>
              <w:rPr>
                <w:rFonts w:ascii="Arial" w:hAnsi="Arial" w:cs="Arial"/>
                <w:sz w:val="24"/>
                <w:szCs w:val="24"/>
              </w:rPr>
            </w:pPr>
            <w:r w:rsidRPr="000D756E">
              <w:rPr>
                <w:rFonts w:ascii="Arial" w:hAnsi="Arial" w:cs="Arial"/>
                <w:sz w:val="24"/>
                <w:szCs w:val="24"/>
              </w:rPr>
              <w:t>194</w:t>
            </w:r>
          </w:p>
        </w:tc>
      </w:tr>
      <w:tr w:rsidR="00597713" w:rsidRPr="000D756E" w14:paraId="5C676B44" w14:textId="77777777" w:rsidTr="043A1228">
        <w:trPr>
          <w:trHeight w:val="331"/>
        </w:trPr>
        <w:tc>
          <w:tcPr>
            <w:tcW w:w="5637" w:type="dxa"/>
          </w:tcPr>
          <w:p w14:paraId="27A35F96" w14:textId="77777777" w:rsidR="00597713" w:rsidRPr="000D756E" w:rsidRDefault="00597713" w:rsidP="00597713">
            <w:pPr>
              <w:rPr>
                <w:rFonts w:ascii="Arial" w:hAnsi="Arial" w:cs="Arial"/>
                <w:sz w:val="24"/>
                <w:szCs w:val="24"/>
              </w:rPr>
            </w:pPr>
            <w:r w:rsidRPr="000D756E">
              <w:rPr>
                <w:rFonts w:ascii="Arial" w:hAnsi="Arial" w:cs="Arial"/>
                <w:sz w:val="24"/>
                <w:szCs w:val="24"/>
              </w:rPr>
              <w:t>Between 2 and 5 years</w:t>
            </w:r>
          </w:p>
        </w:tc>
        <w:tc>
          <w:tcPr>
            <w:tcW w:w="1559" w:type="dxa"/>
          </w:tcPr>
          <w:p w14:paraId="2EE610AB" w14:textId="0F8A3F99" w:rsidR="00597713" w:rsidRPr="000D756E" w:rsidRDefault="00740AFF" w:rsidP="00597713">
            <w:pPr>
              <w:jc w:val="right"/>
              <w:rPr>
                <w:rFonts w:ascii="Arial" w:hAnsi="Arial" w:cs="Arial"/>
                <w:sz w:val="24"/>
                <w:szCs w:val="24"/>
              </w:rPr>
            </w:pPr>
            <w:r>
              <w:rPr>
                <w:rFonts w:ascii="Arial" w:hAnsi="Arial" w:cs="Arial"/>
                <w:sz w:val="24"/>
                <w:szCs w:val="24"/>
              </w:rPr>
              <w:t>395</w:t>
            </w:r>
          </w:p>
        </w:tc>
        <w:tc>
          <w:tcPr>
            <w:tcW w:w="1701" w:type="dxa"/>
          </w:tcPr>
          <w:p w14:paraId="7A9E09E1" w14:textId="374164D6" w:rsidR="00597713" w:rsidRPr="000D756E" w:rsidRDefault="00597713" w:rsidP="00597713">
            <w:pPr>
              <w:jc w:val="right"/>
              <w:rPr>
                <w:rFonts w:ascii="Arial" w:hAnsi="Arial" w:cs="Arial"/>
                <w:sz w:val="24"/>
                <w:szCs w:val="24"/>
              </w:rPr>
            </w:pPr>
            <w:r w:rsidRPr="000D756E">
              <w:rPr>
                <w:rFonts w:ascii="Arial" w:hAnsi="Arial" w:cs="Arial"/>
                <w:sz w:val="24"/>
                <w:szCs w:val="24"/>
              </w:rPr>
              <w:t>395</w:t>
            </w:r>
          </w:p>
        </w:tc>
      </w:tr>
      <w:tr w:rsidR="00597713" w:rsidRPr="000D756E" w14:paraId="15FF94BD" w14:textId="77777777" w:rsidTr="043A1228">
        <w:tc>
          <w:tcPr>
            <w:tcW w:w="5637" w:type="dxa"/>
          </w:tcPr>
          <w:p w14:paraId="068AEA12" w14:textId="77777777" w:rsidR="00597713" w:rsidRPr="000D756E" w:rsidRDefault="00597713" w:rsidP="00597713">
            <w:pPr>
              <w:rPr>
                <w:rFonts w:ascii="Arial" w:hAnsi="Arial" w:cs="Arial"/>
                <w:sz w:val="24"/>
                <w:szCs w:val="24"/>
              </w:rPr>
            </w:pPr>
            <w:r w:rsidRPr="000D756E">
              <w:rPr>
                <w:rFonts w:ascii="Arial" w:hAnsi="Arial" w:cs="Arial"/>
                <w:sz w:val="24"/>
                <w:szCs w:val="24"/>
              </w:rPr>
              <w:t>Between 5 and 10 years</w:t>
            </w:r>
          </w:p>
        </w:tc>
        <w:tc>
          <w:tcPr>
            <w:tcW w:w="1559" w:type="dxa"/>
          </w:tcPr>
          <w:p w14:paraId="71392DEC" w14:textId="5330C27F" w:rsidR="00597713" w:rsidRPr="000D756E" w:rsidRDefault="001A6915" w:rsidP="00597713">
            <w:pPr>
              <w:jc w:val="right"/>
              <w:rPr>
                <w:rFonts w:ascii="Arial" w:hAnsi="Arial" w:cs="Arial"/>
                <w:sz w:val="24"/>
                <w:szCs w:val="24"/>
              </w:rPr>
            </w:pPr>
            <w:r>
              <w:rPr>
                <w:rFonts w:ascii="Arial" w:hAnsi="Arial" w:cs="Arial"/>
                <w:sz w:val="24"/>
                <w:szCs w:val="24"/>
              </w:rPr>
              <w:t>2,083</w:t>
            </w:r>
          </w:p>
        </w:tc>
        <w:tc>
          <w:tcPr>
            <w:tcW w:w="1701" w:type="dxa"/>
          </w:tcPr>
          <w:p w14:paraId="27FBADCD" w14:textId="69F80F02" w:rsidR="00597713" w:rsidRPr="000D756E" w:rsidRDefault="00597713" w:rsidP="00597713">
            <w:pPr>
              <w:jc w:val="right"/>
              <w:rPr>
                <w:rFonts w:ascii="Arial" w:hAnsi="Arial" w:cs="Arial"/>
                <w:sz w:val="24"/>
                <w:szCs w:val="24"/>
              </w:rPr>
            </w:pPr>
            <w:r w:rsidRPr="000D756E">
              <w:rPr>
                <w:rFonts w:ascii="Arial" w:hAnsi="Arial" w:cs="Arial"/>
                <w:sz w:val="24"/>
                <w:szCs w:val="24"/>
              </w:rPr>
              <w:t>1,448</w:t>
            </w:r>
          </w:p>
        </w:tc>
      </w:tr>
      <w:tr w:rsidR="00597713" w:rsidRPr="000D756E" w14:paraId="768D7385" w14:textId="77777777" w:rsidTr="043A1228">
        <w:tc>
          <w:tcPr>
            <w:tcW w:w="5637" w:type="dxa"/>
          </w:tcPr>
          <w:p w14:paraId="08F9C9C4" w14:textId="77777777" w:rsidR="00597713" w:rsidRPr="000D756E" w:rsidRDefault="00597713" w:rsidP="00597713">
            <w:pPr>
              <w:rPr>
                <w:rFonts w:ascii="Arial" w:hAnsi="Arial" w:cs="Arial"/>
                <w:sz w:val="24"/>
                <w:szCs w:val="24"/>
              </w:rPr>
            </w:pPr>
            <w:r w:rsidRPr="000D756E">
              <w:rPr>
                <w:rFonts w:ascii="Arial" w:hAnsi="Arial" w:cs="Arial"/>
                <w:sz w:val="24"/>
                <w:szCs w:val="24"/>
              </w:rPr>
              <w:t xml:space="preserve">Between 10 and 20 years </w:t>
            </w:r>
          </w:p>
        </w:tc>
        <w:tc>
          <w:tcPr>
            <w:tcW w:w="1559" w:type="dxa"/>
          </w:tcPr>
          <w:p w14:paraId="45EC422E" w14:textId="114C7B2A" w:rsidR="00597713" w:rsidRPr="000D756E" w:rsidRDefault="00F04689" w:rsidP="00597713">
            <w:pPr>
              <w:jc w:val="right"/>
              <w:rPr>
                <w:rFonts w:ascii="Arial" w:hAnsi="Arial" w:cs="Arial"/>
                <w:sz w:val="24"/>
                <w:szCs w:val="24"/>
              </w:rPr>
            </w:pPr>
            <w:r>
              <w:rPr>
                <w:rFonts w:ascii="Arial" w:hAnsi="Arial" w:cs="Arial"/>
                <w:sz w:val="24"/>
                <w:szCs w:val="24"/>
              </w:rPr>
              <w:t>713</w:t>
            </w:r>
          </w:p>
        </w:tc>
        <w:tc>
          <w:tcPr>
            <w:tcW w:w="1701" w:type="dxa"/>
          </w:tcPr>
          <w:p w14:paraId="1B3B3196" w14:textId="6B38D7C6" w:rsidR="00597713" w:rsidRPr="000D756E" w:rsidRDefault="00597713" w:rsidP="00597713">
            <w:pPr>
              <w:jc w:val="right"/>
              <w:rPr>
                <w:rFonts w:ascii="Arial" w:hAnsi="Arial" w:cs="Arial"/>
                <w:sz w:val="24"/>
                <w:szCs w:val="24"/>
              </w:rPr>
            </w:pPr>
            <w:r w:rsidRPr="000D756E">
              <w:rPr>
                <w:rFonts w:ascii="Arial" w:hAnsi="Arial" w:cs="Arial"/>
                <w:sz w:val="24"/>
                <w:szCs w:val="24"/>
              </w:rPr>
              <w:t>1,348</w:t>
            </w:r>
          </w:p>
        </w:tc>
      </w:tr>
      <w:tr w:rsidR="00597713" w:rsidRPr="000D756E" w14:paraId="3141D20E" w14:textId="77777777" w:rsidTr="043A1228">
        <w:tc>
          <w:tcPr>
            <w:tcW w:w="5637" w:type="dxa"/>
          </w:tcPr>
          <w:p w14:paraId="2B95BC7D" w14:textId="77777777" w:rsidR="00597713" w:rsidRPr="000D756E" w:rsidRDefault="00597713" w:rsidP="00597713">
            <w:pPr>
              <w:rPr>
                <w:rFonts w:ascii="Arial" w:hAnsi="Arial" w:cs="Arial"/>
                <w:b/>
                <w:sz w:val="24"/>
                <w:szCs w:val="24"/>
              </w:rPr>
            </w:pPr>
            <w:r w:rsidRPr="000D756E">
              <w:rPr>
                <w:rFonts w:ascii="Arial" w:hAnsi="Arial" w:cs="Arial"/>
                <w:sz w:val="24"/>
                <w:szCs w:val="24"/>
              </w:rPr>
              <w:t>Between 20 and 30 years</w:t>
            </w:r>
            <w:r w:rsidRPr="000D756E">
              <w:rPr>
                <w:rFonts w:ascii="Arial" w:hAnsi="Arial" w:cs="Arial"/>
                <w:b/>
                <w:sz w:val="24"/>
                <w:szCs w:val="24"/>
              </w:rPr>
              <w:t xml:space="preserve"> </w:t>
            </w:r>
          </w:p>
        </w:tc>
        <w:tc>
          <w:tcPr>
            <w:tcW w:w="1559" w:type="dxa"/>
          </w:tcPr>
          <w:p w14:paraId="7893C311" w14:textId="252BA0CD" w:rsidR="00597713" w:rsidRPr="000D756E" w:rsidRDefault="00F04689" w:rsidP="00597713">
            <w:pPr>
              <w:jc w:val="right"/>
              <w:rPr>
                <w:rFonts w:ascii="Arial" w:hAnsi="Arial" w:cs="Arial"/>
                <w:sz w:val="24"/>
                <w:szCs w:val="24"/>
              </w:rPr>
            </w:pPr>
            <w:r>
              <w:rPr>
                <w:rFonts w:ascii="Arial" w:hAnsi="Arial" w:cs="Arial"/>
                <w:sz w:val="24"/>
                <w:szCs w:val="24"/>
              </w:rPr>
              <w:t>1,460</w:t>
            </w:r>
          </w:p>
        </w:tc>
        <w:tc>
          <w:tcPr>
            <w:tcW w:w="1701" w:type="dxa"/>
          </w:tcPr>
          <w:p w14:paraId="3CBD75DF" w14:textId="5EAFB283" w:rsidR="00597713" w:rsidRPr="000D756E" w:rsidRDefault="00597713" w:rsidP="00597713">
            <w:pPr>
              <w:jc w:val="right"/>
              <w:rPr>
                <w:rFonts w:ascii="Arial" w:hAnsi="Arial" w:cs="Arial"/>
                <w:sz w:val="24"/>
                <w:szCs w:val="24"/>
              </w:rPr>
            </w:pPr>
            <w:r w:rsidRPr="000D756E">
              <w:rPr>
                <w:rFonts w:ascii="Arial" w:hAnsi="Arial" w:cs="Arial"/>
                <w:sz w:val="24"/>
                <w:szCs w:val="24"/>
              </w:rPr>
              <w:t>1,130</w:t>
            </w:r>
          </w:p>
        </w:tc>
      </w:tr>
      <w:tr w:rsidR="00597713" w:rsidRPr="000D756E" w14:paraId="746DEE29" w14:textId="77777777" w:rsidTr="043A1228">
        <w:tc>
          <w:tcPr>
            <w:tcW w:w="5637" w:type="dxa"/>
          </w:tcPr>
          <w:p w14:paraId="45244099" w14:textId="77777777" w:rsidR="00597713" w:rsidRPr="000D756E" w:rsidRDefault="00597713" w:rsidP="00597713">
            <w:pPr>
              <w:rPr>
                <w:rFonts w:ascii="Arial" w:hAnsi="Arial" w:cs="Arial"/>
                <w:sz w:val="24"/>
                <w:szCs w:val="24"/>
              </w:rPr>
            </w:pPr>
            <w:r w:rsidRPr="000D756E">
              <w:rPr>
                <w:rFonts w:ascii="Arial" w:hAnsi="Arial" w:cs="Arial"/>
                <w:sz w:val="24"/>
                <w:szCs w:val="24"/>
              </w:rPr>
              <w:t>Between 30 and 40 years</w:t>
            </w:r>
          </w:p>
        </w:tc>
        <w:tc>
          <w:tcPr>
            <w:tcW w:w="1559" w:type="dxa"/>
          </w:tcPr>
          <w:p w14:paraId="496DE9D6" w14:textId="58E7ACE8" w:rsidR="00597713" w:rsidRPr="000D756E" w:rsidRDefault="00F04689" w:rsidP="00597713">
            <w:pPr>
              <w:jc w:val="right"/>
              <w:rPr>
                <w:rFonts w:ascii="Arial" w:hAnsi="Arial" w:cs="Arial"/>
                <w:sz w:val="24"/>
                <w:szCs w:val="24"/>
              </w:rPr>
            </w:pPr>
            <w:r>
              <w:rPr>
                <w:rFonts w:ascii="Arial" w:hAnsi="Arial" w:cs="Arial"/>
                <w:sz w:val="24"/>
                <w:szCs w:val="24"/>
              </w:rPr>
              <w:t>200</w:t>
            </w:r>
          </w:p>
        </w:tc>
        <w:tc>
          <w:tcPr>
            <w:tcW w:w="1701" w:type="dxa"/>
          </w:tcPr>
          <w:p w14:paraId="0FC86A85" w14:textId="24AB3D15" w:rsidR="00597713" w:rsidRPr="000D756E" w:rsidRDefault="00597713" w:rsidP="00597713">
            <w:pPr>
              <w:jc w:val="right"/>
              <w:rPr>
                <w:rFonts w:ascii="Arial" w:hAnsi="Arial" w:cs="Arial"/>
                <w:sz w:val="24"/>
                <w:szCs w:val="24"/>
              </w:rPr>
            </w:pPr>
            <w:r w:rsidRPr="000D756E">
              <w:rPr>
                <w:rFonts w:ascii="Arial" w:hAnsi="Arial" w:cs="Arial"/>
                <w:sz w:val="24"/>
                <w:szCs w:val="24"/>
              </w:rPr>
              <w:t>530</w:t>
            </w:r>
          </w:p>
        </w:tc>
      </w:tr>
    </w:tbl>
    <w:p w14:paraId="438DA36C" w14:textId="32B55B53" w:rsidR="00584BE2" w:rsidRPr="000D756E" w:rsidRDefault="00584BE2" w:rsidP="002A7C01">
      <w:pPr>
        <w:rPr>
          <w:rFonts w:ascii="Arial" w:hAnsi="Arial" w:cs="Arial"/>
          <w:b/>
          <w:sz w:val="24"/>
          <w:szCs w:val="24"/>
        </w:rPr>
      </w:pPr>
    </w:p>
    <w:p w14:paraId="2BC33283" w14:textId="19E0E155" w:rsidR="002544DF" w:rsidRPr="000D756E" w:rsidRDefault="002544DF" w:rsidP="001C227A">
      <w:pPr>
        <w:numPr>
          <w:ilvl w:val="0"/>
          <w:numId w:val="15"/>
        </w:numPr>
        <w:rPr>
          <w:rFonts w:ascii="Arial" w:hAnsi="Arial" w:cs="Arial"/>
          <w:b/>
          <w:sz w:val="24"/>
          <w:szCs w:val="24"/>
        </w:rPr>
      </w:pPr>
      <w:r w:rsidRPr="000D756E">
        <w:rPr>
          <w:rFonts w:ascii="Arial" w:hAnsi="Arial" w:cs="Arial"/>
          <w:b/>
          <w:sz w:val="24"/>
          <w:szCs w:val="24"/>
        </w:rPr>
        <w:t xml:space="preserve">INVENTORIES </w:t>
      </w:r>
      <w:r w:rsidR="00A07B6D" w:rsidRPr="000D756E">
        <w:rPr>
          <w:rFonts w:ascii="Arial" w:hAnsi="Arial" w:cs="Arial"/>
          <w:b/>
          <w:sz w:val="24"/>
          <w:szCs w:val="24"/>
        </w:rPr>
        <w:t xml:space="preserve"> </w:t>
      </w:r>
    </w:p>
    <w:p w14:paraId="7A75A1FB" w14:textId="77777777" w:rsidR="002544DF" w:rsidRPr="000D756E" w:rsidRDefault="002544DF" w:rsidP="002A7C01">
      <w:pPr>
        <w:rPr>
          <w:rFonts w:ascii="Arial" w:hAnsi="Arial" w:cs="Arial"/>
          <w:sz w:val="22"/>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1059"/>
        <w:gridCol w:w="767"/>
        <w:gridCol w:w="1042"/>
        <w:gridCol w:w="1230"/>
        <w:gridCol w:w="1470"/>
        <w:gridCol w:w="1186"/>
        <w:gridCol w:w="788"/>
      </w:tblGrid>
      <w:tr w:rsidR="006329E6" w:rsidRPr="000D756E" w14:paraId="21A1694D" w14:textId="77777777" w:rsidTr="2DDE5693">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D40496" w14:textId="77777777" w:rsidR="007F7FE2" w:rsidRPr="000D756E" w:rsidRDefault="007F7FE2" w:rsidP="002A7C01">
            <w:pPr>
              <w:rPr>
                <w:rFonts w:ascii="Arial" w:hAnsi="Arial" w:cs="Arial"/>
                <w:sz w:val="22"/>
              </w:rPr>
            </w:pPr>
          </w:p>
          <w:p w14:paraId="19C09F46" w14:textId="712BF6DD" w:rsidR="007F7FE2" w:rsidRPr="000D756E" w:rsidRDefault="007F7FE2" w:rsidP="00E90405">
            <w:pPr>
              <w:rPr>
                <w:rFonts w:ascii="Arial" w:hAnsi="Arial" w:cs="Arial"/>
                <w:b/>
                <w:sz w:val="22"/>
              </w:rPr>
            </w:pPr>
            <w:r w:rsidRPr="000D756E">
              <w:rPr>
                <w:rFonts w:ascii="Arial" w:hAnsi="Arial" w:cs="Arial"/>
                <w:b/>
                <w:sz w:val="22"/>
              </w:rPr>
              <w:t>20</w:t>
            </w:r>
            <w:r w:rsidR="001F52DE" w:rsidRPr="000D756E">
              <w:rPr>
                <w:rFonts w:ascii="Arial" w:hAnsi="Arial" w:cs="Arial"/>
                <w:b/>
                <w:sz w:val="22"/>
              </w:rPr>
              <w:t>2</w:t>
            </w:r>
            <w:r w:rsidR="00CE7AD4">
              <w:rPr>
                <w:rFonts w:ascii="Arial" w:hAnsi="Arial" w:cs="Arial"/>
                <w:b/>
                <w:sz w:val="22"/>
              </w:rPr>
              <w:t>4/25</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AAFD6D" w14:textId="77777777" w:rsidR="007F7FE2" w:rsidRPr="000D756E" w:rsidRDefault="007F7FE2" w:rsidP="0004335B">
            <w:pPr>
              <w:jc w:val="right"/>
              <w:rPr>
                <w:rFonts w:ascii="Arial" w:hAnsi="Arial" w:cs="Arial"/>
                <w:b/>
                <w:sz w:val="22"/>
              </w:rPr>
            </w:pPr>
          </w:p>
          <w:p w14:paraId="73C8EC87" w14:textId="77777777" w:rsidR="007F7FE2" w:rsidRPr="000D756E" w:rsidRDefault="007F7FE2" w:rsidP="0004335B">
            <w:pPr>
              <w:jc w:val="right"/>
              <w:rPr>
                <w:rFonts w:ascii="Arial" w:hAnsi="Arial" w:cs="Arial"/>
                <w:b/>
                <w:sz w:val="22"/>
              </w:rPr>
            </w:pPr>
            <w:r w:rsidRPr="000D756E">
              <w:rPr>
                <w:rFonts w:ascii="Arial" w:hAnsi="Arial" w:cs="Arial"/>
                <w:b/>
                <w:sz w:val="22"/>
              </w:rPr>
              <w:t>Vehicle Parts</w:t>
            </w:r>
          </w:p>
          <w:p w14:paraId="7E26DE24" w14:textId="77777777" w:rsidR="007F7FE2" w:rsidRPr="000D756E" w:rsidRDefault="007F7FE2" w:rsidP="0004335B">
            <w:pPr>
              <w:jc w:val="right"/>
              <w:rPr>
                <w:rFonts w:ascii="Arial" w:hAnsi="Arial" w:cs="Arial"/>
                <w:b/>
                <w:sz w:val="22"/>
              </w:rPr>
            </w:pPr>
            <w:r w:rsidRPr="000D756E">
              <w:rPr>
                <w:rFonts w:ascii="Arial" w:hAnsi="Arial" w:cs="Arial"/>
                <w:b/>
                <w:sz w:val="22"/>
              </w:rPr>
              <w:t>£’000</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2508E2" w14:textId="77777777" w:rsidR="007F7FE2" w:rsidRPr="000D756E" w:rsidRDefault="007F7FE2" w:rsidP="0004335B">
            <w:pPr>
              <w:jc w:val="right"/>
              <w:rPr>
                <w:rFonts w:ascii="Arial" w:hAnsi="Arial" w:cs="Arial"/>
                <w:b/>
                <w:sz w:val="22"/>
              </w:rPr>
            </w:pPr>
          </w:p>
          <w:p w14:paraId="0BD29F0C" w14:textId="77777777" w:rsidR="007F7FE2" w:rsidRPr="000D756E" w:rsidRDefault="007F7FE2" w:rsidP="0004335B">
            <w:pPr>
              <w:jc w:val="right"/>
              <w:rPr>
                <w:rFonts w:ascii="Arial" w:hAnsi="Arial" w:cs="Arial"/>
                <w:b/>
                <w:sz w:val="22"/>
              </w:rPr>
            </w:pPr>
          </w:p>
          <w:p w14:paraId="2A2C33C7" w14:textId="77777777" w:rsidR="007F7FE2" w:rsidRPr="000D756E" w:rsidRDefault="007F7FE2" w:rsidP="0004335B">
            <w:pPr>
              <w:jc w:val="right"/>
              <w:rPr>
                <w:rFonts w:ascii="Arial" w:hAnsi="Arial" w:cs="Arial"/>
                <w:b/>
                <w:sz w:val="22"/>
              </w:rPr>
            </w:pPr>
            <w:r w:rsidRPr="000D756E">
              <w:rPr>
                <w:rFonts w:ascii="Arial" w:hAnsi="Arial" w:cs="Arial"/>
                <w:b/>
                <w:sz w:val="22"/>
              </w:rPr>
              <w:t>Oil</w:t>
            </w:r>
          </w:p>
          <w:p w14:paraId="7CCB1768" w14:textId="77777777" w:rsidR="007F7FE2" w:rsidRPr="000D756E" w:rsidRDefault="007F7FE2" w:rsidP="0004335B">
            <w:pPr>
              <w:jc w:val="right"/>
              <w:rPr>
                <w:rFonts w:ascii="Arial" w:hAnsi="Arial" w:cs="Arial"/>
                <w:b/>
                <w:sz w:val="22"/>
              </w:rPr>
            </w:pPr>
            <w:r w:rsidRPr="000D756E">
              <w:rPr>
                <w:rFonts w:ascii="Arial" w:hAnsi="Arial" w:cs="Arial"/>
                <w:b/>
                <w:sz w:val="22"/>
              </w:rPr>
              <w:t>£’000</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4DE0E0" w14:textId="77777777" w:rsidR="007F7FE2" w:rsidRPr="000D756E" w:rsidRDefault="007F7FE2" w:rsidP="0004335B">
            <w:pPr>
              <w:jc w:val="right"/>
              <w:rPr>
                <w:rFonts w:ascii="Arial" w:hAnsi="Arial" w:cs="Arial"/>
                <w:b/>
                <w:sz w:val="22"/>
              </w:rPr>
            </w:pPr>
          </w:p>
          <w:p w14:paraId="44B8C106" w14:textId="77777777" w:rsidR="007F7FE2" w:rsidRPr="000D756E" w:rsidRDefault="007F7FE2" w:rsidP="0004335B">
            <w:pPr>
              <w:jc w:val="right"/>
              <w:rPr>
                <w:rFonts w:ascii="Arial" w:hAnsi="Arial" w:cs="Arial"/>
                <w:b/>
                <w:sz w:val="22"/>
              </w:rPr>
            </w:pPr>
          </w:p>
          <w:p w14:paraId="7ED1E03D" w14:textId="77777777" w:rsidR="007F7FE2" w:rsidRPr="000D756E" w:rsidRDefault="007F7FE2" w:rsidP="0004335B">
            <w:pPr>
              <w:jc w:val="right"/>
              <w:rPr>
                <w:rFonts w:ascii="Arial" w:hAnsi="Arial" w:cs="Arial"/>
                <w:b/>
                <w:sz w:val="22"/>
              </w:rPr>
            </w:pPr>
            <w:r w:rsidRPr="000D756E">
              <w:rPr>
                <w:rFonts w:ascii="Arial" w:hAnsi="Arial" w:cs="Arial"/>
                <w:b/>
                <w:sz w:val="22"/>
              </w:rPr>
              <w:t>Diesel</w:t>
            </w:r>
          </w:p>
          <w:p w14:paraId="549474ED" w14:textId="77777777" w:rsidR="007F7FE2" w:rsidRPr="000D756E" w:rsidRDefault="007F7FE2" w:rsidP="0004335B">
            <w:pPr>
              <w:jc w:val="right"/>
              <w:rPr>
                <w:rFonts w:ascii="Arial" w:hAnsi="Arial" w:cs="Arial"/>
                <w:b/>
                <w:sz w:val="22"/>
              </w:rPr>
            </w:pPr>
            <w:r w:rsidRPr="000D756E">
              <w:rPr>
                <w:rFonts w:ascii="Arial" w:hAnsi="Arial" w:cs="Arial"/>
                <w:b/>
                <w:sz w:val="22"/>
              </w:rPr>
              <w:t>£’000</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56902C" w14:textId="77777777" w:rsidR="007F7FE2" w:rsidRPr="000D756E" w:rsidRDefault="007F7FE2" w:rsidP="0004335B">
            <w:pPr>
              <w:jc w:val="right"/>
              <w:rPr>
                <w:rFonts w:ascii="Arial" w:hAnsi="Arial" w:cs="Arial"/>
                <w:b/>
                <w:sz w:val="22"/>
              </w:rPr>
            </w:pPr>
          </w:p>
          <w:p w14:paraId="39E5CD4A" w14:textId="77777777" w:rsidR="007F7FE2" w:rsidRPr="000D756E" w:rsidRDefault="007F7FE2" w:rsidP="0004335B">
            <w:pPr>
              <w:jc w:val="right"/>
              <w:rPr>
                <w:rFonts w:ascii="Arial" w:hAnsi="Arial" w:cs="Arial"/>
                <w:b/>
                <w:sz w:val="22"/>
              </w:rPr>
            </w:pPr>
          </w:p>
          <w:p w14:paraId="4001598A" w14:textId="603307D3" w:rsidR="007F7FE2" w:rsidRPr="000D756E" w:rsidRDefault="007F7FE2" w:rsidP="0004335B">
            <w:pPr>
              <w:jc w:val="right"/>
              <w:rPr>
                <w:rFonts w:ascii="Arial" w:hAnsi="Arial" w:cs="Arial"/>
                <w:b/>
                <w:sz w:val="22"/>
                <w:szCs w:val="22"/>
              </w:rPr>
            </w:pPr>
            <w:r w:rsidRPr="000D756E">
              <w:rPr>
                <w:rFonts w:ascii="Arial" w:hAnsi="Arial" w:cs="Arial"/>
                <w:b/>
                <w:bCs/>
                <w:sz w:val="22"/>
                <w:szCs w:val="22"/>
              </w:rPr>
              <w:t>Uniform</w:t>
            </w:r>
          </w:p>
          <w:p w14:paraId="0ED4CBD1" w14:textId="77777777" w:rsidR="007F7FE2" w:rsidRPr="000D756E" w:rsidRDefault="007F7FE2" w:rsidP="0004335B">
            <w:pPr>
              <w:jc w:val="right"/>
              <w:rPr>
                <w:rFonts w:ascii="Arial" w:hAnsi="Arial" w:cs="Arial"/>
                <w:b/>
                <w:sz w:val="22"/>
              </w:rPr>
            </w:pPr>
            <w:r w:rsidRPr="000D756E">
              <w:rPr>
                <w:rFonts w:ascii="Arial" w:hAnsi="Arial" w:cs="Arial"/>
                <w:b/>
                <w:sz w:val="22"/>
              </w:rPr>
              <w:t>£’000</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9BCBBF" w14:textId="77777777" w:rsidR="007F7FE2" w:rsidRPr="000D756E" w:rsidRDefault="007F7FE2" w:rsidP="0004335B">
            <w:pPr>
              <w:jc w:val="right"/>
              <w:rPr>
                <w:rFonts w:ascii="Arial" w:hAnsi="Arial" w:cs="Arial"/>
                <w:b/>
                <w:sz w:val="22"/>
              </w:rPr>
            </w:pPr>
          </w:p>
          <w:p w14:paraId="37E4286B" w14:textId="77777777" w:rsidR="007F7FE2" w:rsidRPr="000D756E" w:rsidRDefault="003B1C62" w:rsidP="0004335B">
            <w:pPr>
              <w:jc w:val="right"/>
              <w:rPr>
                <w:rFonts w:ascii="Arial" w:hAnsi="Arial" w:cs="Arial"/>
                <w:b/>
                <w:sz w:val="22"/>
              </w:rPr>
            </w:pPr>
            <w:r w:rsidRPr="000D756E">
              <w:rPr>
                <w:rFonts w:ascii="Arial" w:hAnsi="Arial" w:cs="Arial"/>
                <w:b/>
                <w:sz w:val="22"/>
              </w:rPr>
              <w:t>Operational Equipment</w:t>
            </w:r>
          </w:p>
          <w:p w14:paraId="46EF5608" w14:textId="77777777" w:rsidR="007F7FE2" w:rsidRPr="000D756E" w:rsidRDefault="007F7FE2" w:rsidP="0004335B">
            <w:pPr>
              <w:jc w:val="right"/>
              <w:rPr>
                <w:rFonts w:ascii="Arial" w:hAnsi="Arial" w:cs="Arial"/>
                <w:b/>
                <w:sz w:val="22"/>
              </w:rPr>
            </w:pPr>
            <w:r w:rsidRPr="000D756E">
              <w:rPr>
                <w:rFonts w:ascii="Arial" w:hAnsi="Arial" w:cs="Arial"/>
                <w:b/>
                <w:sz w:val="22"/>
              </w:rPr>
              <w:t>£’000</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C43D7B" w14:textId="77777777" w:rsidR="007F7FE2" w:rsidRPr="000D756E" w:rsidRDefault="007F7FE2" w:rsidP="0004335B">
            <w:pPr>
              <w:jc w:val="right"/>
              <w:rPr>
                <w:rFonts w:ascii="Arial" w:hAnsi="Arial" w:cs="Arial"/>
                <w:b/>
                <w:sz w:val="22"/>
              </w:rPr>
            </w:pPr>
            <w:r w:rsidRPr="000D756E">
              <w:rPr>
                <w:rFonts w:ascii="Arial" w:hAnsi="Arial" w:cs="Arial"/>
                <w:b/>
                <w:sz w:val="22"/>
              </w:rPr>
              <w:t>Fire Ground Feeding</w:t>
            </w:r>
          </w:p>
          <w:p w14:paraId="117789F4" w14:textId="77777777" w:rsidR="007F7FE2" w:rsidRPr="000D756E" w:rsidRDefault="007F7FE2" w:rsidP="0004335B">
            <w:pPr>
              <w:jc w:val="right"/>
              <w:rPr>
                <w:rFonts w:ascii="Arial" w:hAnsi="Arial" w:cs="Arial"/>
                <w:b/>
                <w:sz w:val="22"/>
              </w:rPr>
            </w:pPr>
            <w:r w:rsidRPr="000D756E">
              <w:rPr>
                <w:rFonts w:ascii="Arial" w:hAnsi="Arial" w:cs="Arial"/>
                <w:b/>
                <w:sz w:val="22"/>
              </w:rPr>
              <w:t>£’000</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F40931" w14:textId="77777777" w:rsidR="007F7FE2" w:rsidRPr="000D756E" w:rsidRDefault="007F7FE2" w:rsidP="0004335B">
            <w:pPr>
              <w:jc w:val="right"/>
              <w:rPr>
                <w:rFonts w:ascii="Arial" w:hAnsi="Arial" w:cs="Arial"/>
                <w:b/>
                <w:sz w:val="22"/>
              </w:rPr>
            </w:pPr>
          </w:p>
          <w:p w14:paraId="7A117570" w14:textId="77777777" w:rsidR="007F7FE2" w:rsidRPr="000D756E" w:rsidRDefault="007F7FE2" w:rsidP="0004335B">
            <w:pPr>
              <w:jc w:val="right"/>
              <w:rPr>
                <w:rFonts w:ascii="Arial" w:hAnsi="Arial" w:cs="Arial"/>
                <w:b/>
                <w:sz w:val="22"/>
              </w:rPr>
            </w:pPr>
          </w:p>
          <w:p w14:paraId="0AD34553" w14:textId="77777777" w:rsidR="007F7FE2" w:rsidRPr="000D756E" w:rsidRDefault="007F7FE2" w:rsidP="0004335B">
            <w:pPr>
              <w:jc w:val="right"/>
              <w:rPr>
                <w:rFonts w:ascii="Arial" w:hAnsi="Arial" w:cs="Arial"/>
                <w:b/>
                <w:sz w:val="22"/>
              </w:rPr>
            </w:pPr>
            <w:r w:rsidRPr="000D756E">
              <w:rPr>
                <w:rFonts w:ascii="Arial" w:hAnsi="Arial" w:cs="Arial"/>
                <w:b/>
                <w:sz w:val="22"/>
              </w:rPr>
              <w:t>Total</w:t>
            </w:r>
          </w:p>
          <w:p w14:paraId="66172989" w14:textId="77777777" w:rsidR="007F7FE2" w:rsidRPr="000D756E" w:rsidRDefault="007F7FE2" w:rsidP="0004335B">
            <w:pPr>
              <w:jc w:val="right"/>
              <w:rPr>
                <w:rFonts w:ascii="Arial" w:hAnsi="Arial" w:cs="Arial"/>
                <w:b/>
                <w:sz w:val="22"/>
              </w:rPr>
            </w:pPr>
            <w:r w:rsidRPr="000D756E">
              <w:rPr>
                <w:rFonts w:ascii="Arial" w:hAnsi="Arial" w:cs="Arial"/>
                <w:b/>
                <w:sz w:val="22"/>
              </w:rPr>
              <w:t>£’000</w:t>
            </w:r>
          </w:p>
        </w:tc>
      </w:tr>
      <w:tr w:rsidR="00CE7AD4" w:rsidRPr="000D756E" w14:paraId="4835C99C" w14:textId="77777777" w:rsidTr="2DDE5693">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518477" w14:textId="77777777" w:rsidR="00CE7AD4" w:rsidRPr="000D756E" w:rsidRDefault="00CE7AD4" w:rsidP="00CE7AD4">
            <w:pPr>
              <w:rPr>
                <w:rFonts w:ascii="Arial" w:hAnsi="Arial" w:cs="Arial"/>
                <w:b/>
                <w:sz w:val="22"/>
              </w:rPr>
            </w:pPr>
            <w:r w:rsidRPr="000D756E">
              <w:rPr>
                <w:rFonts w:ascii="Arial" w:hAnsi="Arial" w:cs="Arial"/>
                <w:b/>
                <w:sz w:val="22"/>
              </w:rPr>
              <w:t>Balance outstanding at start of year</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95DB07" w14:textId="6066DB49" w:rsidR="00CE7AD4" w:rsidRPr="001A0060" w:rsidRDefault="00CE7AD4" w:rsidP="00CE7AD4">
            <w:pPr>
              <w:jc w:val="right"/>
              <w:rPr>
                <w:rFonts w:ascii="Arial" w:hAnsi="Arial" w:cs="Arial"/>
                <w:sz w:val="24"/>
                <w:szCs w:val="24"/>
              </w:rPr>
            </w:pPr>
            <w:r w:rsidRPr="001A0060">
              <w:rPr>
                <w:rFonts w:ascii="Arial" w:eastAsia="Arial" w:hAnsi="Arial" w:cs="Arial"/>
                <w:b/>
                <w:bCs/>
                <w:sz w:val="24"/>
                <w:szCs w:val="24"/>
              </w:rPr>
              <w:t>127</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F03A89" w14:textId="01B89E40" w:rsidR="00CE7AD4" w:rsidRPr="001A0060" w:rsidRDefault="00CE7AD4" w:rsidP="00CE7AD4">
            <w:pPr>
              <w:jc w:val="right"/>
              <w:rPr>
                <w:rFonts w:ascii="Arial" w:hAnsi="Arial" w:cs="Arial"/>
                <w:sz w:val="24"/>
                <w:szCs w:val="24"/>
              </w:rPr>
            </w:pPr>
            <w:r w:rsidRPr="001A0060">
              <w:rPr>
                <w:rFonts w:ascii="Arial" w:eastAsia="Arial" w:hAnsi="Arial" w:cs="Arial"/>
                <w:b/>
                <w:bCs/>
                <w:sz w:val="24"/>
                <w:szCs w:val="24"/>
              </w:rPr>
              <w:t>6</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692D9A8" w14:textId="4AC91661" w:rsidR="00CE7AD4" w:rsidRPr="001A0060" w:rsidRDefault="00CE7AD4" w:rsidP="00CE7AD4">
            <w:pPr>
              <w:jc w:val="right"/>
              <w:rPr>
                <w:rFonts w:ascii="Arial" w:hAnsi="Arial" w:cs="Arial"/>
                <w:sz w:val="24"/>
                <w:szCs w:val="24"/>
              </w:rPr>
            </w:pPr>
            <w:r w:rsidRPr="001A0060">
              <w:rPr>
                <w:rFonts w:ascii="Arial" w:eastAsia="Arial" w:hAnsi="Arial" w:cs="Arial"/>
                <w:b/>
                <w:bCs/>
                <w:sz w:val="24"/>
                <w:szCs w:val="24"/>
              </w:rPr>
              <w:t>3</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441F84" w14:textId="1F13C891" w:rsidR="00CE7AD4" w:rsidRPr="001A0060" w:rsidRDefault="00CE7AD4" w:rsidP="00CE7AD4">
            <w:pPr>
              <w:jc w:val="right"/>
              <w:rPr>
                <w:rFonts w:ascii="Arial" w:hAnsi="Arial" w:cs="Arial"/>
                <w:sz w:val="24"/>
                <w:szCs w:val="24"/>
              </w:rPr>
            </w:pPr>
            <w:r w:rsidRPr="001A0060">
              <w:rPr>
                <w:rFonts w:ascii="Arial" w:eastAsia="Arial" w:hAnsi="Arial" w:cs="Arial"/>
                <w:b/>
                <w:bCs/>
                <w:sz w:val="24"/>
                <w:szCs w:val="24"/>
              </w:rPr>
              <w:t>100</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54755E" w14:textId="4BC54B97" w:rsidR="00CE7AD4" w:rsidRPr="001A0060" w:rsidRDefault="00CE7AD4" w:rsidP="00CE7AD4">
            <w:pPr>
              <w:jc w:val="right"/>
              <w:rPr>
                <w:rFonts w:ascii="Arial" w:hAnsi="Arial" w:cs="Arial"/>
                <w:sz w:val="24"/>
                <w:szCs w:val="24"/>
              </w:rPr>
            </w:pPr>
            <w:r w:rsidRPr="001A0060">
              <w:rPr>
                <w:rFonts w:ascii="Arial" w:eastAsia="Arial" w:hAnsi="Arial" w:cs="Arial"/>
                <w:b/>
                <w:bCs/>
                <w:sz w:val="24"/>
                <w:szCs w:val="24"/>
              </w:rPr>
              <w:t>84</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33226" w14:textId="57060C7B" w:rsidR="00CE7AD4" w:rsidRPr="001A0060" w:rsidRDefault="00CE7AD4" w:rsidP="00CE7AD4">
            <w:pPr>
              <w:jc w:val="right"/>
              <w:rPr>
                <w:rFonts w:ascii="Arial" w:hAnsi="Arial" w:cs="Arial"/>
                <w:sz w:val="24"/>
                <w:szCs w:val="24"/>
              </w:rPr>
            </w:pPr>
            <w:r w:rsidRPr="001A0060">
              <w:rPr>
                <w:rFonts w:ascii="Arial" w:eastAsia="Arial" w:hAnsi="Arial" w:cs="Arial"/>
                <w:b/>
                <w:bCs/>
                <w:sz w:val="24"/>
                <w:szCs w:val="24"/>
              </w:rPr>
              <w:t>2</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F39E52" w14:textId="5A7E66B1" w:rsidR="00CE7AD4" w:rsidRPr="001A0060" w:rsidRDefault="00CE7AD4" w:rsidP="00CE7AD4">
            <w:pPr>
              <w:jc w:val="right"/>
              <w:rPr>
                <w:rFonts w:ascii="Arial" w:hAnsi="Arial" w:cs="Arial"/>
                <w:sz w:val="24"/>
                <w:szCs w:val="24"/>
              </w:rPr>
            </w:pPr>
            <w:r w:rsidRPr="001A0060">
              <w:rPr>
                <w:rFonts w:ascii="Arial" w:eastAsia="Arial" w:hAnsi="Arial" w:cs="Arial"/>
                <w:b/>
                <w:bCs/>
                <w:sz w:val="24"/>
                <w:szCs w:val="24"/>
              </w:rPr>
              <w:t>322</w:t>
            </w:r>
          </w:p>
        </w:tc>
      </w:tr>
      <w:tr w:rsidR="006329E6" w:rsidRPr="000D756E" w14:paraId="3214DAB3" w14:textId="77777777" w:rsidTr="2DDE5693">
        <w:trPr>
          <w:trHeight w:val="390"/>
        </w:trPr>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4358B" w14:textId="77777777" w:rsidR="00460130" w:rsidRPr="000D756E" w:rsidRDefault="00460130" w:rsidP="00460130">
            <w:pPr>
              <w:rPr>
                <w:rFonts w:ascii="Arial" w:hAnsi="Arial" w:cs="Arial"/>
                <w:sz w:val="22"/>
              </w:rPr>
            </w:pPr>
            <w:r w:rsidRPr="000D756E">
              <w:rPr>
                <w:rFonts w:ascii="Arial" w:hAnsi="Arial" w:cs="Arial"/>
                <w:sz w:val="22"/>
              </w:rPr>
              <w:t>Purchases</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4DFACB9" w14:textId="325B9264" w:rsidR="4B67E96B" w:rsidRPr="001A0060" w:rsidRDefault="7609F62C" w:rsidP="1E428E45">
            <w:pPr>
              <w:jc w:val="right"/>
              <w:rPr>
                <w:rFonts w:ascii="Arial" w:hAnsi="Arial" w:cs="Arial"/>
                <w:sz w:val="24"/>
                <w:szCs w:val="24"/>
              </w:rPr>
            </w:pPr>
            <w:r w:rsidRPr="001A0060">
              <w:rPr>
                <w:rFonts w:ascii="Arial" w:hAnsi="Arial" w:cs="Arial"/>
                <w:sz w:val="24"/>
                <w:szCs w:val="24"/>
              </w:rPr>
              <w:t>96</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68834FC" w14:textId="2D817472" w:rsidR="4B67E96B" w:rsidRPr="001A0060" w:rsidRDefault="7609F62C" w:rsidP="1E428E45">
            <w:pPr>
              <w:jc w:val="right"/>
              <w:rPr>
                <w:rFonts w:ascii="Arial" w:hAnsi="Arial" w:cs="Arial"/>
                <w:sz w:val="24"/>
                <w:szCs w:val="24"/>
              </w:rPr>
            </w:pPr>
            <w:r w:rsidRPr="001A0060">
              <w:rPr>
                <w:rFonts w:ascii="Arial" w:hAnsi="Arial" w:cs="Arial"/>
                <w:sz w:val="24"/>
                <w:szCs w:val="24"/>
              </w:rPr>
              <w:t>3</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EBE737" w14:textId="4B315E2F" w:rsidR="4B67E96B" w:rsidRPr="001A0060" w:rsidRDefault="7609F62C" w:rsidP="1E428E45">
            <w:pPr>
              <w:jc w:val="right"/>
              <w:rPr>
                <w:rFonts w:ascii="Arial" w:hAnsi="Arial" w:cs="Arial"/>
                <w:sz w:val="24"/>
                <w:szCs w:val="24"/>
              </w:rPr>
            </w:pPr>
            <w:r w:rsidRPr="001A0060">
              <w:rPr>
                <w:rFonts w:ascii="Arial" w:hAnsi="Arial" w:cs="Arial"/>
                <w:sz w:val="24"/>
                <w:szCs w:val="24"/>
              </w:rPr>
              <w:t>90</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EFBB1A" w14:textId="69A257DE" w:rsidR="4B67E96B" w:rsidRPr="001A0060" w:rsidRDefault="7609F62C" w:rsidP="1E428E45">
            <w:pPr>
              <w:jc w:val="right"/>
              <w:rPr>
                <w:rFonts w:ascii="Arial" w:hAnsi="Arial" w:cs="Arial"/>
                <w:sz w:val="24"/>
                <w:szCs w:val="24"/>
              </w:rPr>
            </w:pPr>
            <w:r w:rsidRPr="001A0060">
              <w:rPr>
                <w:rFonts w:ascii="Arial" w:hAnsi="Arial" w:cs="Arial"/>
                <w:sz w:val="24"/>
                <w:szCs w:val="24"/>
              </w:rPr>
              <w:t>266</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06F22" w14:textId="1B7B1B00" w:rsidR="4B67E96B" w:rsidRPr="001A0060" w:rsidRDefault="7609F62C" w:rsidP="1E428E45">
            <w:pPr>
              <w:jc w:val="right"/>
              <w:rPr>
                <w:rFonts w:ascii="Arial" w:hAnsi="Arial" w:cs="Arial"/>
                <w:sz w:val="24"/>
                <w:szCs w:val="24"/>
              </w:rPr>
            </w:pPr>
            <w:r w:rsidRPr="001A0060">
              <w:rPr>
                <w:rFonts w:ascii="Arial" w:hAnsi="Arial" w:cs="Arial"/>
                <w:sz w:val="24"/>
                <w:szCs w:val="24"/>
              </w:rPr>
              <w:t>97</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3E74D2" w14:textId="23DAD2BB" w:rsidR="4B67E96B" w:rsidRPr="001A0060" w:rsidRDefault="7609F62C" w:rsidP="1E428E45">
            <w:pPr>
              <w:jc w:val="right"/>
              <w:rPr>
                <w:rFonts w:ascii="Arial" w:hAnsi="Arial" w:cs="Arial"/>
                <w:sz w:val="24"/>
                <w:szCs w:val="24"/>
              </w:rPr>
            </w:pPr>
            <w:r w:rsidRPr="001A0060">
              <w:rPr>
                <w:rFonts w:ascii="Arial" w:hAnsi="Arial" w:cs="Arial"/>
                <w:sz w:val="24"/>
                <w:szCs w:val="24"/>
              </w:rPr>
              <w:t>7</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41541" w14:textId="09435460" w:rsidR="4B67E96B" w:rsidRPr="001A0060" w:rsidRDefault="7609F62C" w:rsidP="1E428E45">
            <w:pPr>
              <w:jc w:val="right"/>
              <w:rPr>
                <w:rFonts w:ascii="Arial" w:hAnsi="Arial" w:cs="Arial"/>
                <w:sz w:val="24"/>
                <w:szCs w:val="24"/>
              </w:rPr>
            </w:pPr>
            <w:r w:rsidRPr="001A0060">
              <w:rPr>
                <w:rFonts w:ascii="Arial" w:hAnsi="Arial" w:cs="Arial"/>
                <w:sz w:val="24"/>
                <w:szCs w:val="24"/>
              </w:rPr>
              <w:t>559</w:t>
            </w:r>
          </w:p>
        </w:tc>
      </w:tr>
      <w:tr w:rsidR="006329E6" w:rsidRPr="000D756E" w14:paraId="24301242" w14:textId="77777777" w:rsidTr="2DDE5693">
        <w:trPr>
          <w:trHeight w:val="840"/>
        </w:trPr>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16E469" w14:textId="7D406A7C" w:rsidR="00460130" w:rsidRPr="000D756E" w:rsidRDefault="00460130" w:rsidP="00460130">
            <w:pPr>
              <w:rPr>
                <w:rFonts w:ascii="Arial" w:hAnsi="Arial" w:cs="Arial"/>
                <w:sz w:val="22"/>
                <w:szCs w:val="22"/>
              </w:rPr>
            </w:pPr>
            <w:r w:rsidRPr="000D756E">
              <w:rPr>
                <w:rFonts w:ascii="Arial" w:hAnsi="Arial" w:cs="Arial"/>
                <w:sz w:val="22"/>
                <w:szCs w:val="22"/>
              </w:rPr>
              <w:t>Recognised as an expense within Executive and Resources during the year</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09C4801" w14:textId="43413FCB" w:rsidR="4B67E96B" w:rsidRPr="001A0060" w:rsidRDefault="2CE22EA4" w:rsidP="1E428E45">
            <w:pPr>
              <w:jc w:val="right"/>
              <w:rPr>
                <w:rFonts w:ascii="Arial" w:eastAsia="Arial" w:hAnsi="Arial" w:cs="Arial"/>
                <w:sz w:val="24"/>
                <w:szCs w:val="24"/>
              </w:rPr>
            </w:pPr>
            <w:r w:rsidRPr="001A0060">
              <w:rPr>
                <w:rFonts w:ascii="Arial" w:eastAsia="Arial" w:hAnsi="Arial" w:cs="Arial"/>
                <w:sz w:val="24"/>
                <w:szCs w:val="24"/>
              </w:rPr>
              <w:t>-</w:t>
            </w:r>
            <w:r w:rsidR="3FA646CD" w:rsidRPr="001A0060">
              <w:rPr>
                <w:rFonts w:ascii="Arial" w:eastAsia="Arial" w:hAnsi="Arial" w:cs="Arial"/>
                <w:sz w:val="24"/>
                <w:szCs w:val="24"/>
              </w:rPr>
              <w:t>91</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2966F7C" w14:textId="2090D037" w:rsidR="4B67E96B" w:rsidRPr="001A0060" w:rsidRDefault="6B3E8D3E" w:rsidP="1E428E45">
            <w:pPr>
              <w:jc w:val="right"/>
              <w:rPr>
                <w:rFonts w:ascii="Arial" w:hAnsi="Arial" w:cs="Arial"/>
                <w:sz w:val="24"/>
                <w:szCs w:val="24"/>
              </w:rPr>
            </w:pPr>
            <w:r w:rsidRPr="001A0060">
              <w:rPr>
                <w:rFonts w:ascii="Arial" w:hAnsi="Arial" w:cs="Arial"/>
                <w:sz w:val="24"/>
                <w:szCs w:val="24"/>
              </w:rPr>
              <w:t>-</w:t>
            </w:r>
            <w:r w:rsidR="3FA646CD" w:rsidRPr="001A0060">
              <w:rPr>
                <w:rFonts w:ascii="Arial" w:hAnsi="Arial" w:cs="Arial"/>
                <w:sz w:val="24"/>
                <w:szCs w:val="24"/>
              </w:rPr>
              <w:t>2</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951076" w14:textId="22770BB7" w:rsidR="4B67E96B" w:rsidRPr="001A0060" w:rsidRDefault="514E1C39" w:rsidP="1E428E45">
            <w:pPr>
              <w:jc w:val="right"/>
              <w:rPr>
                <w:rFonts w:ascii="Arial" w:hAnsi="Arial" w:cs="Arial"/>
                <w:sz w:val="24"/>
                <w:szCs w:val="24"/>
              </w:rPr>
            </w:pPr>
            <w:r w:rsidRPr="001A0060">
              <w:rPr>
                <w:rFonts w:ascii="Arial" w:hAnsi="Arial" w:cs="Arial"/>
                <w:sz w:val="24"/>
                <w:szCs w:val="24"/>
              </w:rPr>
              <w:t>-</w:t>
            </w:r>
            <w:r w:rsidR="3FA646CD" w:rsidRPr="001A0060">
              <w:rPr>
                <w:rFonts w:ascii="Arial" w:hAnsi="Arial" w:cs="Arial"/>
                <w:sz w:val="24"/>
                <w:szCs w:val="24"/>
              </w:rPr>
              <w:t>80</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B6224B" w14:textId="733AE365" w:rsidR="4B67E96B" w:rsidRPr="001A0060" w:rsidRDefault="549A348F" w:rsidP="1E428E45">
            <w:pPr>
              <w:jc w:val="right"/>
              <w:rPr>
                <w:rFonts w:ascii="Arial" w:hAnsi="Arial" w:cs="Arial"/>
                <w:sz w:val="24"/>
                <w:szCs w:val="24"/>
              </w:rPr>
            </w:pPr>
            <w:r w:rsidRPr="001A0060">
              <w:rPr>
                <w:rFonts w:ascii="Arial" w:hAnsi="Arial" w:cs="Arial"/>
                <w:sz w:val="24"/>
                <w:szCs w:val="24"/>
              </w:rPr>
              <w:t>-</w:t>
            </w:r>
            <w:r w:rsidR="3FA646CD" w:rsidRPr="001A0060">
              <w:rPr>
                <w:rFonts w:ascii="Arial" w:hAnsi="Arial" w:cs="Arial"/>
                <w:sz w:val="24"/>
                <w:szCs w:val="24"/>
              </w:rPr>
              <w:t>294</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499499" w14:textId="30E116BB" w:rsidR="4B67E96B" w:rsidRPr="001A0060" w:rsidRDefault="767C54AC" w:rsidP="1E428E45">
            <w:pPr>
              <w:jc w:val="right"/>
              <w:rPr>
                <w:rFonts w:ascii="Arial" w:hAnsi="Arial" w:cs="Arial"/>
                <w:sz w:val="24"/>
                <w:szCs w:val="24"/>
              </w:rPr>
            </w:pPr>
            <w:r w:rsidRPr="001A0060">
              <w:rPr>
                <w:rFonts w:ascii="Arial" w:hAnsi="Arial" w:cs="Arial"/>
                <w:sz w:val="24"/>
                <w:szCs w:val="24"/>
              </w:rPr>
              <w:t>-</w:t>
            </w:r>
            <w:r w:rsidR="3FA646CD" w:rsidRPr="001A0060">
              <w:rPr>
                <w:rFonts w:ascii="Arial" w:hAnsi="Arial" w:cs="Arial"/>
                <w:sz w:val="24"/>
                <w:szCs w:val="24"/>
              </w:rPr>
              <w:t>97</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75A59A" w14:textId="4448A04F" w:rsidR="4B67E96B" w:rsidRPr="001A0060" w:rsidRDefault="073D99D1" w:rsidP="1E428E45">
            <w:pPr>
              <w:jc w:val="right"/>
              <w:rPr>
                <w:rFonts w:ascii="Arial" w:hAnsi="Arial" w:cs="Arial"/>
                <w:sz w:val="24"/>
                <w:szCs w:val="24"/>
              </w:rPr>
            </w:pPr>
            <w:r w:rsidRPr="001A0060">
              <w:rPr>
                <w:rFonts w:ascii="Arial" w:hAnsi="Arial" w:cs="Arial"/>
                <w:sz w:val="24"/>
                <w:szCs w:val="24"/>
              </w:rPr>
              <w:t>-</w:t>
            </w:r>
            <w:r w:rsidR="3FA646CD" w:rsidRPr="001A0060">
              <w:rPr>
                <w:rFonts w:ascii="Arial" w:hAnsi="Arial" w:cs="Arial"/>
                <w:sz w:val="24"/>
                <w:szCs w:val="24"/>
              </w:rPr>
              <w:t>8</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21EFAA" w14:textId="56491A3D" w:rsidR="4B67E96B" w:rsidRPr="001A0060" w:rsidRDefault="7F05AA2E" w:rsidP="1E428E45">
            <w:pPr>
              <w:jc w:val="right"/>
              <w:rPr>
                <w:rFonts w:ascii="Arial" w:hAnsi="Arial" w:cs="Arial"/>
                <w:sz w:val="24"/>
                <w:szCs w:val="24"/>
              </w:rPr>
            </w:pPr>
            <w:r w:rsidRPr="001A0060">
              <w:rPr>
                <w:rFonts w:ascii="Arial" w:hAnsi="Arial" w:cs="Arial"/>
                <w:sz w:val="24"/>
                <w:szCs w:val="24"/>
              </w:rPr>
              <w:t>-</w:t>
            </w:r>
            <w:r w:rsidR="3FA646CD" w:rsidRPr="001A0060">
              <w:rPr>
                <w:rFonts w:ascii="Arial" w:hAnsi="Arial" w:cs="Arial"/>
                <w:sz w:val="24"/>
                <w:szCs w:val="24"/>
              </w:rPr>
              <w:t>572</w:t>
            </w:r>
          </w:p>
        </w:tc>
      </w:tr>
      <w:tr w:rsidR="006329E6" w:rsidRPr="000D756E" w14:paraId="29271C22" w14:textId="77777777" w:rsidTr="2DDE5693">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392858" w14:textId="77777777" w:rsidR="00460130" w:rsidRPr="000D756E" w:rsidRDefault="00460130" w:rsidP="00460130">
            <w:pPr>
              <w:rPr>
                <w:rFonts w:ascii="Arial" w:hAnsi="Arial" w:cs="Arial"/>
                <w:b/>
                <w:sz w:val="22"/>
              </w:rPr>
            </w:pPr>
            <w:r w:rsidRPr="000D756E">
              <w:rPr>
                <w:rFonts w:ascii="Arial" w:hAnsi="Arial" w:cs="Arial"/>
                <w:b/>
                <w:sz w:val="22"/>
              </w:rPr>
              <w:t>Balance outstanding at year end</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66F4A5" w14:textId="1DF8F639" w:rsidR="4B67E96B" w:rsidRPr="001A0060" w:rsidRDefault="2934444D" w:rsidP="1E428E45">
            <w:pPr>
              <w:jc w:val="right"/>
              <w:rPr>
                <w:rFonts w:ascii="Arial" w:eastAsia="Arial" w:hAnsi="Arial" w:cs="Arial"/>
                <w:b/>
                <w:bCs/>
                <w:sz w:val="24"/>
                <w:szCs w:val="24"/>
              </w:rPr>
            </w:pPr>
            <w:r w:rsidRPr="001A0060">
              <w:rPr>
                <w:rFonts w:ascii="Arial" w:eastAsia="Arial" w:hAnsi="Arial" w:cs="Arial"/>
                <w:b/>
                <w:bCs/>
                <w:sz w:val="24"/>
                <w:szCs w:val="24"/>
              </w:rPr>
              <w:t>132</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FB2D71" w14:textId="2661776D" w:rsidR="4B67E96B" w:rsidRPr="001A0060" w:rsidRDefault="2934444D" w:rsidP="1E428E45">
            <w:pPr>
              <w:jc w:val="right"/>
              <w:rPr>
                <w:rFonts w:ascii="Arial" w:hAnsi="Arial" w:cs="Arial"/>
                <w:b/>
                <w:bCs/>
                <w:sz w:val="24"/>
                <w:szCs w:val="24"/>
              </w:rPr>
            </w:pPr>
            <w:r w:rsidRPr="001A0060">
              <w:rPr>
                <w:rFonts w:ascii="Arial" w:hAnsi="Arial" w:cs="Arial"/>
                <w:b/>
                <w:bCs/>
                <w:sz w:val="24"/>
                <w:szCs w:val="24"/>
              </w:rPr>
              <w:t>7</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729F7C" w14:textId="1B0E008F" w:rsidR="4B67E96B" w:rsidRPr="001A0060" w:rsidRDefault="2934444D" w:rsidP="1E428E45">
            <w:pPr>
              <w:jc w:val="right"/>
              <w:rPr>
                <w:rFonts w:ascii="Arial" w:hAnsi="Arial" w:cs="Arial"/>
                <w:b/>
                <w:bCs/>
                <w:sz w:val="24"/>
                <w:szCs w:val="24"/>
              </w:rPr>
            </w:pPr>
            <w:r w:rsidRPr="001A0060">
              <w:rPr>
                <w:rFonts w:ascii="Arial" w:hAnsi="Arial" w:cs="Arial"/>
                <w:b/>
                <w:bCs/>
                <w:sz w:val="24"/>
                <w:szCs w:val="24"/>
              </w:rPr>
              <w:t>13</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1E208A" w14:textId="6E360DF9" w:rsidR="4B67E96B" w:rsidRPr="001A0060" w:rsidRDefault="2934444D" w:rsidP="1E428E45">
            <w:pPr>
              <w:jc w:val="right"/>
              <w:rPr>
                <w:rFonts w:ascii="Arial" w:hAnsi="Arial" w:cs="Arial"/>
                <w:b/>
                <w:bCs/>
                <w:sz w:val="24"/>
                <w:szCs w:val="24"/>
              </w:rPr>
            </w:pPr>
            <w:r w:rsidRPr="001A0060">
              <w:rPr>
                <w:rFonts w:ascii="Arial" w:hAnsi="Arial" w:cs="Arial"/>
                <w:b/>
                <w:bCs/>
                <w:sz w:val="24"/>
                <w:szCs w:val="24"/>
              </w:rPr>
              <w:t>71</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494F97" w14:textId="4F1044F5" w:rsidR="4B67E96B" w:rsidRPr="001A0060" w:rsidRDefault="2934444D" w:rsidP="1E428E45">
            <w:pPr>
              <w:jc w:val="right"/>
              <w:rPr>
                <w:rFonts w:ascii="Arial" w:eastAsia="Arial" w:hAnsi="Arial" w:cs="Arial"/>
                <w:b/>
                <w:bCs/>
                <w:sz w:val="24"/>
                <w:szCs w:val="24"/>
              </w:rPr>
            </w:pPr>
            <w:r w:rsidRPr="001A0060">
              <w:rPr>
                <w:rFonts w:ascii="Arial" w:eastAsia="Arial" w:hAnsi="Arial" w:cs="Arial"/>
                <w:b/>
                <w:bCs/>
                <w:sz w:val="24"/>
                <w:szCs w:val="24"/>
              </w:rPr>
              <w:t>84</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1C7364" w14:textId="4F97C73B" w:rsidR="4B67E96B" w:rsidRPr="001A0060" w:rsidRDefault="2934444D" w:rsidP="1E428E45">
            <w:pPr>
              <w:jc w:val="right"/>
              <w:rPr>
                <w:rFonts w:ascii="Arial" w:hAnsi="Arial" w:cs="Arial"/>
                <w:b/>
                <w:bCs/>
                <w:sz w:val="24"/>
                <w:szCs w:val="24"/>
              </w:rPr>
            </w:pPr>
            <w:r w:rsidRPr="001A0060">
              <w:rPr>
                <w:rFonts w:ascii="Arial" w:hAnsi="Arial" w:cs="Arial"/>
                <w:b/>
                <w:bCs/>
                <w:sz w:val="24"/>
                <w:szCs w:val="24"/>
              </w:rPr>
              <w:t>1</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A0C7FE" w14:textId="0B44F614" w:rsidR="4B67E96B" w:rsidRPr="001A0060" w:rsidRDefault="2934444D" w:rsidP="1E428E45">
            <w:pPr>
              <w:jc w:val="right"/>
              <w:rPr>
                <w:rFonts w:ascii="Arial" w:hAnsi="Arial" w:cs="Arial"/>
                <w:b/>
                <w:bCs/>
                <w:sz w:val="24"/>
                <w:szCs w:val="24"/>
              </w:rPr>
            </w:pPr>
            <w:r w:rsidRPr="001A0060">
              <w:rPr>
                <w:rFonts w:ascii="Arial" w:hAnsi="Arial" w:cs="Arial"/>
                <w:b/>
                <w:bCs/>
                <w:sz w:val="24"/>
                <w:szCs w:val="24"/>
              </w:rPr>
              <w:t>308</w:t>
            </w:r>
          </w:p>
        </w:tc>
      </w:tr>
    </w:tbl>
    <w:p w14:paraId="47E24888" w14:textId="77777777" w:rsidR="00415D2D" w:rsidRPr="000D756E" w:rsidRDefault="00415D2D">
      <w:r w:rsidRPr="000D756E">
        <w:br w:type="page"/>
      </w:r>
    </w:p>
    <w:tbl>
      <w:tblPr>
        <w:tblW w:w="92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1059"/>
        <w:gridCol w:w="767"/>
        <w:gridCol w:w="1042"/>
        <w:gridCol w:w="1230"/>
        <w:gridCol w:w="1470"/>
        <w:gridCol w:w="1186"/>
        <w:gridCol w:w="788"/>
      </w:tblGrid>
      <w:tr w:rsidR="006329E6" w:rsidRPr="000D756E" w14:paraId="6BC2020B" w14:textId="77777777" w:rsidTr="00415D2D">
        <w:tc>
          <w:tcPr>
            <w:tcW w:w="1733" w:type="dxa"/>
            <w:tcBorders>
              <w:top w:val="single" w:sz="12" w:space="0" w:color="000000" w:themeColor="text1"/>
              <w:left w:val="nil"/>
              <w:bottom w:val="single" w:sz="12" w:space="0" w:color="000000" w:themeColor="text1"/>
              <w:right w:val="nil"/>
            </w:tcBorders>
            <w:vAlign w:val="center"/>
          </w:tcPr>
          <w:p w14:paraId="5C6EFE0C" w14:textId="4E55AD32" w:rsidR="00460130" w:rsidRPr="000D756E" w:rsidRDefault="00460130" w:rsidP="00460130">
            <w:pPr>
              <w:rPr>
                <w:rFonts w:ascii="Arial" w:hAnsi="Arial" w:cs="Arial"/>
                <w:b/>
                <w:sz w:val="22"/>
              </w:rPr>
            </w:pPr>
          </w:p>
        </w:tc>
        <w:tc>
          <w:tcPr>
            <w:tcW w:w="1059" w:type="dxa"/>
            <w:tcBorders>
              <w:top w:val="single" w:sz="12" w:space="0" w:color="000000" w:themeColor="text1"/>
              <w:left w:val="nil"/>
              <w:bottom w:val="single" w:sz="12" w:space="0" w:color="000000" w:themeColor="text1"/>
              <w:right w:val="nil"/>
            </w:tcBorders>
          </w:tcPr>
          <w:p w14:paraId="2914E6F5" w14:textId="77777777" w:rsidR="00460130" w:rsidRPr="000D756E" w:rsidRDefault="00460130" w:rsidP="00460130">
            <w:pPr>
              <w:jc w:val="center"/>
              <w:rPr>
                <w:rFonts w:ascii="Arial" w:hAnsi="Arial" w:cs="Arial"/>
                <w:b/>
                <w:sz w:val="22"/>
                <w:szCs w:val="22"/>
              </w:rPr>
            </w:pPr>
          </w:p>
        </w:tc>
        <w:tc>
          <w:tcPr>
            <w:tcW w:w="767" w:type="dxa"/>
            <w:tcBorders>
              <w:top w:val="single" w:sz="12" w:space="0" w:color="000000" w:themeColor="text1"/>
              <w:left w:val="nil"/>
              <w:bottom w:val="single" w:sz="12" w:space="0" w:color="000000" w:themeColor="text1"/>
              <w:right w:val="nil"/>
            </w:tcBorders>
            <w:vAlign w:val="center"/>
          </w:tcPr>
          <w:p w14:paraId="21ECFB41" w14:textId="77777777" w:rsidR="00460130" w:rsidRPr="000D756E" w:rsidRDefault="00460130" w:rsidP="00460130">
            <w:pPr>
              <w:jc w:val="right"/>
              <w:rPr>
                <w:rFonts w:ascii="Arial" w:hAnsi="Arial" w:cs="Arial"/>
                <w:b/>
                <w:sz w:val="22"/>
              </w:rPr>
            </w:pPr>
          </w:p>
        </w:tc>
        <w:tc>
          <w:tcPr>
            <w:tcW w:w="1042" w:type="dxa"/>
            <w:tcBorders>
              <w:top w:val="single" w:sz="12" w:space="0" w:color="000000" w:themeColor="text1"/>
              <w:left w:val="nil"/>
              <w:bottom w:val="single" w:sz="12" w:space="0" w:color="000000" w:themeColor="text1"/>
              <w:right w:val="nil"/>
            </w:tcBorders>
            <w:vAlign w:val="center"/>
          </w:tcPr>
          <w:p w14:paraId="1B6FB393" w14:textId="77777777" w:rsidR="00460130" w:rsidRPr="000D756E" w:rsidRDefault="00460130" w:rsidP="00460130">
            <w:pPr>
              <w:jc w:val="right"/>
              <w:rPr>
                <w:rFonts w:ascii="Arial" w:hAnsi="Arial" w:cs="Arial"/>
                <w:b/>
                <w:sz w:val="22"/>
              </w:rPr>
            </w:pPr>
          </w:p>
        </w:tc>
        <w:tc>
          <w:tcPr>
            <w:tcW w:w="1230" w:type="dxa"/>
            <w:tcBorders>
              <w:top w:val="single" w:sz="12" w:space="0" w:color="000000" w:themeColor="text1"/>
              <w:left w:val="nil"/>
              <w:bottom w:val="single" w:sz="12" w:space="0" w:color="000000" w:themeColor="text1"/>
              <w:right w:val="nil"/>
            </w:tcBorders>
            <w:vAlign w:val="center"/>
          </w:tcPr>
          <w:p w14:paraId="2748C268" w14:textId="77777777" w:rsidR="00460130" w:rsidRPr="000D756E" w:rsidRDefault="00460130" w:rsidP="00460130">
            <w:pPr>
              <w:jc w:val="right"/>
              <w:rPr>
                <w:rFonts w:ascii="Arial" w:hAnsi="Arial" w:cs="Arial"/>
                <w:b/>
                <w:sz w:val="22"/>
              </w:rPr>
            </w:pPr>
          </w:p>
        </w:tc>
        <w:tc>
          <w:tcPr>
            <w:tcW w:w="1470" w:type="dxa"/>
            <w:tcBorders>
              <w:top w:val="single" w:sz="12" w:space="0" w:color="000000" w:themeColor="text1"/>
              <w:left w:val="nil"/>
              <w:bottom w:val="single" w:sz="12" w:space="0" w:color="000000" w:themeColor="text1"/>
              <w:right w:val="nil"/>
            </w:tcBorders>
          </w:tcPr>
          <w:p w14:paraId="2D56C582" w14:textId="77777777" w:rsidR="00460130" w:rsidRPr="000D756E" w:rsidRDefault="00460130" w:rsidP="00460130">
            <w:pPr>
              <w:jc w:val="right"/>
              <w:rPr>
                <w:rFonts w:ascii="Arial" w:hAnsi="Arial" w:cs="Arial"/>
                <w:b/>
                <w:sz w:val="22"/>
              </w:rPr>
            </w:pPr>
          </w:p>
        </w:tc>
        <w:tc>
          <w:tcPr>
            <w:tcW w:w="1186" w:type="dxa"/>
            <w:tcBorders>
              <w:top w:val="single" w:sz="12" w:space="0" w:color="000000" w:themeColor="text1"/>
              <w:left w:val="nil"/>
              <w:bottom w:val="single" w:sz="12" w:space="0" w:color="000000" w:themeColor="text1"/>
              <w:right w:val="nil"/>
            </w:tcBorders>
            <w:vAlign w:val="center"/>
          </w:tcPr>
          <w:p w14:paraId="74E3C8C4" w14:textId="77777777" w:rsidR="00460130" w:rsidRPr="000D756E" w:rsidRDefault="00460130" w:rsidP="00460130">
            <w:pPr>
              <w:jc w:val="right"/>
              <w:rPr>
                <w:rFonts w:ascii="Arial" w:hAnsi="Arial" w:cs="Arial"/>
                <w:b/>
                <w:sz w:val="22"/>
              </w:rPr>
            </w:pPr>
          </w:p>
        </w:tc>
        <w:tc>
          <w:tcPr>
            <w:tcW w:w="788" w:type="dxa"/>
            <w:tcBorders>
              <w:top w:val="single" w:sz="12" w:space="0" w:color="000000" w:themeColor="text1"/>
              <w:left w:val="nil"/>
              <w:bottom w:val="single" w:sz="12" w:space="0" w:color="000000" w:themeColor="text1"/>
              <w:right w:val="nil"/>
            </w:tcBorders>
            <w:vAlign w:val="center"/>
          </w:tcPr>
          <w:p w14:paraId="5298E930" w14:textId="5D9CFD9C" w:rsidR="00460130" w:rsidRPr="000D756E" w:rsidRDefault="00460130" w:rsidP="3B89F013">
            <w:pPr>
              <w:jc w:val="right"/>
              <w:rPr>
                <w:rFonts w:ascii="Arial" w:hAnsi="Arial" w:cs="Arial"/>
                <w:b/>
                <w:bCs/>
                <w:sz w:val="22"/>
                <w:szCs w:val="22"/>
              </w:rPr>
            </w:pPr>
          </w:p>
          <w:p w14:paraId="2056BD9A" w14:textId="123E9AA1" w:rsidR="00460130" w:rsidRPr="000D756E" w:rsidRDefault="00460130" w:rsidP="00415D2D">
            <w:pPr>
              <w:rPr>
                <w:rFonts w:ascii="Arial" w:hAnsi="Arial" w:cs="Arial"/>
                <w:b/>
                <w:bCs/>
                <w:sz w:val="22"/>
                <w:szCs w:val="22"/>
              </w:rPr>
            </w:pPr>
          </w:p>
          <w:p w14:paraId="6199FE6A" w14:textId="62705FE9" w:rsidR="00460130" w:rsidRPr="000D756E" w:rsidRDefault="00460130" w:rsidP="00460130">
            <w:pPr>
              <w:jc w:val="right"/>
              <w:rPr>
                <w:rFonts w:ascii="Arial" w:hAnsi="Arial" w:cs="Arial"/>
                <w:b/>
                <w:sz w:val="22"/>
                <w:szCs w:val="22"/>
              </w:rPr>
            </w:pPr>
          </w:p>
        </w:tc>
      </w:tr>
      <w:tr w:rsidR="006329E6" w:rsidRPr="000D756E" w14:paraId="08264F9A" w14:textId="77777777" w:rsidTr="00415D2D">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97041B" w14:textId="77777777" w:rsidR="00460130" w:rsidRPr="000D756E" w:rsidRDefault="00460130" w:rsidP="00460130">
            <w:pPr>
              <w:rPr>
                <w:rFonts w:ascii="Arial" w:hAnsi="Arial" w:cs="Arial"/>
                <w:sz w:val="22"/>
              </w:rPr>
            </w:pPr>
          </w:p>
          <w:p w14:paraId="71317256" w14:textId="1511B1B6" w:rsidR="00460130" w:rsidRPr="000D756E" w:rsidRDefault="00460130" w:rsidP="00460130">
            <w:pPr>
              <w:rPr>
                <w:rFonts w:ascii="Arial" w:hAnsi="Arial" w:cs="Arial"/>
                <w:b/>
                <w:sz w:val="22"/>
              </w:rPr>
            </w:pPr>
            <w:r w:rsidRPr="000D756E">
              <w:rPr>
                <w:rFonts w:ascii="Arial" w:hAnsi="Arial" w:cs="Arial"/>
                <w:b/>
                <w:sz w:val="22"/>
              </w:rPr>
              <w:t>202</w:t>
            </w:r>
            <w:r w:rsidR="00CE7AD4">
              <w:rPr>
                <w:rFonts w:ascii="Arial" w:hAnsi="Arial" w:cs="Arial"/>
                <w:b/>
                <w:sz w:val="22"/>
              </w:rPr>
              <w:t>3/24</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FC79A0" w14:textId="77777777" w:rsidR="00460130" w:rsidRPr="000D756E" w:rsidRDefault="00460130" w:rsidP="00460130">
            <w:pPr>
              <w:jc w:val="right"/>
              <w:rPr>
                <w:rFonts w:ascii="Arial" w:hAnsi="Arial" w:cs="Arial"/>
                <w:b/>
                <w:sz w:val="22"/>
              </w:rPr>
            </w:pPr>
          </w:p>
          <w:p w14:paraId="63D2AFB6" w14:textId="77777777" w:rsidR="00460130" w:rsidRPr="000D756E" w:rsidRDefault="00460130" w:rsidP="00460130">
            <w:pPr>
              <w:jc w:val="right"/>
              <w:rPr>
                <w:rFonts w:ascii="Arial" w:hAnsi="Arial" w:cs="Arial"/>
                <w:b/>
                <w:sz w:val="22"/>
              </w:rPr>
            </w:pPr>
            <w:r w:rsidRPr="000D756E">
              <w:rPr>
                <w:rFonts w:ascii="Arial" w:hAnsi="Arial" w:cs="Arial"/>
                <w:b/>
                <w:sz w:val="22"/>
              </w:rPr>
              <w:t>Vehicle Parts</w:t>
            </w:r>
          </w:p>
          <w:p w14:paraId="3034D1EC" w14:textId="24ABC8FD" w:rsidR="00460130" w:rsidRPr="000D756E" w:rsidRDefault="00460130" w:rsidP="00460130">
            <w:pPr>
              <w:jc w:val="right"/>
              <w:rPr>
                <w:rFonts w:ascii="Arial" w:hAnsi="Arial" w:cs="Arial"/>
                <w:b/>
                <w:sz w:val="22"/>
              </w:rPr>
            </w:pPr>
            <w:r w:rsidRPr="000D756E">
              <w:rPr>
                <w:rFonts w:ascii="Arial" w:hAnsi="Arial" w:cs="Arial"/>
                <w:b/>
                <w:sz w:val="22"/>
              </w:rPr>
              <w:t>£’000</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6B8C17" w14:textId="77777777" w:rsidR="00460130" w:rsidRPr="000D756E" w:rsidRDefault="00460130" w:rsidP="00460130">
            <w:pPr>
              <w:jc w:val="right"/>
              <w:rPr>
                <w:rFonts w:ascii="Arial" w:hAnsi="Arial" w:cs="Arial"/>
                <w:b/>
                <w:sz w:val="22"/>
              </w:rPr>
            </w:pPr>
          </w:p>
          <w:p w14:paraId="76EA3E12" w14:textId="77777777" w:rsidR="00460130" w:rsidRPr="000D756E" w:rsidRDefault="00460130" w:rsidP="00460130">
            <w:pPr>
              <w:jc w:val="right"/>
              <w:rPr>
                <w:rFonts w:ascii="Arial" w:hAnsi="Arial" w:cs="Arial"/>
                <w:b/>
                <w:sz w:val="22"/>
              </w:rPr>
            </w:pPr>
          </w:p>
          <w:p w14:paraId="135C3213" w14:textId="77777777" w:rsidR="00460130" w:rsidRPr="000D756E" w:rsidRDefault="00460130" w:rsidP="00460130">
            <w:pPr>
              <w:jc w:val="right"/>
              <w:rPr>
                <w:rFonts w:ascii="Arial" w:hAnsi="Arial" w:cs="Arial"/>
                <w:b/>
                <w:sz w:val="22"/>
              </w:rPr>
            </w:pPr>
            <w:r w:rsidRPr="000D756E">
              <w:rPr>
                <w:rFonts w:ascii="Arial" w:hAnsi="Arial" w:cs="Arial"/>
                <w:b/>
                <w:sz w:val="22"/>
              </w:rPr>
              <w:t>Oil</w:t>
            </w:r>
          </w:p>
          <w:p w14:paraId="424DFFE4" w14:textId="52F9CE5B" w:rsidR="00460130" w:rsidRPr="000D756E" w:rsidRDefault="00460130" w:rsidP="00460130">
            <w:pPr>
              <w:jc w:val="right"/>
              <w:rPr>
                <w:rFonts w:ascii="Arial" w:hAnsi="Arial" w:cs="Arial"/>
                <w:b/>
                <w:sz w:val="22"/>
              </w:rPr>
            </w:pPr>
            <w:r w:rsidRPr="000D756E">
              <w:rPr>
                <w:rFonts w:ascii="Arial" w:hAnsi="Arial" w:cs="Arial"/>
                <w:b/>
                <w:sz w:val="22"/>
              </w:rPr>
              <w:t>£’000</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EDB90C" w14:textId="77777777" w:rsidR="00460130" w:rsidRPr="000D756E" w:rsidRDefault="00460130" w:rsidP="00460130">
            <w:pPr>
              <w:jc w:val="right"/>
              <w:rPr>
                <w:rFonts w:ascii="Arial" w:hAnsi="Arial" w:cs="Arial"/>
                <w:b/>
                <w:sz w:val="22"/>
              </w:rPr>
            </w:pPr>
          </w:p>
          <w:p w14:paraId="08E0D462" w14:textId="77777777" w:rsidR="00460130" w:rsidRPr="000D756E" w:rsidRDefault="00460130" w:rsidP="00460130">
            <w:pPr>
              <w:jc w:val="right"/>
              <w:rPr>
                <w:rFonts w:ascii="Arial" w:hAnsi="Arial" w:cs="Arial"/>
                <w:b/>
                <w:sz w:val="22"/>
              </w:rPr>
            </w:pPr>
          </w:p>
          <w:p w14:paraId="344070F8" w14:textId="77777777" w:rsidR="00460130" w:rsidRPr="000D756E" w:rsidRDefault="00460130" w:rsidP="00460130">
            <w:pPr>
              <w:jc w:val="right"/>
              <w:rPr>
                <w:rFonts w:ascii="Arial" w:hAnsi="Arial" w:cs="Arial"/>
                <w:b/>
                <w:sz w:val="22"/>
              </w:rPr>
            </w:pPr>
            <w:r w:rsidRPr="000D756E">
              <w:rPr>
                <w:rFonts w:ascii="Arial" w:hAnsi="Arial" w:cs="Arial"/>
                <w:b/>
                <w:sz w:val="22"/>
              </w:rPr>
              <w:t>Diesel</w:t>
            </w:r>
          </w:p>
          <w:p w14:paraId="423EB09D" w14:textId="273AAADE" w:rsidR="00460130" w:rsidRPr="000D756E" w:rsidRDefault="00460130" w:rsidP="00460130">
            <w:pPr>
              <w:jc w:val="right"/>
              <w:rPr>
                <w:rFonts w:ascii="Arial" w:hAnsi="Arial" w:cs="Arial"/>
                <w:b/>
                <w:sz w:val="22"/>
              </w:rPr>
            </w:pPr>
            <w:r w:rsidRPr="000D756E">
              <w:rPr>
                <w:rFonts w:ascii="Arial" w:hAnsi="Arial" w:cs="Arial"/>
                <w:b/>
                <w:sz w:val="22"/>
              </w:rPr>
              <w:t>£’000</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CC39C2" w14:textId="77777777" w:rsidR="00460130" w:rsidRPr="000D756E" w:rsidRDefault="00460130" w:rsidP="00460130">
            <w:pPr>
              <w:jc w:val="right"/>
              <w:rPr>
                <w:rFonts w:ascii="Arial" w:hAnsi="Arial" w:cs="Arial"/>
                <w:b/>
                <w:sz w:val="22"/>
              </w:rPr>
            </w:pPr>
          </w:p>
          <w:p w14:paraId="69D08EBB" w14:textId="77777777" w:rsidR="00460130" w:rsidRPr="000D756E" w:rsidRDefault="00460130" w:rsidP="00460130">
            <w:pPr>
              <w:jc w:val="right"/>
              <w:rPr>
                <w:rFonts w:ascii="Arial" w:hAnsi="Arial" w:cs="Arial"/>
                <w:b/>
                <w:sz w:val="22"/>
              </w:rPr>
            </w:pPr>
          </w:p>
          <w:p w14:paraId="0100922D" w14:textId="77777777" w:rsidR="00460130" w:rsidRPr="000D756E" w:rsidRDefault="00460130" w:rsidP="00460130">
            <w:pPr>
              <w:jc w:val="right"/>
              <w:rPr>
                <w:rFonts w:ascii="Arial" w:hAnsi="Arial" w:cs="Arial"/>
                <w:b/>
                <w:sz w:val="22"/>
              </w:rPr>
            </w:pPr>
            <w:r w:rsidRPr="000D756E">
              <w:rPr>
                <w:rFonts w:ascii="Arial" w:hAnsi="Arial" w:cs="Arial"/>
                <w:b/>
                <w:sz w:val="22"/>
              </w:rPr>
              <w:t>Uniforms</w:t>
            </w:r>
          </w:p>
          <w:p w14:paraId="7C20A10B" w14:textId="0DF46D97" w:rsidR="00460130" w:rsidRPr="000D756E" w:rsidRDefault="00460130" w:rsidP="00460130">
            <w:pPr>
              <w:jc w:val="right"/>
              <w:rPr>
                <w:rFonts w:ascii="Arial" w:hAnsi="Arial" w:cs="Arial"/>
                <w:b/>
                <w:sz w:val="22"/>
              </w:rPr>
            </w:pPr>
            <w:r w:rsidRPr="000D756E">
              <w:rPr>
                <w:rFonts w:ascii="Arial" w:hAnsi="Arial" w:cs="Arial"/>
                <w:b/>
                <w:sz w:val="22"/>
              </w:rPr>
              <w:t>£’000</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5F00D1" w14:textId="77777777" w:rsidR="00460130" w:rsidRPr="000D756E" w:rsidRDefault="00460130" w:rsidP="00460130">
            <w:pPr>
              <w:jc w:val="right"/>
              <w:rPr>
                <w:rFonts w:ascii="Arial" w:hAnsi="Arial" w:cs="Arial"/>
                <w:b/>
                <w:sz w:val="22"/>
              </w:rPr>
            </w:pPr>
          </w:p>
          <w:p w14:paraId="1EAF3475" w14:textId="77777777" w:rsidR="00460130" w:rsidRPr="000D756E" w:rsidRDefault="00460130" w:rsidP="00460130">
            <w:pPr>
              <w:jc w:val="right"/>
              <w:rPr>
                <w:rFonts w:ascii="Arial" w:hAnsi="Arial" w:cs="Arial"/>
                <w:b/>
                <w:sz w:val="22"/>
              </w:rPr>
            </w:pPr>
            <w:r w:rsidRPr="000D756E">
              <w:rPr>
                <w:rFonts w:ascii="Arial" w:hAnsi="Arial" w:cs="Arial"/>
                <w:b/>
                <w:sz w:val="22"/>
              </w:rPr>
              <w:t>Operational Equipment</w:t>
            </w:r>
          </w:p>
          <w:p w14:paraId="6C3D72A2" w14:textId="427C40F3" w:rsidR="00460130" w:rsidRPr="000D756E" w:rsidRDefault="00460130" w:rsidP="00460130">
            <w:pPr>
              <w:jc w:val="right"/>
              <w:rPr>
                <w:rFonts w:ascii="Arial" w:hAnsi="Arial" w:cs="Arial"/>
                <w:b/>
                <w:sz w:val="22"/>
              </w:rPr>
            </w:pPr>
            <w:r w:rsidRPr="000D756E">
              <w:rPr>
                <w:rFonts w:ascii="Arial" w:hAnsi="Arial" w:cs="Arial"/>
                <w:b/>
                <w:sz w:val="22"/>
              </w:rPr>
              <w:t>£’000</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30F7D6" w14:textId="77777777" w:rsidR="00460130" w:rsidRPr="000D756E" w:rsidRDefault="00460130" w:rsidP="00460130">
            <w:pPr>
              <w:jc w:val="right"/>
              <w:rPr>
                <w:rFonts w:ascii="Arial" w:hAnsi="Arial" w:cs="Arial"/>
                <w:b/>
                <w:sz w:val="22"/>
              </w:rPr>
            </w:pPr>
            <w:r w:rsidRPr="000D756E">
              <w:rPr>
                <w:rFonts w:ascii="Arial" w:hAnsi="Arial" w:cs="Arial"/>
                <w:b/>
                <w:sz w:val="22"/>
              </w:rPr>
              <w:t>Fire Ground Feeding</w:t>
            </w:r>
          </w:p>
          <w:p w14:paraId="64C917A5" w14:textId="66A0CCB8" w:rsidR="00460130" w:rsidRPr="000D756E" w:rsidRDefault="00460130" w:rsidP="00460130">
            <w:pPr>
              <w:jc w:val="right"/>
              <w:rPr>
                <w:rFonts w:ascii="Arial" w:hAnsi="Arial" w:cs="Arial"/>
                <w:b/>
                <w:sz w:val="22"/>
              </w:rPr>
            </w:pPr>
            <w:r w:rsidRPr="000D756E">
              <w:rPr>
                <w:rFonts w:ascii="Arial" w:hAnsi="Arial" w:cs="Arial"/>
                <w:b/>
                <w:sz w:val="22"/>
              </w:rPr>
              <w:t>£’000</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1EE335" w14:textId="77777777" w:rsidR="00460130" w:rsidRPr="000D756E" w:rsidRDefault="00460130" w:rsidP="00460130">
            <w:pPr>
              <w:jc w:val="right"/>
              <w:rPr>
                <w:rFonts w:ascii="Arial" w:hAnsi="Arial" w:cs="Arial"/>
                <w:b/>
                <w:sz w:val="22"/>
              </w:rPr>
            </w:pPr>
          </w:p>
          <w:p w14:paraId="30FF5BB8" w14:textId="77777777" w:rsidR="00460130" w:rsidRPr="000D756E" w:rsidRDefault="00460130" w:rsidP="00460130">
            <w:pPr>
              <w:jc w:val="right"/>
              <w:rPr>
                <w:rFonts w:ascii="Arial" w:hAnsi="Arial" w:cs="Arial"/>
                <w:b/>
                <w:sz w:val="22"/>
              </w:rPr>
            </w:pPr>
          </w:p>
          <w:p w14:paraId="4F6E783C" w14:textId="77777777" w:rsidR="00460130" w:rsidRPr="000D756E" w:rsidRDefault="00460130" w:rsidP="00460130">
            <w:pPr>
              <w:jc w:val="right"/>
              <w:rPr>
                <w:rFonts w:ascii="Arial" w:hAnsi="Arial" w:cs="Arial"/>
                <w:b/>
                <w:sz w:val="22"/>
              </w:rPr>
            </w:pPr>
            <w:r w:rsidRPr="000D756E">
              <w:rPr>
                <w:rFonts w:ascii="Arial" w:hAnsi="Arial" w:cs="Arial"/>
                <w:b/>
                <w:sz w:val="22"/>
              </w:rPr>
              <w:t>Total</w:t>
            </w:r>
          </w:p>
          <w:p w14:paraId="658DB359" w14:textId="5C078032" w:rsidR="00460130" w:rsidRPr="000D756E" w:rsidRDefault="00460130" w:rsidP="00460130">
            <w:pPr>
              <w:jc w:val="right"/>
              <w:rPr>
                <w:rFonts w:ascii="Arial" w:hAnsi="Arial" w:cs="Arial"/>
                <w:b/>
                <w:sz w:val="22"/>
              </w:rPr>
            </w:pPr>
            <w:r w:rsidRPr="000D756E">
              <w:rPr>
                <w:rFonts w:ascii="Arial" w:hAnsi="Arial" w:cs="Arial"/>
                <w:b/>
                <w:sz w:val="22"/>
              </w:rPr>
              <w:t>£’000</w:t>
            </w:r>
          </w:p>
        </w:tc>
      </w:tr>
      <w:tr w:rsidR="00597713" w:rsidRPr="000D756E" w14:paraId="4CFDFE8B" w14:textId="77777777" w:rsidTr="00415D2D">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C87A7F" w14:textId="417CF4B1" w:rsidR="00597713" w:rsidRPr="000D756E" w:rsidRDefault="00597713" w:rsidP="00597713">
            <w:pPr>
              <w:rPr>
                <w:rFonts w:ascii="Arial" w:hAnsi="Arial" w:cs="Arial"/>
                <w:b/>
                <w:sz w:val="22"/>
              </w:rPr>
            </w:pPr>
            <w:r w:rsidRPr="000D756E">
              <w:rPr>
                <w:rFonts w:ascii="Arial" w:hAnsi="Arial" w:cs="Arial"/>
                <w:b/>
                <w:sz w:val="22"/>
              </w:rPr>
              <w:t>Balance outstanding at start of year</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78D190" w14:textId="7A6E2736"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115</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0C4FEA" w14:textId="1E62113B"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3</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8C3D" w14:textId="15C8EEC9"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9</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AADDE4" w14:textId="58BD8888"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129</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393956" w14:textId="7A6F9389"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84</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5987E3" w14:textId="1B21BF85"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2</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BEDBAA" w14:textId="0B2D9AB7"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342</w:t>
            </w:r>
          </w:p>
        </w:tc>
      </w:tr>
      <w:tr w:rsidR="00597713" w:rsidRPr="000D756E" w14:paraId="533BD8FC" w14:textId="77777777" w:rsidTr="00415D2D">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1B0904" w14:textId="190296DF" w:rsidR="00597713" w:rsidRPr="000D756E" w:rsidRDefault="00597713" w:rsidP="00597713">
            <w:pPr>
              <w:rPr>
                <w:rFonts w:ascii="Arial" w:hAnsi="Arial" w:cs="Arial"/>
                <w:sz w:val="22"/>
              </w:rPr>
            </w:pPr>
            <w:r w:rsidRPr="000D756E">
              <w:rPr>
                <w:rFonts w:ascii="Arial" w:hAnsi="Arial" w:cs="Arial"/>
                <w:sz w:val="22"/>
              </w:rPr>
              <w:t>Purchases</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335B538" w14:textId="48095135"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179</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E760C38" w14:textId="651D5690"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5</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BFA952" w14:textId="4DB93470"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83</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CF74B2" w14:textId="6879BDD1"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177</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BCBC8F" w14:textId="76F7CF5E"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125</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9AA95F" w14:textId="45A85E4E"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8</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6058CF" w14:textId="392E1338" w:rsidR="00597713" w:rsidRPr="00A33A80" w:rsidRDefault="00597713" w:rsidP="00597713">
            <w:pPr>
              <w:jc w:val="right"/>
              <w:rPr>
                <w:rFonts w:ascii="Arial" w:hAnsi="Arial" w:cs="Arial"/>
                <w:sz w:val="24"/>
                <w:szCs w:val="24"/>
              </w:rPr>
            </w:pPr>
            <w:r w:rsidRPr="00A33A80">
              <w:rPr>
                <w:rFonts w:ascii="Arial" w:eastAsia="Arial" w:hAnsi="Arial" w:cs="Arial"/>
                <w:b/>
                <w:bCs/>
                <w:sz w:val="24"/>
                <w:szCs w:val="24"/>
              </w:rPr>
              <w:t>577</w:t>
            </w:r>
          </w:p>
        </w:tc>
      </w:tr>
      <w:tr w:rsidR="00597713" w:rsidRPr="000D756E" w14:paraId="1FC0564E" w14:textId="77777777" w:rsidTr="00415D2D">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0028F1" w14:textId="75324737" w:rsidR="00597713" w:rsidRPr="000D756E" w:rsidRDefault="00597713" w:rsidP="00597713">
            <w:pPr>
              <w:rPr>
                <w:rFonts w:ascii="Arial" w:hAnsi="Arial" w:cs="Arial"/>
                <w:sz w:val="22"/>
                <w:szCs w:val="22"/>
              </w:rPr>
            </w:pPr>
            <w:r w:rsidRPr="000D756E">
              <w:rPr>
                <w:rFonts w:ascii="Arial" w:hAnsi="Arial" w:cs="Arial"/>
                <w:sz w:val="22"/>
                <w:szCs w:val="22"/>
              </w:rPr>
              <w:t>Recognised as an expense within Executive and Resources during the year</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1566411" w14:textId="2B7BD88E"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-167</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A49C375" w14:textId="3F7FFA67"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-2</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DC2CD4" w14:textId="045A637D"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-89</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B0AC3E" w14:textId="231C25B7"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-206</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CC774D" w14:textId="656C0343"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-125</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09A854" w14:textId="78D6DC20" w:rsidR="00597713" w:rsidRPr="00A33A80" w:rsidRDefault="00597713" w:rsidP="00597713">
            <w:pPr>
              <w:jc w:val="right"/>
              <w:rPr>
                <w:rFonts w:ascii="Arial" w:hAnsi="Arial" w:cs="Arial"/>
                <w:sz w:val="24"/>
                <w:szCs w:val="24"/>
              </w:rPr>
            </w:pPr>
            <w:r w:rsidRPr="00A33A80">
              <w:rPr>
                <w:rFonts w:ascii="Arial" w:eastAsia="Arial" w:hAnsi="Arial" w:cs="Arial"/>
                <w:sz w:val="24"/>
                <w:szCs w:val="24"/>
              </w:rPr>
              <w:t>-8</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8B72D0" w14:textId="384BE421" w:rsidR="00597713" w:rsidRPr="00A33A80" w:rsidRDefault="00597713" w:rsidP="00597713">
            <w:pPr>
              <w:jc w:val="right"/>
              <w:rPr>
                <w:rFonts w:ascii="Arial" w:hAnsi="Arial" w:cs="Arial"/>
                <w:sz w:val="24"/>
                <w:szCs w:val="24"/>
              </w:rPr>
            </w:pPr>
            <w:r w:rsidRPr="00A33A80">
              <w:rPr>
                <w:rFonts w:ascii="Arial" w:eastAsia="Arial" w:hAnsi="Arial" w:cs="Arial"/>
                <w:b/>
                <w:bCs/>
                <w:sz w:val="24"/>
                <w:szCs w:val="24"/>
              </w:rPr>
              <w:t>-597</w:t>
            </w:r>
          </w:p>
        </w:tc>
      </w:tr>
      <w:tr w:rsidR="00597713" w:rsidRPr="000D756E" w14:paraId="5145F8F4" w14:textId="77777777" w:rsidTr="00415D2D">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BB9F6A" w14:textId="5E254E14" w:rsidR="00597713" w:rsidRPr="000D756E" w:rsidRDefault="00597713" w:rsidP="00597713">
            <w:pPr>
              <w:rPr>
                <w:rFonts w:ascii="Arial" w:hAnsi="Arial" w:cs="Arial"/>
                <w:b/>
                <w:sz w:val="22"/>
              </w:rPr>
            </w:pPr>
            <w:r w:rsidRPr="000D756E">
              <w:rPr>
                <w:rFonts w:ascii="Arial" w:hAnsi="Arial" w:cs="Arial"/>
                <w:b/>
                <w:sz w:val="22"/>
              </w:rPr>
              <w:t>Balance outstanding at year end</w:t>
            </w:r>
          </w:p>
        </w:tc>
        <w:tc>
          <w:tcPr>
            <w:tcW w:w="10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FFECB0" w14:textId="685F5FD6"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127</w:t>
            </w:r>
          </w:p>
        </w:tc>
        <w:tc>
          <w:tcPr>
            <w:tcW w:w="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27DE2D" w14:textId="66408EEC"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6</w:t>
            </w: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832DB4" w14:textId="0B6F82E0"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3</w:t>
            </w:r>
          </w:p>
        </w:tc>
        <w:tc>
          <w:tcPr>
            <w:tcW w:w="1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7D2591" w14:textId="2356717C"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100</w:t>
            </w:r>
          </w:p>
        </w:tc>
        <w:tc>
          <w:tcPr>
            <w:tcW w:w="1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4E05EF" w14:textId="7A349EF1"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84</w:t>
            </w:r>
          </w:p>
        </w:tc>
        <w:tc>
          <w:tcPr>
            <w:tcW w:w="11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464EB5" w14:textId="744DF48B"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2</w:t>
            </w: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6464807" w14:textId="666D5AE8" w:rsidR="00597713" w:rsidRPr="00A33A80" w:rsidRDefault="00597713" w:rsidP="00597713">
            <w:pPr>
              <w:jc w:val="right"/>
              <w:rPr>
                <w:rFonts w:ascii="Arial" w:hAnsi="Arial" w:cs="Arial"/>
                <w:b/>
                <w:sz w:val="24"/>
                <w:szCs w:val="24"/>
              </w:rPr>
            </w:pPr>
            <w:r w:rsidRPr="00A33A80">
              <w:rPr>
                <w:rFonts w:ascii="Arial" w:eastAsia="Arial" w:hAnsi="Arial" w:cs="Arial"/>
                <w:b/>
                <w:bCs/>
                <w:sz w:val="24"/>
                <w:szCs w:val="24"/>
              </w:rPr>
              <w:t>322</w:t>
            </w:r>
          </w:p>
        </w:tc>
      </w:tr>
    </w:tbl>
    <w:p w14:paraId="50E7E517" w14:textId="565A77C4" w:rsidR="00247F7D" w:rsidRPr="000D756E" w:rsidRDefault="00247F7D" w:rsidP="002A7C01"/>
    <w:p w14:paraId="6B4C7985" w14:textId="4064B7DC" w:rsidR="002544DF" w:rsidRPr="000D756E" w:rsidRDefault="002544DF" w:rsidP="001C227A">
      <w:pPr>
        <w:pStyle w:val="Heading2"/>
        <w:numPr>
          <w:ilvl w:val="0"/>
          <w:numId w:val="15"/>
        </w:numPr>
        <w:rPr>
          <w:rFonts w:cs="Arial"/>
          <w:szCs w:val="24"/>
        </w:rPr>
      </w:pPr>
      <w:r w:rsidRPr="000D756E">
        <w:rPr>
          <w:rFonts w:cs="Arial"/>
          <w:caps w:val="0"/>
          <w:szCs w:val="24"/>
        </w:rPr>
        <w:t xml:space="preserve">DEBTORS   </w:t>
      </w:r>
    </w:p>
    <w:p w14:paraId="6FDEDF2C" w14:textId="77777777" w:rsidR="002544DF" w:rsidRPr="000D756E" w:rsidRDefault="002544DF" w:rsidP="002A7C01">
      <w:pPr>
        <w:rPr>
          <w:rFonts w:ascii="Arial" w:hAnsi="Arial" w:cs="Arial"/>
          <w:sz w:val="24"/>
          <w:szCs w:val="24"/>
        </w:rPr>
      </w:pPr>
    </w:p>
    <w:p w14:paraId="54247E90" w14:textId="77777777" w:rsidR="002544DF" w:rsidRPr="000D756E" w:rsidRDefault="002544DF" w:rsidP="002A7C01">
      <w:pPr>
        <w:pStyle w:val="BodyText3"/>
        <w:jc w:val="left"/>
        <w:rPr>
          <w:rFonts w:ascii="Arial" w:hAnsi="Arial" w:cs="Arial"/>
          <w:sz w:val="24"/>
          <w:szCs w:val="24"/>
        </w:rPr>
      </w:pPr>
      <w:r w:rsidRPr="000D756E">
        <w:rPr>
          <w:rFonts w:ascii="Arial" w:hAnsi="Arial" w:cs="Arial"/>
          <w:sz w:val="24"/>
          <w:szCs w:val="24"/>
        </w:rPr>
        <w:t>Debtors represent sums owed to the Authority for supplies and services provided before 31 March in the relevant year but still outstanding at that date.</w:t>
      </w:r>
    </w:p>
    <w:p w14:paraId="17184397" w14:textId="77777777" w:rsidR="002544DF" w:rsidRPr="000D756E" w:rsidRDefault="002544DF" w:rsidP="002A7C01">
      <w:pPr>
        <w:pStyle w:val="BodyText3"/>
        <w:jc w:val="left"/>
        <w:rPr>
          <w:rFonts w:ascii="Arial" w:hAnsi="Arial" w:cs="Arial"/>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588"/>
        <w:gridCol w:w="1388"/>
      </w:tblGrid>
      <w:tr w:rsidR="00AF06C3" w:rsidRPr="000D756E" w14:paraId="4E856FDF" w14:textId="77777777" w:rsidTr="42AC12F0">
        <w:trPr>
          <w:cantSplit/>
        </w:trPr>
        <w:tc>
          <w:tcPr>
            <w:tcW w:w="6238" w:type="dxa"/>
          </w:tcPr>
          <w:p w14:paraId="18E5B334" w14:textId="77777777" w:rsidR="001F52DE" w:rsidRPr="000D756E" w:rsidRDefault="001F52DE" w:rsidP="001F52DE">
            <w:pPr>
              <w:rPr>
                <w:rFonts w:ascii="Arial" w:hAnsi="Arial" w:cs="Arial"/>
                <w:sz w:val="24"/>
                <w:szCs w:val="24"/>
              </w:rPr>
            </w:pPr>
          </w:p>
        </w:tc>
        <w:tc>
          <w:tcPr>
            <w:tcW w:w="1588" w:type="dxa"/>
          </w:tcPr>
          <w:p w14:paraId="3F187FF9" w14:textId="70131D0E" w:rsidR="001F52DE" w:rsidRPr="000D756E" w:rsidRDefault="001F52DE" w:rsidP="001F52DE">
            <w:pPr>
              <w:jc w:val="right"/>
              <w:rPr>
                <w:rFonts w:ascii="Arial" w:hAnsi="Arial" w:cs="Arial"/>
                <w:b/>
                <w:sz w:val="24"/>
                <w:szCs w:val="24"/>
              </w:rPr>
            </w:pPr>
            <w:r w:rsidRPr="000D756E">
              <w:rPr>
                <w:rFonts w:ascii="Arial" w:hAnsi="Arial" w:cs="Arial"/>
                <w:b/>
                <w:sz w:val="24"/>
                <w:szCs w:val="24"/>
              </w:rPr>
              <w:t>31 March 202</w:t>
            </w:r>
            <w:r w:rsidR="00CE7AD4">
              <w:rPr>
                <w:rFonts w:ascii="Arial" w:hAnsi="Arial" w:cs="Arial"/>
                <w:b/>
                <w:sz w:val="24"/>
                <w:szCs w:val="24"/>
              </w:rPr>
              <w:t>5</w:t>
            </w:r>
          </w:p>
          <w:p w14:paraId="29F24222" w14:textId="77777777" w:rsidR="001F52DE" w:rsidRPr="000D756E" w:rsidRDefault="001F52DE" w:rsidP="001F52DE">
            <w:pPr>
              <w:jc w:val="right"/>
              <w:rPr>
                <w:rFonts w:ascii="Arial" w:hAnsi="Arial" w:cs="Arial"/>
                <w:b/>
                <w:sz w:val="24"/>
                <w:szCs w:val="24"/>
              </w:rPr>
            </w:pPr>
            <w:r w:rsidRPr="000D756E">
              <w:rPr>
                <w:rFonts w:ascii="Arial" w:hAnsi="Arial" w:cs="Arial"/>
                <w:b/>
                <w:sz w:val="24"/>
                <w:szCs w:val="24"/>
              </w:rPr>
              <w:t>£’000</w:t>
            </w:r>
          </w:p>
        </w:tc>
        <w:tc>
          <w:tcPr>
            <w:tcW w:w="1388" w:type="dxa"/>
          </w:tcPr>
          <w:p w14:paraId="54AEA126" w14:textId="69F6DABC" w:rsidR="001F52DE" w:rsidRPr="000D756E" w:rsidRDefault="001F52DE" w:rsidP="001F52DE">
            <w:pPr>
              <w:jc w:val="right"/>
              <w:rPr>
                <w:rFonts w:ascii="Arial" w:hAnsi="Arial" w:cs="Arial"/>
                <w:b/>
                <w:sz w:val="24"/>
                <w:szCs w:val="24"/>
              </w:rPr>
            </w:pPr>
            <w:r w:rsidRPr="000D756E">
              <w:rPr>
                <w:rFonts w:ascii="Arial" w:hAnsi="Arial" w:cs="Arial"/>
                <w:b/>
                <w:sz w:val="24"/>
                <w:szCs w:val="24"/>
              </w:rPr>
              <w:t>31 March 202</w:t>
            </w:r>
            <w:r w:rsidR="00CE7AD4">
              <w:rPr>
                <w:rFonts w:ascii="Arial" w:hAnsi="Arial" w:cs="Arial"/>
                <w:b/>
                <w:sz w:val="24"/>
                <w:szCs w:val="24"/>
              </w:rPr>
              <w:t>4</w:t>
            </w:r>
          </w:p>
          <w:p w14:paraId="0FAE2A1C" w14:textId="4A6915C1" w:rsidR="001F52DE" w:rsidRPr="000D756E" w:rsidRDefault="001F52DE" w:rsidP="001F52DE">
            <w:pPr>
              <w:jc w:val="right"/>
              <w:rPr>
                <w:rFonts w:ascii="Arial" w:hAnsi="Arial" w:cs="Arial"/>
                <w:b/>
                <w:sz w:val="24"/>
                <w:szCs w:val="24"/>
              </w:rPr>
            </w:pPr>
            <w:r w:rsidRPr="000D756E">
              <w:rPr>
                <w:rFonts w:ascii="Arial" w:hAnsi="Arial" w:cs="Arial"/>
                <w:b/>
                <w:sz w:val="24"/>
                <w:szCs w:val="24"/>
              </w:rPr>
              <w:t>£’000</w:t>
            </w:r>
          </w:p>
        </w:tc>
      </w:tr>
      <w:tr w:rsidR="00AF06C3" w:rsidRPr="000D756E" w14:paraId="328E32F8" w14:textId="77777777" w:rsidTr="42AC12F0">
        <w:trPr>
          <w:cantSplit/>
        </w:trPr>
        <w:tc>
          <w:tcPr>
            <w:tcW w:w="6238" w:type="dxa"/>
          </w:tcPr>
          <w:p w14:paraId="7021A3C3" w14:textId="77777777" w:rsidR="00CE7AD4" w:rsidRPr="000D756E" w:rsidRDefault="00CE7AD4" w:rsidP="00CE7AD4">
            <w:pPr>
              <w:rPr>
                <w:rFonts w:ascii="Arial" w:hAnsi="Arial" w:cs="Arial"/>
                <w:sz w:val="24"/>
                <w:szCs w:val="24"/>
              </w:rPr>
            </w:pPr>
            <w:r w:rsidRPr="000D756E">
              <w:rPr>
                <w:rFonts w:ascii="Arial" w:hAnsi="Arial" w:cs="Arial"/>
                <w:sz w:val="24"/>
                <w:szCs w:val="24"/>
              </w:rPr>
              <w:t>Central government bodies</w:t>
            </w:r>
          </w:p>
        </w:tc>
        <w:tc>
          <w:tcPr>
            <w:tcW w:w="1588" w:type="dxa"/>
          </w:tcPr>
          <w:p w14:paraId="5594634E" w14:textId="06322A33" w:rsidR="00CE7AD4" w:rsidRPr="000D756E" w:rsidRDefault="7C45E785" w:rsidP="00CE7AD4">
            <w:pPr>
              <w:tabs>
                <w:tab w:val="right" w:pos="1168"/>
              </w:tabs>
              <w:jc w:val="right"/>
              <w:rPr>
                <w:rFonts w:ascii="Arial" w:hAnsi="Arial" w:cs="Arial"/>
                <w:sz w:val="24"/>
                <w:szCs w:val="24"/>
              </w:rPr>
            </w:pPr>
            <w:r w:rsidRPr="42AC12F0">
              <w:rPr>
                <w:rFonts w:ascii="Arial" w:hAnsi="Arial" w:cs="Arial"/>
                <w:sz w:val="24"/>
                <w:szCs w:val="24"/>
              </w:rPr>
              <w:t>107</w:t>
            </w:r>
          </w:p>
        </w:tc>
        <w:tc>
          <w:tcPr>
            <w:tcW w:w="1388" w:type="dxa"/>
          </w:tcPr>
          <w:p w14:paraId="302AE82B" w14:textId="475D677F" w:rsidR="00CE7AD4" w:rsidRPr="000D756E" w:rsidRDefault="00CE7AD4" w:rsidP="00CE7AD4">
            <w:pPr>
              <w:tabs>
                <w:tab w:val="right" w:pos="1168"/>
              </w:tabs>
              <w:jc w:val="right"/>
              <w:rPr>
                <w:rFonts w:ascii="Arial" w:hAnsi="Arial" w:cs="Arial"/>
                <w:sz w:val="24"/>
                <w:szCs w:val="24"/>
              </w:rPr>
            </w:pPr>
            <w:r w:rsidRPr="000D756E">
              <w:rPr>
                <w:rFonts w:ascii="Arial" w:hAnsi="Arial" w:cs="Arial"/>
                <w:sz w:val="24"/>
                <w:szCs w:val="24"/>
              </w:rPr>
              <w:t>1,000</w:t>
            </w:r>
          </w:p>
        </w:tc>
      </w:tr>
      <w:tr w:rsidR="00AF06C3" w:rsidRPr="000D756E" w14:paraId="28B091F8" w14:textId="77777777" w:rsidTr="42AC12F0">
        <w:trPr>
          <w:cantSplit/>
        </w:trPr>
        <w:tc>
          <w:tcPr>
            <w:tcW w:w="6238" w:type="dxa"/>
          </w:tcPr>
          <w:p w14:paraId="14462B3D" w14:textId="77777777" w:rsidR="00CE7AD4" w:rsidRPr="000D756E" w:rsidRDefault="00CE7AD4" w:rsidP="00CE7AD4">
            <w:pPr>
              <w:rPr>
                <w:rFonts w:ascii="Arial" w:hAnsi="Arial" w:cs="Arial"/>
                <w:sz w:val="24"/>
                <w:szCs w:val="24"/>
              </w:rPr>
            </w:pPr>
            <w:r w:rsidRPr="000D756E">
              <w:rPr>
                <w:rFonts w:ascii="Arial" w:hAnsi="Arial" w:cs="Arial"/>
                <w:sz w:val="24"/>
                <w:szCs w:val="24"/>
              </w:rPr>
              <w:t>Other local authorities</w:t>
            </w:r>
          </w:p>
        </w:tc>
        <w:tc>
          <w:tcPr>
            <w:tcW w:w="1588" w:type="dxa"/>
          </w:tcPr>
          <w:p w14:paraId="62F58026" w14:textId="61C4D1FE" w:rsidR="00CE7AD4" w:rsidRPr="000D756E" w:rsidRDefault="463741FD" w:rsidP="00CE7AD4">
            <w:pPr>
              <w:tabs>
                <w:tab w:val="right" w:pos="1168"/>
              </w:tabs>
              <w:jc w:val="right"/>
              <w:rPr>
                <w:rFonts w:ascii="Arial" w:hAnsi="Arial" w:cs="Arial"/>
                <w:sz w:val="24"/>
                <w:szCs w:val="24"/>
              </w:rPr>
            </w:pPr>
            <w:r w:rsidRPr="42AC12F0">
              <w:rPr>
                <w:rFonts w:ascii="Arial" w:hAnsi="Arial" w:cs="Arial"/>
                <w:sz w:val="24"/>
                <w:szCs w:val="24"/>
              </w:rPr>
              <w:t>1,129</w:t>
            </w:r>
          </w:p>
        </w:tc>
        <w:tc>
          <w:tcPr>
            <w:tcW w:w="1388" w:type="dxa"/>
          </w:tcPr>
          <w:p w14:paraId="06BF325D" w14:textId="05C7B8EE" w:rsidR="00CE7AD4" w:rsidRPr="000D756E" w:rsidRDefault="00CE7AD4" w:rsidP="00CE7AD4">
            <w:pPr>
              <w:tabs>
                <w:tab w:val="right" w:pos="1168"/>
              </w:tabs>
              <w:jc w:val="right"/>
              <w:rPr>
                <w:rFonts w:ascii="Arial" w:hAnsi="Arial" w:cs="Arial"/>
                <w:sz w:val="24"/>
                <w:szCs w:val="24"/>
              </w:rPr>
            </w:pPr>
            <w:r w:rsidRPr="000D756E">
              <w:rPr>
                <w:rFonts w:ascii="Arial" w:hAnsi="Arial" w:cs="Arial"/>
                <w:sz w:val="24"/>
                <w:szCs w:val="24"/>
              </w:rPr>
              <w:t>944</w:t>
            </w:r>
          </w:p>
        </w:tc>
      </w:tr>
      <w:tr w:rsidR="00AF06C3" w:rsidRPr="000D756E" w14:paraId="274D273E" w14:textId="77777777" w:rsidTr="42AC12F0">
        <w:trPr>
          <w:cantSplit/>
        </w:trPr>
        <w:tc>
          <w:tcPr>
            <w:tcW w:w="6238" w:type="dxa"/>
          </w:tcPr>
          <w:p w14:paraId="40F80BD2" w14:textId="595C8F20" w:rsidR="00CE7AD4" w:rsidRPr="000D756E" w:rsidRDefault="00CE7AD4" w:rsidP="00CE7AD4">
            <w:pPr>
              <w:rPr>
                <w:rFonts w:ascii="Arial" w:hAnsi="Arial" w:cs="Arial"/>
                <w:sz w:val="24"/>
                <w:szCs w:val="24"/>
              </w:rPr>
            </w:pPr>
            <w:r w:rsidRPr="000D756E">
              <w:rPr>
                <w:rFonts w:ascii="Arial" w:hAnsi="Arial" w:cs="Arial"/>
                <w:sz w:val="24"/>
                <w:szCs w:val="24"/>
              </w:rPr>
              <w:t>Other entities and individuals</w:t>
            </w:r>
          </w:p>
        </w:tc>
        <w:tc>
          <w:tcPr>
            <w:tcW w:w="1588" w:type="dxa"/>
          </w:tcPr>
          <w:p w14:paraId="06EA564D" w14:textId="6115126C" w:rsidR="00CE7AD4" w:rsidRPr="000D756E" w:rsidRDefault="27FD1198" w:rsidP="00CE7AD4">
            <w:pPr>
              <w:tabs>
                <w:tab w:val="right" w:pos="1168"/>
              </w:tabs>
              <w:jc w:val="right"/>
              <w:rPr>
                <w:rFonts w:ascii="Arial" w:hAnsi="Arial" w:cs="Arial"/>
                <w:sz w:val="24"/>
                <w:szCs w:val="24"/>
              </w:rPr>
            </w:pPr>
            <w:r w:rsidRPr="42AC12F0">
              <w:rPr>
                <w:rFonts w:ascii="Arial" w:hAnsi="Arial" w:cs="Arial"/>
                <w:sz w:val="24"/>
                <w:szCs w:val="24"/>
              </w:rPr>
              <w:t>585</w:t>
            </w:r>
          </w:p>
        </w:tc>
        <w:tc>
          <w:tcPr>
            <w:tcW w:w="1388" w:type="dxa"/>
          </w:tcPr>
          <w:p w14:paraId="66FD87BC" w14:textId="6DFE8C72" w:rsidR="00CE7AD4" w:rsidRPr="000D756E" w:rsidRDefault="00CE7AD4" w:rsidP="00CE7AD4">
            <w:pPr>
              <w:tabs>
                <w:tab w:val="right" w:pos="1168"/>
              </w:tabs>
              <w:jc w:val="right"/>
              <w:rPr>
                <w:rFonts w:ascii="Arial" w:hAnsi="Arial" w:cs="Arial"/>
                <w:sz w:val="24"/>
                <w:szCs w:val="24"/>
              </w:rPr>
            </w:pPr>
            <w:r w:rsidRPr="000D756E">
              <w:rPr>
                <w:rFonts w:ascii="Arial" w:hAnsi="Arial" w:cs="Arial"/>
                <w:sz w:val="24"/>
                <w:szCs w:val="24"/>
              </w:rPr>
              <w:t>444</w:t>
            </w:r>
          </w:p>
        </w:tc>
      </w:tr>
      <w:tr w:rsidR="00AF06C3" w:rsidRPr="000D756E" w14:paraId="5C2A61C7" w14:textId="77777777" w:rsidTr="42AC12F0">
        <w:trPr>
          <w:cantSplit/>
        </w:trPr>
        <w:tc>
          <w:tcPr>
            <w:tcW w:w="6238" w:type="dxa"/>
            <w:shd w:val="clear" w:color="auto" w:fill="FFFFFF" w:themeFill="background1"/>
          </w:tcPr>
          <w:p w14:paraId="2A884A7D" w14:textId="43324EA5" w:rsidR="00CE7AD4" w:rsidRPr="000D756E" w:rsidRDefault="00CE7AD4" w:rsidP="00CE7AD4">
            <w:pPr>
              <w:rPr>
                <w:rFonts w:ascii="Arial" w:hAnsi="Arial" w:cs="Arial"/>
                <w:sz w:val="24"/>
                <w:szCs w:val="24"/>
              </w:rPr>
            </w:pPr>
            <w:r w:rsidRPr="000D756E">
              <w:rPr>
                <w:rFonts w:ascii="Arial" w:hAnsi="Arial" w:cs="Arial"/>
                <w:sz w:val="24"/>
                <w:szCs w:val="24"/>
              </w:rPr>
              <w:t>Less Provision for Bad or Doubtful Debts</w:t>
            </w:r>
          </w:p>
        </w:tc>
        <w:tc>
          <w:tcPr>
            <w:tcW w:w="1588" w:type="dxa"/>
            <w:shd w:val="clear" w:color="auto" w:fill="FFFFFF" w:themeFill="background1"/>
          </w:tcPr>
          <w:p w14:paraId="01C1BBDB" w14:textId="2A43F159" w:rsidR="00CE7AD4" w:rsidRPr="000D756E" w:rsidRDefault="18044501" w:rsidP="00CE7AD4">
            <w:pPr>
              <w:jc w:val="right"/>
              <w:rPr>
                <w:rFonts w:ascii="Arial" w:hAnsi="Arial" w:cs="Arial"/>
                <w:sz w:val="24"/>
                <w:szCs w:val="24"/>
              </w:rPr>
            </w:pPr>
            <w:r w:rsidRPr="42AC12F0">
              <w:rPr>
                <w:rFonts w:ascii="Arial" w:hAnsi="Arial" w:cs="Arial"/>
                <w:sz w:val="24"/>
                <w:szCs w:val="24"/>
              </w:rPr>
              <w:t>-9</w:t>
            </w:r>
          </w:p>
        </w:tc>
        <w:tc>
          <w:tcPr>
            <w:tcW w:w="1388" w:type="dxa"/>
            <w:shd w:val="clear" w:color="auto" w:fill="FFFFFF" w:themeFill="background1"/>
          </w:tcPr>
          <w:p w14:paraId="1428BA2D" w14:textId="2571854F" w:rsidR="00CE7AD4" w:rsidRPr="000D756E" w:rsidRDefault="00CE7AD4" w:rsidP="00CE7AD4">
            <w:pPr>
              <w:jc w:val="right"/>
              <w:rPr>
                <w:rFonts w:ascii="Arial" w:hAnsi="Arial" w:cs="Arial"/>
                <w:sz w:val="24"/>
                <w:szCs w:val="24"/>
              </w:rPr>
            </w:pPr>
            <w:r w:rsidRPr="000D756E">
              <w:rPr>
                <w:rFonts w:ascii="Arial" w:hAnsi="Arial" w:cs="Arial"/>
                <w:sz w:val="24"/>
                <w:szCs w:val="24"/>
              </w:rPr>
              <w:t>-11</w:t>
            </w:r>
          </w:p>
        </w:tc>
      </w:tr>
      <w:tr w:rsidR="00AF06C3" w:rsidRPr="000D756E" w14:paraId="5B2ED478" w14:textId="77777777" w:rsidTr="42AC12F0">
        <w:trPr>
          <w:cantSplit/>
          <w:trHeight w:val="225"/>
        </w:trPr>
        <w:tc>
          <w:tcPr>
            <w:tcW w:w="6238" w:type="dxa"/>
          </w:tcPr>
          <w:p w14:paraId="60F5FF02" w14:textId="158CF7BD" w:rsidR="00CE7AD4" w:rsidRPr="000D756E" w:rsidRDefault="00CE7AD4" w:rsidP="00CE7AD4">
            <w:pPr>
              <w:ind w:left="-817"/>
              <w:rPr>
                <w:rFonts w:ascii="Arial" w:hAnsi="Arial" w:cs="Arial"/>
                <w:b/>
                <w:sz w:val="24"/>
                <w:szCs w:val="24"/>
              </w:rPr>
            </w:pPr>
            <w:r w:rsidRPr="000D756E">
              <w:rPr>
                <w:rFonts w:ascii="Arial" w:hAnsi="Arial" w:cs="Arial"/>
                <w:b/>
                <w:sz w:val="24"/>
                <w:szCs w:val="24"/>
              </w:rPr>
              <w:t xml:space="preserve">             Total                                                                  </w:t>
            </w:r>
          </w:p>
        </w:tc>
        <w:tc>
          <w:tcPr>
            <w:tcW w:w="1588" w:type="dxa"/>
          </w:tcPr>
          <w:p w14:paraId="5844E942" w14:textId="291AFDD5" w:rsidR="00CE7AD4" w:rsidRPr="000D756E" w:rsidRDefault="6A280362" w:rsidP="00CE7AD4">
            <w:pPr>
              <w:tabs>
                <w:tab w:val="right" w:pos="1168"/>
              </w:tabs>
              <w:jc w:val="right"/>
              <w:rPr>
                <w:rFonts w:ascii="Arial" w:hAnsi="Arial" w:cs="Arial"/>
                <w:b/>
                <w:bCs/>
                <w:sz w:val="24"/>
                <w:szCs w:val="24"/>
              </w:rPr>
            </w:pPr>
            <w:r w:rsidRPr="42AC12F0">
              <w:rPr>
                <w:rFonts w:ascii="Arial" w:hAnsi="Arial" w:cs="Arial"/>
                <w:b/>
                <w:bCs/>
                <w:sz w:val="24"/>
                <w:szCs w:val="24"/>
              </w:rPr>
              <w:t>1,812</w:t>
            </w:r>
          </w:p>
        </w:tc>
        <w:tc>
          <w:tcPr>
            <w:tcW w:w="1388" w:type="dxa"/>
          </w:tcPr>
          <w:p w14:paraId="500B08BD" w14:textId="0B8953F5" w:rsidR="00CE7AD4" w:rsidRPr="000D756E" w:rsidRDefault="00CE7AD4" w:rsidP="00CE7AD4">
            <w:pPr>
              <w:tabs>
                <w:tab w:val="right" w:pos="1168"/>
              </w:tabs>
              <w:jc w:val="right"/>
              <w:rPr>
                <w:rFonts w:ascii="Arial" w:hAnsi="Arial" w:cs="Arial"/>
                <w:b/>
                <w:sz w:val="24"/>
                <w:szCs w:val="24"/>
              </w:rPr>
            </w:pPr>
            <w:r w:rsidRPr="000D756E">
              <w:rPr>
                <w:rFonts w:ascii="Arial" w:hAnsi="Arial" w:cs="Arial"/>
                <w:b/>
                <w:bCs/>
                <w:sz w:val="24"/>
                <w:szCs w:val="24"/>
              </w:rPr>
              <w:t>2,377</w:t>
            </w:r>
          </w:p>
        </w:tc>
      </w:tr>
    </w:tbl>
    <w:p w14:paraId="6A0668C9" w14:textId="04B74697" w:rsidR="1E428E45" w:rsidRPr="000D756E" w:rsidRDefault="1E428E45" w:rsidP="1E428E45">
      <w:pPr>
        <w:rPr>
          <w:rFonts w:ascii="Arial" w:hAnsi="Arial" w:cs="Arial"/>
          <w:b/>
          <w:bCs/>
          <w:sz w:val="24"/>
          <w:szCs w:val="24"/>
        </w:rPr>
      </w:pPr>
    </w:p>
    <w:p w14:paraId="0B9799AC" w14:textId="07CCCC12" w:rsidR="002544DF" w:rsidRPr="000D756E" w:rsidRDefault="002544DF" w:rsidP="001C227A">
      <w:pPr>
        <w:numPr>
          <w:ilvl w:val="0"/>
          <w:numId w:val="15"/>
        </w:numPr>
        <w:rPr>
          <w:rFonts w:ascii="Arial" w:hAnsi="Arial" w:cs="Arial"/>
          <w:b/>
          <w:sz w:val="24"/>
          <w:szCs w:val="24"/>
        </w:rPr>
      </w:pPr>
      <w:r w:rsidRPr="000D756E">
        <w:rPr>
          <w:rFonts w:ascii="Arial" w:hAnsi="Arial" w:cs="Arial"/>
          <w:b/>
          <w:sz w:val="24"/>
          <w:szCs w:val="24"/>
        </w:rPr>
        <w:t>CASH AND CASH EQUIVALENTS</w:t>
      </w:r>
      <w:r w:rsidR="00A07B6D" w:rsidRPr="000D756E">
        <w:rPr>
          <w:rFonts w:ascii="Arial" w:hAnsi="Arial" w:cs="Arial"/>
          <w:b/>
          <w:sz w:val="24"/>
          <w:szCs w:val="24"/>
        </w:rPr>
        <w:t xml:space="preserve">   </w:t>
      </w:r>
      <w:r w:rsidR="003324BD" w:rsidRPr="000D756E">
        <w:rPr>
          <w:rFonts w:ascii="Arial" w:hAnsi="Arial" w:cs="Arial"/>
          <w:b/>
          <w:sz w:val="24"/>
          <w:szCs w:val="24"/>
        </w:rPr>
        <w:t xml:space="preserve"> </w:t>
      </w:r>
    </w:p>
    <w:p w14:paraId="51EF08BE" w14:textId="77777777" w:rsidR="002544DF" w:rsidRPr="000D756E" w:rsidRDefault="002544DF" w:rsidP="002A7C01">
      <w:pPr>
        <w:rPr>
          <w:rFonts w:ascii="Arial" w:hAnsi="Arial" w:cs="Arial"/>
          <w:sz w:val="24"/>
          <w:szCs w:val="24"/>
        </w:rPr>
      </w:pPr>
    </w:p>
    <w:p w14:paraId="5A2F2FC6" w14:textId="77777777" w:rsidR="002544DF" w:rsidRPr="000D756E" w:rsidRDefault="002544DF" w:rsidP="002A7C01">
      <w:pPr>
        <w:rPr>
          <w:rFonts w:ascii="Arial" w:hAnsi="Arial" w:cs="Arial"/>
          <w:sz w:val="24"/>
          <w:szCs w:val="24"/>
        </w:rPr>
      </w:pPr>
      <w:r w:rsidRPr="000D756E">
        <w:rPr>
          <w:rFonts w:ascii="Arial" w:hAnsi="Arial" w:cs="Arial"/>
          <w:sz w:val="24"/>
          <w:szCs w:val="24"/>
        </w:rPr>
        <w:t>The balance of cash and cash equivalents is made up of the following elements:</w:t>
      </w:r>
    </w:p>
    <w:p w14:paraId="5F489518" w14:textId="77777777" w:rsidR="002544DF" w:rsidRPr="000D756E" w:rsidRDefault="002544DF" w:rsidP="002A7C01">
      <w:pPr>
        <w:rPr>
          <w:rFonts w:ascii="Arial" w:hAnsi="Arial" w:cs="Arial"/>
          <w:sz w:val="24"/>
          <w:szCs w:val="24"/>
        </w:rPr>
      </w:pPr>
    </w:p>
    <w:tbl>
      <w:tblPr>
        <w:tblW w:w="9180" w:type="dxa"/>
        <w:tblLayout w:type="fixed"/>
        <w:tblLook w:val="01E0" w:firstRow="1" w:lastRow="1" w:firstColumn="1" w:lastColumn="1" w:noHBand="0" w:noVBand="0"/>
      </w:tblPr>
      <w:tblGrid>
        <w:gridCol w:w="6204"/>
        <w:gridCol w:w="1417"/>
        <w:gridCol w:w="1559"/>
      </w:tblGrid>
      <w:tr w:rsidR="006329E6" w:rsidRPr="000D756E" w14:paraId="733B3BCB" w14:textId="77777777" w:rsidTr="2DDE5693">
        <w:tc>
          <w:tcPr>
            <w:tcW w:w="6204" w:type="dxa"/>
            <w:tcBorders>
              <w:top w:val="single" w:sz="4" w:space="0" w:color="auto"/>
              <w:left w:val="single" w:sz="4" w:space="0" w:color="auto"/>
              <w:bottom w:val="single" w:sz="4" w:space="0" w:color="auto"/>
              <w:right w:val="single" w:sz="4" w:space="0" w:color="auto"/>
            </w:tcBorders>
          </w:tcPr>
          <w:p w14:paraId="7E8CB592" w14:textId="77777777" w:rsidR="001F52DE" w:rsidRPr="000D756E" w:rsidRDefault="001F52DE" w:rsidP="001F52DE">
            <w:pPr>
              <w:rPr>
                <w:rFonts w:ascii="Arial" w:hAnsi="Arial" w:cs="Arial"/>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71EABE7" w14:textId="77777777" w:rsidR="001F52DE" w:rsidRPr="000D756E" w:rsidRDefault="001F52DE" w:rsidP="001F52DE">
            <w:pPr>
              <w:jc w:val="right"/>
              <w:rPr>
                <w:rFonts w:ascii="Arial" w:hAnsi="Arial" w:cs="Arial"/>
                <w:b/>
                <w:sz w:val="24"/>
                <w:szCs w:val="24"/>
              </w:rPr>
            </w:pPr>
            <w:r w:rsidRPr="000D756E">
              <w:rPr>
                <w:rFonts w:ascii="Arial" w:hAnsi="Arial" w:cs="Arial"/>
                <w:b/>
                <w:sz w:val="24"/>
                <w:szCs w:val="24"/>
              </w:rPr>
              <w:t xml:space="preserve">31 March </w:t>
            </w:r>
          </w:p>
          <w:p w14:paraId="6EB5C582" w14:textId="31F69C3E" w:rsidR="001F52DE" w:rsidRPr="000D756E" w:rsidRDefault="001F52DE" w:rsidP="001F52DE">
            <w:pPr>
              <w:jc w:val="right"/>
              <w:rPr>
                <w:rFonts w:ascii="Arial" w:hAnsi="Arial" w:cs="Arial"/>
                <w:b/>
                <w:sz w:val="24"/>
                <w:szCs w:val="24"/>
              </w:rPr>
            </w:pPr>
            <w:r w:rsidRPr="000D756E">
              <w:rPr>
                <w:rFonts w:ascii="Arial" w:hAnsi="Arial" w:cs="Arial"/>
                <w:b/>
                <w:sz w:val="24"/>
                <w:szCs w:val="24"/>
              </w:rPr>
              <w:t>202</w:t>
            </w:r>
            <w:r w:rsidR="00CE7AD4">
              <w:rPr>
                <w:rFonts w:ascii="Arial" w:hAnsi="Arial" w:cs="Arial"/>
                <w:b/>
                <w:sz w:val="24"/>
                <w:szCs w:val="24"/>
              </w:rPr>
              <w:t>5</w:t>
            </w:r>
          </w:p>
          <w:p w14:paraId="4E671186" w14:textId="77777777" w:rsidR="001F52DE" w:rsidRPr="000D756E" w:rsidRDefault="001F52DE" w:rsidP="001F52DE">
            <w:pPr>
              <w:jc w:val="right"/>
              <w:rPr>
                <w:rFonts w:ascii="Arial" w:hAnsi="Arial" w:cs="Arial"/>
                <w:b/>
                <w:sz w:val="24"/>
                <w:szCs w:val="24"/>
              </w:rPr>
            </w:pPr>
            <w:r w:rsidRPr="000D756E">
              <w:rPr>
                <w:rFonts w:ascii="Arial" w:hAnsi="Arial" w:cs="Arial"/>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14:paraId="0E728260" w14:textId="77777777" w:rsidR="001F52DE" w:rsidRPr="000D756E" w:rsidRDefault="001F52DE" w:rsidP="001F52DE">
            <w:pPr>
              <w:jc w:val="right"/>
              <w:rPr>
                <w:rFonts w:ascii="Arial" w:hAnsi="Arial" w:cs="Arial"/>
                <w:b/>
                <w:sz w:val="24"/>
                <w:szCs w:val="24"/>
              </w:rPr>
            </w:pPr>
            <w:r w:rsidRPr="000D756E">
              <w:rPr>
                <w:rFonts w:ascii="Arial" w:hAnsi="Arial" w:cs="Arial"/>
                <w:b/>
                <w:sz w:val="24"/>
                <w:szCs w:val="24"/>
              </w:rPr>
              <w:t xml:space="preserve">31 March </w:t>
            </w:r>
          </w:p>
          <w:p w14:paraId="5A00688D" w14:textId="68A1101B" w:rsidR="001F52DE" w:rsidRPr="000D756E" w:rsidRDefault="001F52DE" w:rsidP="001F52DE">
            <w:pPr>
              <w:jc w:val="right"/>
              <w:rPr>
                <w:rFonts w:ascii="Arial" w:hAnsi="Arial" w:cs="Arial"/>
                <w:b/>
                <w:sz w:val="24"/>
                <w:szCs w:val="24"/>
              </w:rPr>
            </w:pPr>
            <w:r w:rsidRPr="000D756E">
              <w:rPr>
                <w:rFonts w:ascii="Arial" w:hAnsi="Arial" w:cs="Arial"/>
                <w:b/>
                <w:sz w:val="24"/>
                <w:szCs w:val="24"/>
              </w:rPr>
              <w:t>202</w:t>
            </w:r>
            <w:r w:rsidR="00CE7AD4">
              <w:rPr>
                <w:rFonts w:ascii="Arial" w:hAnsi="Arial" w:cs="Arial"/>
                <w:b/>
                <w:sz w:val="24"/>
                <w:szCs w:val="24"/>
              </w:rPr>
              <w:t>4</w:t>
            </w:r>
          </w:p>
          <w:p w14:paraId="151C216E" w14:textId="5CB7D498" w:rsidR="001F52DE" w:rsidRPr="000D756E" w:rsidRDefault="001F52DE" w:rsidP="001F52DE">
            <w:pPr>
              <w:jc w:val="right"/>
              <w:rPr>
                <w:rFonts w:ascii="Arial" w:hAnsi="Arial" w:cs="Arial"/>
                <w:b/>
                <w:sz w:val="24"/>
                <w:szCs w:val="24"/>
              </w:rPr>
            </w:pPr>
            <w:r w:rsidRPr="000D756E">
              <w:rPr>
                <w:rFonts w:ascii="Arial" w:hAnsi="Arial" w:cs="Arial"/>
                <w:b/>
                <w:sz w:val="24"/>
                <w:szCs w:val="24"/>
              </w:rPr>
              <w:t>£’000</w:t>
            </w:r>
          </w:p>
        </w:tc>
      </w:tr>
      <w:tr w:rsidR="00CE7AD4" w:rsidRPr="000D756E" w14:paraId="5428FBB8" w14:textId="77777777" w:rsidTr="2DDE5693">
        <w:tc>
          <w:tcPr>
            <w:tcW w:w="6204" w:type="dxa"/>
            <w:tcBorders>
              <w:top w:val="single" w:sz="4" w:space="0" w:color="auto"/>
              <w:left w:val="single" w:sz="4" w:space="0" w:color="auto"/>
              <w:bottom w:val="single" w:sz="4" w:space="0" w:color="auto"/>
              <w:right w:val="single" w:sz="4" w:space="0" w:color="auto"/>
            </w:tcBorders>
          </w:tcPr>
          <w:p w14:paraId="21163CB8" w14:textId="77777777" w:rsidR="00CE7AD4" w:rsidRPr="000D756E" w:rsidRDefault="00CE7AD4" w:rsidP="00CE7AD4">
            <w:pPr>
              <w:rPr>
                <w:rFonts w:ascii="Arial" w:hAnsi="Arial" w:cs="Arial"/>
                <w:sz w:val="24"/>
                <w:szCs w:val="24"/>
              </w:rPr>
            </w:pPr>
            <w:r w:rsidRPr="000D756E">
              <w:rPr>
                <w:rFonts w:ascii="Arial" w:hAnsi="Arial" w:cs="Arial"/>
                <w:sz w:val="24"/>
                <w:szCs w:val="24"/>
              </w:rPr>
              <w:t xml:space="preserve">Bank current accounts </w:t>
            </w:r>
          </w:p>
        </w:tc>
        <w:tc>
          <w:tcPr>
            <w:tcW w:w="1417" w:type="dxa"/>
            <w:tcBorders>
              <w:top w:val="single" w:sz="4" w:space="0" w:color="auto"/>
              <w:left w:val="single" w:sz="4" w:space="0" w:color="auto"/>
              <w:bottom w:val="single" w:sz="4" w:space="0" w:color="auto"/>
              <w:right w:val="single" w:sz="4" w:space="0" w:color="auto"/>
            </w:tcBorders>
          </w:tcPr>
          <w:p w14:paraId="6D241637" w14:textId="617F8E48" w:rsidR="00CE7AD4" w:rsidRPr="000D756E" w:rsidRDefault="00912443" w:rsidP="00CE7AD4">
            <w:pPr>
              <w:jc w:val="right"/>
              <w:rPr>
                <w:rFonts w:ascii="Arial" w:hAnsi="Arial" w:cs="Arial"/>
                <w:sz w:val="24"/>
                <w:szCs w:val="24"/>
              </w:rPr>
            </w:pPr>
            <w:r>
              <w:rPr>
                <w:rFonts w:ascii="Arial" w:hAnsi="Arial" w:cs="Arial"/>
                <w:sz w:val="24"/>
                <w:szCs w:val="24"/>
              </w:rPr>
              <w:t>-</w:t>
            </w:r>
            <w:r w:rsidR="01036D99" w:rsidRPr="2DDE5693">
              <w:rPr>
                <w:rFonts w:ascii="Arial" w:hAnsi="Arial" w:cs="Arial"/>
                <w:sz w:val="24"/>
                <w:szCs w:val="24"/>
              </w:rPr>
              <w:t>113</w:t>
            </w:r>
          </w:p>
        </w:tc>
        <w:tc>
          <w:tcPr>
            <w:tcW w:w="1559" w:type="dxa"/>
            <w:tcBorders>
              <w:top w:val="single" w:sz="4" w:space="0" w:color="auto"/>
              <w:left w:val="single" w:sz="4" w:space="0" w:color="auto"/>
              <w:bottom w:val="single" w:sz="4" w:space="0" w:color="auto"/>
              <w:right w:val="single" w:sz="4" w:space="0" w:color="auto"/>
            </w:tcBorders>
          </w:tcPr>
          <w:p w14:paraId="1C751EBD" w14:textId="0029A0C0" w:rsidR="00CE7AD4" w:rsidRPr="000D756E" w:rsidRDefault="00CE7AD4" w:rsidP="00CE7AD4">
            <w:pPr>
              <w:jc w:val="right"/>
              <w:rPr>
                <w:rFonts w:ascii="Arial" w:hAnsi="Arial" w:cs="Arial"/>
                <w:sz w:val="24"/>
                <w:szCs w:val="24"/>
              </w:rPr>
            </w:pPr>
            <w:r w:rsidRPr="000D756E">
              <w:rPr>
                <w:rFonts w:ascii="Arial" w:hAnsi="Arial" w:cs="Arial"/>
                <w:sz w:val="24"/>
                <w:szCs w:val="24"/>
              </w:rPr>
              <w:t>12</w:t>
            </w:r>
          </w:p>
        </w:tc>
      </w:tr>
      <w:tr w:rsidR="00CE7AD4" w:rsidRPr="000D756E" w14:paraId="0D4E2907" w14:textId="77777777" w:rsidTr="2DDE5693">
        <w:tc>
          <w:tcPr>
            <w:tcW w:w="6204" w:type="dxa"/>
            <w:tcBorders>
              <w:top w:val="single" w:sz="4" w:space="0" w:color="auto"/>
              <w:left w:val="single" w:sz="4" w:space="0" w:color="auto"/>
              <w:bottom w:val="single" w:sz="4" w:space="0" w:color="auto"/>
              <w:right w:val="single" w:sz="4" w:space="0" w:color="auto"/>
            </w:tcBorders>
          </w:tcPr>
          <w:p w14:paraId="434DB17D" w14:textId="77777777" w:rsidR="00CE7AD4" w:rsidRPr="000D756E" w:rsidRDefault="00CE7AD4" w:rsidP="00CE7AD4">
            <w:pPr>
              <w:rPr>
                <w:rFonts w:ascii="Arial" w:hAnsi="Arial" w:cs="Arial"/>
                <w:sz w:val="24"/>
                <w:szCs w:val="24"/>
              </w:rPr>
            </w:pPr>
            <w:r w:rsidRPr="000D756E">
              <w:rPr>
                <w:rFonts w:ascii="Arial" w:hAnsi="Arial" w:cs="Arial"/>
                <w:sz w:val="24"/>
                <w:szCs w:val="24"/>
              </w:rPr>
              <w:t>Short term deposits with bank</w:t>
            </w:r>
          </w:p>
        </w:tc>
        <w:tc>
          <w:tcPr>
            <w:tcW w:w="1417" w:type="dxa"/>
            <w:tcBorders>
              <w:top w:val="single" w:sz="4" w:space="0" w:color="auto"/>
              <w:left w:val="single" w:sz="4" w:space="0" w:color="auto"/>
              <w:bottom w:val="single" w:sz="4" w:space="0" w:color="auto"/>
              <w:right w:val="single" w:sz="4" w:space="0" w:color="auto"/>
            </w:tcBorders>
          </w:tcPr>
          <w:p w14:paraId="169ED49D" w14:textId="04AFB37E" w:rsidR="00CE7AD4" w:rsidRPr="000D756E" w:rsidRDefault="00D768BB" w:rsidP="00CE7AD4">
            <w:pPr>
              <w:tabs>
                <w:tab w:val="center" w:pos="600"/>
                <w:tab w:val="right" w:pos="1201"/>
              </w:tabs>
              <w:jc w:val="right"/>
              <w:rPr>
                <w:rFonts w:ascii="Arial" w:hAnsi="Arial" w:cs="Arial"/>
                <w:sz w:val="24"/>
                <w:szCs w:val="24"/>
              </w:rPr>
            </w:pPr>
            <w:r>
              <w:rPr>
                <w:rFonts w:ascii="Arial" w:hAnsi="Arial" w:cs="Arial"/>
                <w:sz w:val="24"/>
                <w:szCs w:val="24"/>
              </w:rPr>
              <w:t>4</w:t>
            </w:r>
            <w:r w:rsidR="342A2706" w:rsidRPr="2DDE5693">
              <w:rPr>
                <w:rFonts w:ascii="Arial" w:hAnsi="Arial" w:cs="Arial"/>
                <w:sz w:val="24"/>
                <w:szCs w:val="24"/>
              </w:rPr>
              <w:t>,500</w:t>
            </w:r>
          </w:p>
        </w:tc>
        <w:tc>
          <w:tcPr>
            <w:tcW w:w="1559" w:type="dxa"/>
            <w:tcBorders>
              <w:top w:val="single" w:sz="4" w:space="0" w:color="auto"/>
              <w:left w:val="single" w:sz="4" w:space="0" w:color="auto"/>
              <w:bottom w:val="single" w:sz="4" w:space="0" w:color="auto"/>
              <w:right w:val="single" w:sz="4" w:space="0" w:color="auto"/>
            </w:tcBorders>
          </w:tcPr>
          <w:p w14:paraId="664F5A75" w14:textId="5B97E701" w:rsidR="00CE7AD4" w:rsidRPr="000D756E" w:rsidRDefault="00CE7AD4" w:rsidP="00CE7AD4">
            <w:pPr>
              <w:jc w:val="right"/>
              <w:rPr>
                <w:rFonts w:ascii="Arial" w:hAnsi="Arial" w:cs="Arial"/>
                <w:sz w:val="24"/>
                <w:szCs w:val="24"/>
              </w:rPr>
            </w:pPr>
            <w:r w:rsidRPr="000D756E">
              <w:rPr>
                <w:rFonts w:ascii="Arial" w:hAnsi="Arial" w:cs="Arial"/>
                <w:sz w:val="24"/>
                <w:szCs w:val="24"/>
              </w:rPr>
              <w:t>6,000</w:t>
            </w:r>
          </w:p>
        </w:tc>
      </w:tr>
      <w:tr w:rsidR="00CE7AD4" w:rsidRPr="000D756E" w14:paraId="03AA8463" w14:textId="77777777" w:rsidTr="2DDE5693">
        <w:tc>
          <w:tcPr>
            <w:tcW w:w="6204" w:type="dxa"/>
            <w:tcBorders>
              <w:top w:val="single" w:sz="4" w:space="0" w:color="auto"/>
              <w:left w:val="single" w:sz="4" w:space="0" w:color="auto"/>
              <w:bottom w:val="single" w:sz="4" w:space="0" w:color="auto"/>
              <w:right w:val="single" w:sz="4" w:space="0" w:color="auto"/>
            </w:tcBorders>
          </w:tcPr>
          <w:p w14:paraId="0A88A1F3" w14:textId="77777777" w:rsidR="00CE7AD4" w:rsidRPr="000D756E" w:rsidRDefault="00CE7AD4" w:rsidP="00CE7AD4">
            <w:pPr>
              <w:rPr>
                <w:rFonts w:ascii="Arial" w:hAnsi="Arial" w:cs="Arial"/>
                <w:sz w:val="24"/>
                <w:szCs w:val="24"/>
              </w:rPr>
            </w:pPr>
            <w:r w:rsidRPr="000D756E">
              <w:rPr>
                <w:rFonts w:ascii="Arial" w:hAnsi="Arial" w:cs="Arial"/>
                <w:sz w:val="24"/>
                <w:szCs w:val="24"/>
              </w:rPr>
              <w:t xml:space="preserve">Short term deposits with local authorities                                              </w:t>
            </w:r>
          </w:p>
        </w:tc>
        <w:tc>
          <w:tcPr>
            <w:tcW w:w="1417" w:type="dxa"/>
            <w:tcBorders>
              <w:top w:val="single" w:sz="4" w:space="0" w:color="auto"/>
              <w:left w:val="single" w:sz="4" w:space="0" w:color="auto"/>
              <w:bottom w:val="single" w:sz="4" w:space="0" w:color="auto"/>
              <w:right w:val="single" w:sz="4" w:space="0" w:color="auto"/>
            </w:tcBorders>
          </w:tcPr>
          <w:p w14:paraId="36B9A7CB" w14:textId="1C3CBD61" w:rsidR="00CE7AD4" w:rsidRPr="000D756E" w:rsidRDefault="7EC6FB20" w:rsidP="00CE7AD4">
            <w:pPr>
              <w:jc w:val="right"/>
              <w:rPr>
                <w:rFonts w:ascii="Arial" w:hAnsi="Arial" w:cs="Arial"/>
                <w:sz w:val="24"/>
                <w:szCs w:val="24"/>
              </w:rPr>
            </w:pPr>
            <w:r w:rsidRPr="2DDE5693">
              <w:rPr>
                <w:rFonts w:ascii="Arial" w:hAnsi="Arial" w:cs="Arial"/>
                <w:sz w:val="24"/>
                <w:szCs w:val="24"/>
              </w:rPr>
              <w:t>4,000</w:t>
            </w:r>
          </w:p>
        </w:tc>
        <w:tc>
          <w:tcPr>
            <w:tcW w:w="1559" w:type="dxa"/>
            <w:tcBorders>
              <w:top w:val="single" w:sz="4" w:space="0" w:color="auto"/>
              <w:left w:val="single" w:sz="4" w:space="0" w:color="auto"/>
              <w:bottom w:val="single" w:sz="4" w:space="0" w:color="auto"/>
              <w:right w:val="single" w:sz="4" w:space="0" w:color="auto"/>
            </w:tcBorders>
          </w:tcPr>
          <w:p w14:paraId="0B66D949" w14:textId="6D85ECB3" w:rsidR="00CE7AD4" w:rsidRPr="000D756E" w:rsidRDefault="00CE7AD4" w:rsidP="00CE7AD4">
            <w:pPr>
              <w:jc w:val="right"/>
              <w:rPr>
                <w:rFonts w:ascii="Arial" w:hAnsi="Arial" w:cs="Arial"/>
                <w:sz w:val="24"/>
                <w:szCs w:val="24"/>
              </w:rPr>
            </w:pPr>
          </w:p>
        </w:tc>
      </w:tr>
      <w:tr w:rsidR="00CE7AD4" w:rsidRPr="000D756E" w14:paraId="2C0F8FF8" w14:textId="77777777" w:rsidTr="2DDE5693">
        <w:tc>
          <w:tcPr>
            <w:tcW w:w="6204" w:type="dxa"/>
            <w:tcBorders>
              <w:top w:val="single" w:sz="4" w:space="0" w:color="auto"/>
              <w:left w:val="single" w:sz="4" w:space="0" w:color="auto"/>
              <w:bottom w:val="single" w:sz="4" w:space="0" w:color="auto"/>
              <w:right w:val="single" w:sz="4" w:space="0" w:color="auto"/>
            </w:tcBorders>
          </w:tcPr>
          <w:p w14:paraId="3FA58CA7" w14:textId="77777777" w:rsidR="00CE7AD4" w:rsidRPr="000D756E" w:rsidRDefault="00CE7AD4" w:rsidP="00CE7AD4">
            <w:pPr>
              <w:rPr>
                <w:rFonts w:ascii="Arial" w:hAnsi="Arial" w:cs="Arial"/>
                <w:sz w:val="24"/>
                <w:szCs w:val="24"/>
              </w:rPr>
            </w:pPr>
            <w:r w:rsidRPr="000D756E">
              <w:rPr>
                <w:rFonts w:ascii="Arial" w:hAnsi="Arial" w:cs="Arial"/>
                <w:b/>
                <w:sz w:val="24"/>
                <w:szCs w:val="24"/>
              </w:rPr>
              <w:t>Total</w:t>
            </w:r>
          </w:p>
        </w:tc>
        <w:tc>
          <w:tcPr>
            <w:tcW w:w="1417" w:type="dxa"/>
            <w:tcBorders>
              <w:top w:val="single" w:sz="4" w:space="0" w:color="auto"/>
              <w:left w:val="single" w:sz="4" w:space="0" w:color="auto"/>
              <w:bottom w:val="single" w:sz="4" w:space="0" w:color="auto"/>
              <w:right w:val="single" w:sz="4" w:space="0" w:color="auto"/>
            </w:tcBorders>
          </w:tcPr>
          <w:p w14:paraId="4D11AF78" w14:textId="698C32CD" w:rsidR="00CE7AD4" w:rsidRPr="000D756E" w:rsidRDefault="00B80AF7" w:rsidP="2DDE5693">
            <w:pPr>
              <w:jc w:val="right"/>
              <w:rPr>
                <w:rFonts w:ascii="Arial" w:hAnsi="Arial" w:cs="Arial"/>
                <w:b/>
                <w:bCs/>
                <w:sz w:val="24"/>
                <w:szCs w:val="24"/>
              </w:rPr>
            </w:pPr>
            <w:r>
              <w:rPr>
                <w:rFonts w:ascii="Arial" w:hAnsi="Arial" w:cs="Arial"/>
                <w:b/>
                <w:bCs/>
                <w:sz w:val="24"/>
                <w:szCs w:val="24"/>
              </w:rPr>
              <w:t>8,387</w:t>
            </w:r>
          </w:p>
        </w:tc>
        <w:tc>
          <w:tcPr>
            <w:tcW w:w="1559" w:type="dxa"/>
            <w:tcBorders>
              <w:top w:val="single" w:sz="4" w:space="0" w:color="auto"/>
              <w:left w:val="single" w:sz="4" w:space="0" w:color="auto"/>
              <w:bottom w:val="single" w:sz="4" w:space="0" w:color="auto"/>
              <w:right w:val="single" w:sz="4" w:space="0" w:color="auto"/>
            </w:tcBorders>
          </w:tcPr>
          <w:p w14:paraId="3A856F67" w14:textId="4FEBE2AA" w:rsidR="00CE7AD4" w:rsidRPr="000D756E" w:rsidRDefault="00CE7AD4" w:rsidP="00CE7AD4">
            <w:pPr>
              <w:jc w:val="right"/>
              <w:rPr>
                <w:rFonts w:ascii="Arial" w:hAnsi="Arial" w:cs="Arial"/>
                <w:b/>
                <w:sz w:val="24"/>
                <w:szCs w:val="24"/>
              </w:rPr>
            </w:pPr>
            <w:r w:rsidRPr="000D756E">
              <w:rPr>
                <w:rFonts w:ascii="Arial" w:hAnsi="Arial" w:cs="Arial"/>
                <w:b/>
                <w:sz w:val="24"/>
                <w:szCs w:val="24"/>
              </w:rPr>
              <w:t>6,012</w:t>
            </w:r>
          </w:p>
        </w:tc>
      </w:tr>
    </w:tbl>
    <w:p w14:paraId="390C7E61" w14:textId="77777777" w:rsidR="00E206C0" w:rsidRPr="000D756E" w:rsidRDefault="00E206C0">
      <w:r w:rsidRPr="000D756E">
        <w:br w:type="page"/>
      </w:r>
    </w:p>
    <w:p w14:paraId="222FA358" w14:textId="7EFE5175" w:rsidR="002544DF" w:rsidRPr="006E113D" w:rsidRDefault="002544DF" w:rsidP="001C227A">
      <w:pPr>
        <w:numPr>
          <w:ilvl w:val="0"/>
          <w:numId w:val="15"/>
        </w:numPr>
        <w:rPr>
          <w:rFonts w:ascii="Arial" w:hAnsi="Arial" w:cs="Arial"/>
          <w:sz w:val="24"/>
          <w:szCs w:val="24"/>
        </w:rPr>
      </w:pPr>
      <w:r w:rsidRPr="006E113D">
        <w:rPr>
          <w:rFonts w:ascii="Arial" w:hAnsi="Arial" w:cs="Arial"/>
          <w:b/>
          <w:sz w:val="24"/>
          <w:szCs w:val="24"/>
        </w:rPr>
        <w:lastRenderedPageBreak/>
        <w:t xml:space="preserve">CREDITORS  </w:t>
      </w:r>
    </w:p>
    <w:p w14:paraId="189A21A4" w14:textId="77777777" w:rsidR="00CC213C" w:rsidRPr="000D756E" w:rsidRDefault="00CC213C" w:rsidP="002A7C01">
      <w:pPr>
        <w:pStyle w:val="BodyText3"/>
        <w:jc w:val="left"/>
        <w:rPr>
          <w:rFonts w:ascii="Arial" w:hAnsi="Arial" w:cs="Arial"/>
          <w:sz w:val="24"/>
          <w:szCs w:val="24"/>
        </w:rPr>
      </w:pPr>
    </w:p>
    <w:p w14:paraId="6C094CAB" w14:textId="77777777" w:rsidR="002544DF" w:rsidRPr="000D756E" w:rsidRDefault="002544DF" w:rsidP="002A7C01">
      <w:pPr>
        <w:pStyle w:val="BodyText3"/>
        <w:jc w:val="left"/>
        <w:rPr>
          <w:rFonts w:ascii="Arial" w:hAnsi="Arial" w:cs="Arial"/>
          <w:sz w:val="24"/>
          <w:szCs w:val="24"/>
        </w:rPr>
      </w:pPr>
      <w:r w:rsidRPr="000D756E">
        <w:rPr>
          <w:rFonts w:ascii="Arial" w:hAnsi="Arial" w:cs="Arial"/>
          <w:sz w:val="24"/>
          <w:szCs w:val="24"/>
        </w:rPr>
        <w:t>These represent sums owed by the Authority for supplies and services provided before 31 March in the relevant year but still outstanding at that date.</w:t>
      </w:r>
    </w:p>
    <w:p w14:paraId="3BCF2FE3" w14:textId="77777777" w:rsidR="002544DF" w:rsidRPr="000D756E" w:rsidRDefault="002544DF" w:rsidP="002A7C01">
      <w:pPr>
        <w:rPr>
          <w:rFonts w:ascii="Arial" w:hAnsi="Arial" w:cs="Arial"/>
          <w:b/>
          <w:sz w:val="24"/>
          <w:szCs w:val="24"/>
        </w:rPr>
      </w:pPr>
    </w:p>
    <w:tbl>
      <w:tblPr>
        <w:tblW w:w="9039" w:type="dxa"/>
        <w:tblLook w:val="01E0" w:firstRow="1" w:lastRow="1" w:firstColumn="1" w:lastColumn="1" w:noHBand="0" w:noVBand="0"/>
      </w:tblPr>
      <w:tblGrid>
        <w:gridCol w:w="5920"/>
        <w:gridCol w:w="1559"/>
        <w:gridCol w:w="1560"/>
      </w:tblGrid>
      <w:tr w:rsidR="006329E6" w:rsidRPr="000D756E" w14:paraId="5824059E" w14:textId="77777777" w:rsidTr="40CEB4A7">
        <w:tc>
          <w:tcPr>
            <w:tcW w:w="5920" w:type="dxa"/>
            <w:tcBorders>
              <w:top w:val="single" w:sz="4" w:space="0" w:color="auto"/>
              <w:left w:val="single" w:sz="4" w:space="0" w:color="auto"/>
              <w:bottom w:val="single" w:sz="4" w:space="0" w:color="auto"/>
              <w:right w:val="single" w:sz="4" w:space="0" w:color="auto"/>
            </w:tcBorders>
          </w:tcPr>
          <w:p w14:paraId="166CE35F" w14:textId="77777777" w:rsidR="00DF1B70" w:rsidRPr="000D756E" w:rsidRDefault="00DF1B70" w:rsidP="00DF1B70">
            <w:pPr>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A5B670F" w14:textId="481CD953" w:rsidR="00DF1B70" w:rsidRPr="000D756E" w:rsidRDefault="00DF1B70" w:rsidP="00DF1B70">
            <w:pPr>
              <w:jc w:val="right"/>
              <w:rPr>
                <w:rFonts w:ascii="Arial" w:hAnsi="Arial" w:cs="Arial"/>
                <w:b/>
                <w:sz w:val="24"/>
                <w:szCs w:val="24"/>
              </w:rPr>
            </w:pPr>
            <w:r w:rsidRPr="000D756E">
              <w:rPr>
                <w:rFonts w:ascii="Arial" w:hAnsi="Arial" w:cs="Arial"/>
                <w:b/>
                <w:sz w:val="24"/>
                <w:szCs w:val="24"/>
              </w:rPr>
              <w:t>31 March 202</w:t>
            </w:r>
            <w:r w:rsidR="00CE7AD4">
              <w:rPr>
                <w:rFonts w:ascii="Arial" w:hAnsi="Arial" w:cs="Arial"/>
                <w:b/>
                <w:sz w:val="24"/>
                <w:szCs w:val="24"/>
              </w:rPr>
              <w:t>5</w:t>
            </w:r>
          </w:p>
          <w:p w14:paraId="4F8DA974" w14:textId="77777777" w:rsidR="00DF1B70" w:rsidRPr="000D756E" w:rsidRDefault="00DF1B70" w:rsidP="00DF1B70">
            <w:pPr>
              <w:jc w:val="right"/>
              <w:rPr>
                <w:rFonts w:ascii="Arial" w:hAnsi="Arial" w:cs="Arial"/>
                <w:b/>
                <w:sz w:val="24"/>
                <w:szCs w:val="24"/>
              </w:rPr>
            </w:pPr>
            <w:r w:rsidRPr="000D756E">
              <w:rPr>
                <w:rFonts w:ascii="Arial" w:hAnsi="Arial" w:cs="Arial"/>
                <w:b/>
                <w:sz w:val="24"/>
                <w:szCs w:val="24"/>
              </w:rPr>
              <w:t>£’000</w:t>
            </w:r>
          </w:p>
        </w:tc>
        <w:tc>
          <w:tcPr>
            <w:tcW w:w="1560" w:type="dxa"/>
            <w:tcBorders>
              <w:top w:val="single" w:sz="4" w:space="0" w:color="auto"/>
              <w:left w:val="single" w:sz="4" w:space="0" w:color="auto"/>
              <w:bottom w:val="single" w:sz="4" w:space="0" w:color="auto"/>
              <w:right w:val="single" w:sz="4" w:space="0" w:color="auto"/>
            </w:tcBorders>
          </w:tcPr>
          <w:p w14:paraId="65C20067" w14:textId="07025D37" w:rsidR="00DF1B70" w:rsidRPr="000D756E" w:rsidRDefault="00DF1B70" w:rsidP="00DF1B70">
            <w:pPr>
              <w:jc w:val="right"/>
              <w:rPr>
                <w:rFonts w:ascii="Arial" w:hAnsi="Arial" w:cs="Arial"/>
                <w:b/>
                <w:sz w:val="24"/>
                <w:szCs w:val="24"/>
              </w:rPr>
            </w:pPr>
            <w:r w:rsidRPr="000D756E">
              <w:rPr>
                <w:rFonts w:ascii="Arial" w:hAnsi="Arial" w:cs="Arial"/>
                <w:b/>
                <w:sz w:val="24"/>
                <w:szCs w:val="24"/>
              </w:rPr>
              <w:t>31 March 202</w:t>
            </w:r>
            <w:r w:rsidR="00CE7AD4">
              <w:rPr>
                <w:rFonts w:ascii="Arial" w:hAnsi="Arial" w:cs="Arial"/>
                <w:b/>
                <w:sz w:val="24"/>
                <w:szCs w:val="24"/>
              </w:rPr>
              <w:t>4</w:t>
            </w:r>
          </w:p>
          <w:p w14:paraId="143F36BF" w14:textId="5E966CD9" w:rsidR="00DF1B70" w:rsidRPr="000D756E" w:rsidRDefault="00DF1B70" w:rsidP="00DF1B70">
            <w:pPr>
              <w:jc w:val="right"/>
              <w:rPr>
                <w:rFonts w:ascii="Arial" w:hAnsi="Arial" w:cs="Arial"/>
                <w:b/>
                <w:sz w:val="24"/>
                <w:szCs w:val="24"/>
              </w:rPr>
            </w:pPr>
            <w:r w:rsidRPr="000D756E">
              <w:rPr>
                <w:rFonts w:ascii="Arial" w:hAnsi="Arial" w:cs="Arial"/>
                <w:b/>
                <w:sz w:val="24"/>
                <w:szCs w:val="24"/>
              </w:rPr>
              <w:t>£’000</w:t>
            </w:r>
          </w:p>
        </w:tc>
      </w:tr>
      <w:tr w:rsidR="00CE7AD4" w:rsidRPr="000D756E" w14:paraId="79C3A726" w14:textId="77777777" w:rsidTr="40CEB4A7">
        <w:tc>
          <w:tcPr>
            <w:tcW w:w="5920" w:type="dxa"/>
            <w:tcBorders>
              <w:top w:val="single" w:sz="4" w:space="0" w:color="auto"/>
              <w:left w:val="single" w:sz="4" w:space="0" w:color="auto"/>
              <w:bottom w:val="single" w:sz="4" w:space="0" w:color="auto"/>
              <w:right w:val="single" w:sz="4" w:space="0" w:color="auto"/>
            </w:tcBorders>
          </w:tcPr>
          <w:p w14:paraId="78F85C21" w14:textId="77777777" w:rsidR="00CE7AD4" w:rsidRPr="000D756E" w:rsidRDefault="00CE7AD4" w:rsidP="00CE7AD4">
            <w:pPr>
              <w:rPr>
                <w:rFonts w:ascii="Arial" w:hAnsi="Arial" w:cs="Arial"/>
                <w:sz w:val="24"/>
                <w:szCs w:val="24"/>
              </w:rPr>
            </w:pPr>
            <w:r w:rsidRPr="000D756E">
              <w:rPr>
                <w:rFonts w:ascii="Arial" w:hAnsi="Arial" w:cs="Arial"/>
                <w:sz w:val="24"/>
                <w:szCs w:val="24"/>
              </w:rPr>
              <w:t>Central government bodies</w:t>
            </w:r>
          </w:p>
        </w:tc>
        <w:tc>
          <w:tcPr>
            <w:tcW w:w="1559" w:type="dxa"/>
            <w:tcBorders>
              <w:top w:val="single" w:sz="4" w:space="0" w:color="auto"/>
              <w:left w:val="single" w:sz="4" w:space="0" w:color="auto"/>
              <w:bottom w:val="single" w:sz="4" w:space="0" w:color="auto"/>
              <w:right w:val="single" w:sz="4" w:space="0" w:color="auto"/>
            </w:tcBorders>
          </w:tcPr>
          <w:p w14:paraId="6AF3671B" w14:textId="2C17EE24" w:rsidR="00CE7AD4" w:rsidRPr="000D756E" w:rsidRDefault="43D23E0B" w:rsidP="26507D30">
            <w:pPr>
              <w:spacing w:line="259" w:lineRule="auto"/>
              <w:jc w:val="right"/>
            </w:pPr>
            <w:r w:rsidRPr="73C3A6D5">
              <w:rPr>
                <w:rFonts w:ascii="Arial" w:hAnsi="Arial" w:cs="Arial"/>
                <w:sz w:val="24"/>
                <w:szCs w:val="24"/>
              </w:rPr>
              <w:t>5,046</w:t>
            </w:r>
          </w:p>
        </w:tc>
        <w:tc>
          <w:tcPr>
            <w:tcW w:w="1560" w:type="dxa"/>
            <w:tcBorders>
              <w:top w:val="single" w:sz="4" w:space="0" w:color="auto"/>
              <w:left w:val="single" w:sz="4" w:space="0" w:color="auto"/>
              <w:bottom w:val="single" w:sz="4" w:space="0" w:color="auto"/>
              <w:right w:val="single" w:sz="4" w:space="0" w:color="auto"/>
            </w:tcBorders>
          </w:tcPr>
          <w:p w14:paraId="16C7603C" w14:textId="5534A3EC" w:rsidR="00CE7AD4" w:rsidRPr="000D756E" w:rsidRDefault="00CE7AD4" w:rsidP="00CE7AD4">
            <w:pPr>
              <w:jc w:val="right"/>
              <w:rPr>
                <w:rFonts w:ascii="Arial" w:hAnsi="Arial" w:cs="Arial"/>
                <w:sz w:val="24"/>
                <w:szCs w:val="24"/>
              </w:rPr>
            </w:pPr>
            <w:r w:rsidRPr="000D756E">
              <w:rPr>
                <w:rFonts w:ascii="Arial" w:hAnsi="Arial" w:cs="Arial"/>
                <w:sz w:val="24"/>
                <w:szCs w:val="24"/>
              </w:rPr>
              <w:t>504</w:t>
            </w:r>
          </w:p>
        </w:tc>
      </w:tr>
      <w:tr w:rsidR="00CE7AD4" w:rsidRPr="000D756E" w14:paraId="00338E61" w14:textId="77777777" w:rsidTr="40CEB4A7">
        <w:tc>
          <w:tcPr>
            <w:tcW w:w="5920" w:type="dxa"/>
            <w:tcBorders>
              <w:top w:val="single" w:sz="4" w:space="0" w:color="auto"/>
              <w:left w:val="single" w:sz="4" w:space="0" w:color="auto"/>
              <w:bottom w:val="single" w:sz="4" w:space="0" w:color="auto"/>
              <w:right w:val="single" w:sz="4" w:space="0" w:color="auto"/>
            </w:tcBorders>
          </w:tcPr>
          <w:p w14:paraId="61F05656" w14:textId="77777777" w:rsidR="00CE7AD4" w:rsidRPr="000D756E" w:rsidRDefault="00CE7AD4" w:rsidP="00CE7AD4">
            <w:pPr>
              <w:rPr>
                <w:rFonts w:ascii="Arial" w:hAnsi="Arial" w:cs="Arial"/>
                <w:sz w:val="24"/>
                <w:szCs w:val="24"/>
              </w:rPr>
            </w:pPr>
            <w:r w:rsidRPr="000D756E">
              <w:rPr>
                <w:rFonts w:ascii="Arial" w:hAnsi="Arial" w:cs="Arial"/>
                <w:sz w:val="24"/>
                <w:szCs w:val="24"/>
              </w:rPr>
              <w:t>Other local authorities</w:t>
            </w:r>
          </w:p>
        </w:tc>
        <w:tc>
          <w:tcPr>
            <w:tcW w:w="1559" w:type="dxa"/>
            <w:tcBorders>
              <w:top w:val="single" w:sz="4" w:space="0" w:color="auto"/>
              <w:left w:val="single" w:sz="4" w:space="0" w:color="auto"/>
              <w:bottom w:val="single" w:sz="4" w:space="0" w:color="auto"/>
              <w:right w:val="single" w:sz="4" w:space="0" w:color="auto"/>
            </w:tcBorders>
          </w:tcPr>
          <w:p w14:paraId="5C2D130F" w14:textId="275478E9" w:rsidR="00CE7AD4" w:rsidRPr="000D756E" w:rsidRDefault="5094259C" w:rsidP="00CE7AD4">
            <w:pPr>
              <w:jc w:val="right"/>
              <w:rPr>
                <w:rFonts w:ascii="Arial" w:hAnsi="Arial" w:cs="Arial"/>
                <w:sz w:val="24"/>
                <w:szCs w:val="24"/>
              </w:rPr>
            </w:pPr>
            <w:r w:rsidRPr="40CEB4A7">
              <w:rPr>
                <w:rFonts w:ascii="Arial" w:hAnsi="Arial" w:cs="Arial"/>
                <w:sz w:val="24"/>
                <w:szCs w:val="24"/>
              </w:rPr>
              <w:t>946</w:t>
            </w:r>
          </w:p>
        </w:tc>
        <w:tc>
          <w:tcPr>
            <w:tcW w:w="1560" w:type="dxa"/>
            <w:tcBorders>
              <w:top w:val="single" w:sz="4" w:space="0" w:color="auto"/>
              <w:left w:val="single" w:sz="4" w:space="0" w:color="auto"/>
              <w:bottom w:val="single" w:sz="4" w:space="0" w:color="auto"/>
              <w:right w:val="single" w:sz="4" w:space="0" w:color="auto"/>
            </w:tcBorders>
          </w:tcPr>
          <w:p w14:paraId="4840FCEB" w14:textId="054D7A21" w:rsidR="00CE7AD4" w:rsidRPr="000D756E" w:rsidRDefault="00CE7AD4" w:rsidP="00CE7AD4">
            <w:pPr>
              <w:jc w:val="right"/>
              <w:rPr>
                <w:rFonts w:ascii="Arial" w:hAnsi="Arial" w:cs="Arial"/>
                <w:sz w:val="24"/>
                <w:szCs w:val="24"/>
              </w:rPr>
            </w:pPr>
            <w:r w:rsidRPr="000D756E">
              <w:rPr>
                <w:rFonts w:ascii="Arial" w:hAnsi="Arial" w:cs="Arial"/>
                <w:sz w:val="24"/>
                <w:szCs w:val="24"/>
              </w:rPr>
              <w:t>798</w:t>
            </w:r>
          </w:p>
        </w:tc>
      </w:tr>
      <w:tr w:rsidR="00CE7AD4" w:rsidRPr="000D756E" w14:paraId="4239B5E4" w14:textId="77777777" w:rsidTr="40CEB4A7">
        <w:tc>
          <w:tcPr>
            <w:tcW w:w="5920" w:type="dxa"/>
            <w:tcBorders>
              <w:top w:val="single" w:sz="4" w:space="0" w:color="auto"/>
              <w:left w:val="single" w:sz="4" w:space="0" w:color="auto"/>
              <w:bottom w:val="single" w:sz="4" w:space="0" w:color="auto"/>
              <w:right w:val="single" w:sz="4" w:space="0" w:color="auto"/>
            </w:tcBorders>
          </w:tcPr>
          <w:p w14:paraId="54E9CBE5" w14:textId="77777777" w:rsidR="00CE7AD4" w:rsidRPr="000D756E" w:rsidRDefault="00CE7AD4" w:rsidP="00CE7AD4">
            <w:pPr>
              <w:rPr>
                <w:rFonts w:ascii="Arial" w:hAnsi="Arial" w:cs="Arial"/>
                <w:sz w:val="24"/>
                <w:szCs w:val="24"/>
              </w:rPr>
            </w:pPr>
            <w:r w:rsidRPr="000D756E">
              <w:rPr>
                <w:rFonts w:ascii="Arial" w:hAnsi="Arial" w:cs="Arial"/>
                <w:sz w:val="24"/>
                <w:szCs w:val="24"/>
              </w:rPr>
              <w:t>Other entities and individuals</w:t>
            </w:r>
          </w:p>
        </w:tc>
        <w:tc>
          <w:tcPr>
            <w:tcW w:w="1559" w:type="dxa"/>
            <w:tcBorders>
              <w:top w:val="single" w:sz="4" w:space="0" w:color="auto"/>
              <w:left w:val="single" w:sz="4" w:space="0" w:color="auto"/>
              <w:bottom w:val="single" w:sz="4" w:space="0" w:color="auto"/>
              <w:right w:val="single" w:sz="4" w:space="0" w:color="auto"/>
            </w:tcBorders>
          </w:tcPr>
          <w:p w14:paraId="283FF3ED" w14:textId="0847C26A" w:rsidR="00CE7AD4" w:rsidRPr="000D756E" w:rsidRDefault="35D2DE8E" w:rsidP="00CE7AD4">
            <w:pPr>
              <w:jc w:val="right"/>
              <w:rPr>
                <w:rFonts w:ascii="Arial" w:hAnsi="Arial" w:cs="Arial"/>
                <w:sz w:val="24"/>
                <w:szCs w:val="24"/>
              </w:rPr>
            </w:pPr>
            <w:r w:rsidRPr="240B4351">
              <w:rPr>
                <w:rFonts w:ascii="Arial" w:hAnsi="Arial" w:cs="Arial"/>
                <w:sz w:val="24"/>
                <w:szCs w:val="24"/>
              </w:rPr>
              <w:t>885</w:t>
            </w:r>
          </w:p>
        </w:tc>
        <w:tc>
          <w:tcPr>
            <w:tcW w:w="1560" w:type="dxa"/>
            <w:tcBorders>
              <w:top w:val="single" w:sz="4" w:space="0" w:color="auto"/>
              <w:left w:val="single" w:sz="4" w:space="0" w:color="auto"/>
              <w:bottom w:val="single" w:sz="4" w:space="0" w:color="auto"/>
              <w:right w:val="single" w:sz="4" w:space="0" w:color="auto"/>
            </w:tcBorders>
          </w:tcPr>
          <w:p w14:paraId="387D83E5" w14:textId="6F8AFD51" w:rsidR="00CE7AD4" w:rsidRPr="000D756E" w:rsidRDefault="00CE7AD4" w:rsidP="00CE7AD4">
            <w:pPr>
              <w:jc w:val="right"/>
              <w:rPr>
                <w:rFonts w:ascii="Arial" w:hAnsi="Arial" w:cs="Arial"/>
                <w:sz w:val="24"/>
                <w:szCs w:val="24"/>
              </w:rPr>
            </w:pPr>
            <w:r w:rsidRPr="000D756E">
              <w:rPr>
                <w:rFonts w:ascii="Arial" w:hAnsi="Arial" w:cs="Arial"/>
                <w:sz w:val="24"/>
                <w:szCs w:val="24"/>
              </w:rPr>
              <w:t>1,350</w:t>
            </w:r>
          </w:p>
        </w:tc>
      </w:tr>
      <w:tr w:rsidR="00CE7AD4" w:rsidRPr="000D756E" w14:paraId="41C4A574" w14:textId="77777777" w:rsidTr="40CEB4A7">
        <w:tc>
          <w:tcPr>
            <w:tcW w:w="5920" w:type="dxa"/>
            <w:tcBorders>
              <w:top w:val="single" w:sz="4" w:space="0" w:color="auto"/>
              <w:left w:val="single" w:sz="4" w:space="0" w:color="auto"/>
              <w:bottom w:val="single" w:sz="4" w:space="0" w:color="auto"/>
              <w:right w:val="single" w:sz="4" w:space="0" w:color="auto"/>
            </w:tcBorders>
          </w:tcPr>
          <w:p w14:paraId="3B03D388" w14:textId="3FA145E9" w:rsidR="00CE7AD4" w:rsidRPr="000D756E" w:rsidRDefault="00CE7AD4" w:rsidP="00CE7AD4">
            <w:pPr>
              <w:rPr>
                <w:rFonts w:ascii="Arial" w:hAnsi="Arial" w:cs="Arial"/>
                <w:b/>
                <w:sz w:val="24"/>
                <w:szCs w:val="24"/>
              </w:rPr>
            </w:pPr>
            <w:r w:rsidRPr="000D756E">
              <w:rPr>
                <w:rFonts w:ascii="Arial" w:hAnsi="Arial" w:cs="Arial"/>
                <w:b/>
                <w:sz w:val="24"/>
                <w:szCs w:val="24"/>
              </w:rPr>
              <w:t xml:space="preserve">Total   </w:t>
            </w:r>
          </w:p>
        </w:tc>
        <w:tc>
          <w:tcPr>
            <w:tcW w:w="1559" w:type="dxa"/>
            <w:tcBorders>
              <w:top w:val="single" w:sz="4" w:space="0" w:color="auto"/>
              <w:left w:val="single" w:sz="4" w:space="0" w:color="auto"/>
              <w:bottom w:val="single" w:sz="4" w:space="0" w:color="auto"/>
              <w:right w:val="single" w:sz="4" w:space="0" w:color="auto"/>
            </w:tcBorders>
          </w:tcPr>
          <w:p w14:paraId="1CD6CADF" w14:textId="1CC315B3" w:rsidR="00CE7AD4" w:rsidRPr="000D756E" w:rsidRDefault="0A67E94B" w:rsidP="00CE7AD4">
            <w:pPr>
              <w:jc w:val="right"/>
              <w:rPr>
                <w:rFonts w:ascii="Arial" w:hAnsi="Arial" w:cs="Arial"/>
                <w:b/>
                <w:bCs/>
                <w:sz w:val="24"/>
                <w:szCs w:val="24"/>
              </w:rPr>
            </w:pPr>
            <w:r w:rsidRPr="37867CEC">
              <w:rPr>
                <w:rFonts w:ascii="Arial" w:hAnsi="Arial" w:cs="Arial"/>
                <w:b/>
                <w:bCs/>
                <w:sz w:val="24"/>
                <w:szCs w:val="24"/>
              </w:rPr>
              <w:t>6,</w:t>
            </w:r>
            <w:r w:rsidRPr="025F33A0">
              <w:rPr>
                <w:rFonts w:ascii="Arial" w:hAnsi="Arial" w:cs="Arial"/>
                <w:b/>
                <w:bCs/>
                <w:sz w:val="24"/>
                <w:szCs w:val="24"/>
              </w:rPr>
              <w:t>877</w:t>
            </w:r>
          </w:p>
        </w:tc>
        <w:tc>
          <w:tcPr>
            <w:tcW w:w="1560" w:type="dxa"/>
            <w:tcBorders>
              <w:top w:val="single" w:sz="4" w:space="0" w:color="auto"/>
              <w:left w:val="single" w:sz="4" w:space="0" w:color="auto"/>
              <w:bottom w:val="single" w:sz="4" w:space="0" w:color="auto"/>
              <w:right w:val="single" w:sz="4" w:space="0" w:color="auto"/>
            </w:tcBorders>
          </w:tcPr>
          <w:p w14:paraId="773184E8" w14:textId="21039E04" w:rsidR="00CE7AD4" w:rsidRPr="000D756E" w:rsidRDefault="00CE7AD4" w:rsidP="00CE7AD4">
            <w:pPr>
              <w:jc w:val="right"/>
              <w:rPr>
                <w:rFonts w:ascii="Arial" w:hAnsi="Arial" w:cs="Arial"/>
                <w:b/>
                <w:sz w:val="24"/>
                <w:szCs w:val="24"/>
              </w:rPr>
            </w:pPr>
            <w:r w:rsidRPr="000D756E">
              <w:rPr>
                <w:rFonts w:ascii="Arial" w:hAnsi="Arial" w:cs="Arial"/>
                <w:b/>
                <w:bCs/>
                <w:sz w:val="24"/>
                <w:szCs w:val="24"/>
              </w:rPr>
              <w:t>2,652</w:t>
            </w:r>
          </w:p>
        </w:tc>
      </w:tr>
      <w:tr w:rsidR="00460130" w:rsidRPr="000D756E" w14:paraId="555F7069" w14:textId="77777777" w:rsidTr="40CEB4A7">
        <w:tc>
          <w:tcPr>
            <w:tcW w:w="5920" w:type="dxa"/>
            <w:tcBorders>
              <w:top w:val="single" w:sz="4" w:space="0" w:color="auto"/>
            </w:tcBorders>
          </w:tcPr>
          <w:p w14:paraId="300C1FA5" w14:textId="77777777" w:rsidR="00460130" w:rsidRPr="000D756E" w:rsidRDefault="00460130" w:rsidP="00460130">
            <w:pPr>
              <w:rPr>
                <w:rFonts w:ascii="Arial" w:hAnsi="Arial" w:cs="Arial"/>
                <w:b/>
                <w:sz w:val="24"/>
                <w:szCs w:val="24"/>
              </w:rPr>
            </w:pPr>
          </w:p>
        </w:tc>
        <w:tc>
          <w:tcPr>
            <w:tcW w:w="1559" w:type="dxa"/>
            <w:tcBorders>
              <w:top w:val="single" w:sz="4" w:space="0" w:color="auto"/>
            </w:tcBorders>
          </w:tcPr>
          <w:p w14:paraId="5C26C1E0" w14:textId="77777777" w:rsidR="00460130" w:rsidRPr="000D756E" w:rsidRDefault="00460130" w:rsidP="00460130">
            <w:pPr>
              <w:rPr>
                <w:rFonts w:ascii="Arial" w:hAnsi="Arial" w:cs="Arial"/>
                <w:b/>
                <w:sz w:val="24"/>
                <w:szCs w:val="24"/>
              </w:rPr>
            </w:pPr>
          </w:p>
        </w:tc>
        <w:tc>
          <w:tcPr>
            <w:tcW w:w="1560" w:type="dxa"/>
            <w:tcBorders>
              <w:top w:val="single" w:sz="4" w:space="0" w:color="auto"/>
            </w:tcBorders>
          </w:tcPr>
          <w:p w14:paraId="55E88C69" w14:textId="77777777" w:rsidR="00460130" w:rsidRPr="000D756E" w:rsidRDefault="00460130" w:rsidP="00460130">
            <w:pPr>
              <w:rPr>
                <w:rFonts w:ascii="Arial" w:hAnsi="Arial" w:cs="Arial"/>
                <w:b/>
                <w:sz w:val="24"/>
                <w:szCs w:val="24"/>
              </w:rPr>
            </w:pPr>
          </w:p>
        </w:tc>
      </w:tr>
    </w:tbl>
    <w:p w14:paraId="496844EF" w14:textId="76FD2846" w:rsidR="003C4D46" w:rsidRPr="000D756E" w:rsidRDefault="003C4D46" w:rsidP="002A7C01">
      <w:pPr>
        <w:rPr>
          <w:rFonts w:ascii="Arial" w:hAnsi="Arial" w:cs="Arial"/>
          <w:b/>
          <w:sz w:val="24"/>
          <w:szCs w:val="24"/>
        </w:rPr>
      </w:pPr>
    </w:p>
    <w:p w14:paraId="189CDD41" w14:textId="627E267F" w:rsidR="00A3642A" w:rsidRPr="006E113D" w:rsidRDefault="000C70F7" w:rsidP="001A747D">
      <w:pPr>
        <w:pStyle w:val="ListParagraph"/>
        <w:numPr>
          <w:ilvl w:val="0"/>
          <w:numId w:val="15"/>
        </w:numPr>
        <w:rPr>
          <w:rFonts w:ascii="Arial" w:hAnsi="Arial" w:cs="Arial"/>
          <w:b/>
          <w:szCs w:val="24"/>
        </w:rPr>
      </w:pPr>
      <w:r w:rsidRPr="006E113D">
        <w:rPr>
          <w:rFonts w:ascii="Arial" w:hAnsi="Arial" w:cs="Arial"/>
          <w:b/>
          <w:szCs w:val="24"/>
        </w:rPr>
        <w:t xml:space="preserve">GRANTS </w:t>
      </w:r>
      <w:r w:rsidR="00A3642A" w:rsidRPr="006E113D">
        <w:rPr>
          <w:rFonts w:ascii="Arial" w:hAnsi="Arial" w:cs="Arial"/>
          <w:b/>
          <w:szCs w:val="24"/>
        </w:rPr>
        <w:t>RECEIPTS IN ADVANCE</w:t>
      </w:r>
      <w:r w:rsidRPr="006E113D">
        <w:rPr>
          <w:rFonts w:ascii="Arial" w:hAnsi="Arial" w:cs="Arial"/>
          <w:b/>
          <w:szCs w:val="24"/>
        </w:rPr>
        <w:t xml:space="preserve"> </w:t>
      </w:r>
      <w:r w:rsidR="00826820" w:rsidRPr="006E113D">
        <w:rPr>
          <w:rFonts w:ascii="Arial" w:hAnsi="Arial" w:cs="Arial"/>
          <w:b/>
          <w:szCs w:val="24"/>
        </w:rPr>
        <w:t>–</w:t>
      </w:r>
      <w:r w:rsidRPr="006E113D">
        <w:rPr>
          <w:rFonts w:ascii="Arial" w:hAnsi="Arial" w:cs="Arial"/>
          <w:b/>
          <w:szCs w:val="24"/>
        </w:rPr>
        <w:t xml:space="preserve"> REVENUE</w:t>
      </w:r>
      <w:r w:rsidR="00826820" w:rsidRPr="006E113D">
        <w:rPr>
          <w:rFonts w:ascii="Arial" w:hAnsi="Arial" w:cs="Arial"/>
          <w:b/>
          <w:szCs w:val="24"/>
        </w:rPr>
        <w:t xml:space="preserve">  </w:t>
      </w:r>
    </w:p>
    <w:p w14:paraId="13CA2135" w14:textId="77777777" w:rsidR="00A3642A" w:rsidRPr="000D756E" w:rsidRDefault="00A3642A" w:rsidP="00A3642A">
      <w:pPr>
        <w:rPr>
          <w:rFonts w:ascii="Arial" w:hAnsi="Arial" w:cs="Arial"/>
          <w:b/>
          <w:szCs w:val="24"/>
        </w:rPr>
      </w:pPr>
    </w:p>
    <w:p w14:paraId="027F2720" w14:textId="342F1AF6" w:rsidR="00B40101" w:rsidRPr="000D756E" w:rsidRDefault="00B40101" w:rsidP="00A3642A">
      <w:pPr>
        <w:rPr>
          <w:rFonts w:ascii="Arial" w:hAnsi="Arial" w:cs="Arial"/>
          <w:bCs/>
          <w:sz w:val="24"/>
          <w:szCs w:val="24"/>
        </w:rPr>
      </w:pPr>
      <w:r w:rsidRPr="000D756E">
        <w:rPr>
          <w:rFonts w:ascii="Arial" w:hAnsi="Arial" w:cs="Arial"/>
          <w:bCs/>
          <w:sz w:val="24"/>
          <w:szCs w:val="24"/>
        </w:rPr>
        <w:t xml:space="preserve">These represent </w:t>
      </w:r>
      <w:r w:rsidR="00DA399D" w:rsidRPr="000D756E">
        <w:rPr>
          <w:rFonts w:ascii="Arial" w:hAnsi="Arial" w:cs="Arial"/>
          <w:bCs/>
          <w:sz w:val="24"/>
          <w:szCs w:val="24"/>
        </w:rPr>
        <w:t xml:space="preserve">grants that has yet to be recognised as income as they have conditions attached to them that will require the monies </w:t>
      </w:r>
      <w:r w:rsidR="006D684F" w:rsidRPr="000D756E">
        <w:rPr>
          <w:rFonts w:ascii="Arial" w:hAnsi="Arial" w:cs="Arial"/>
          <w:bCs/>
          <w:sz w:val="24"/>
          <w:szCs w:val="24"/>
        </w:rPr>
        <w:t>to be returned to the giver. The balances at the year-end re as follows:</w:t>
      </w:r>
    </w:p>
    <w:p w14:paraId="03927B63" w14:textId="77777777" w:rsidR="006D684F" w:rsidRPr="000D756E" w:rsidRDefault="006D684F" w:rsidP="00A3642A">
      <w:pPr>
        <w:rPr>
          <w:rFonts w:ascii="Arial" w:hAnsi="Arial" w:cs="Arial"/>
          <w:b/>
          <w:szCs w:val="24"/>
        </w:rPr>
      </w:pPr>
    </w:p>
    <w:tbl>
      <w:tblPr>
        <w:tblW w:w="9039" w:type="dxa"/>
        <w:tblLook w:val="01E0" w:firstRow="1" w:lastRow="1" w:firstColumn="1" w:lastColumn="1" w:noHBand="0" w:noVBand="0"/>
      </w:tblPr>
      <w:tblGrid>
        <w:gridCol w:w="5920"/>
        <w:gridCol w:w="1559"/>
        <w:gridCol w:w="1560"/>
      </w:tblGrid>
      <w:tr w:rsidR="006329E6" w:rsidRPr="000D756E" w14:paraId="266B48E6" w14:textId="77777777" w:rsidTr="00D53971">
        <w:tc>
          <w:tcPr>
            <w:tcW w:w="5920" w:type="dxa"/>
            <w:tcBorders>
              <w:top w:val="single" w:sz="4" w:space="0" w:color="auto"/>
              <w:left w:val="single" w:sz="4" w:space="0" w:color="auto"/>
              <w:bottom w:val="single" w:sz="4" w:space="0" w:color="auto"/>
              <w:right w:val="single" w:sz="4" w:space="0" w:color="auto"/>
            </w:tcBorders>
          </w:tcPr>
          <w:p w14:paraId="2FD01A84" w14:textId="77777777" w:rsidR="006D684F" w:rsidRPr="000D756E" w:rsidRDefault="006D684F" w:rsidP="00D53971">
            <w:pPr>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D96106B" w14:textId="07D9E4B6" w:rsidR="006D684F" w:rsidRPr="000D756E" w:rsidRDefault="006D684F" w:rsidP="00D53971">
            <w:pPr>
              <w:jc w:val="right"/>
              <w:rPr>
                <w:rFonts w:ascii="Arial" w:hAnsi="Arial" w:cs="Arial"/>
                <w:b/>
                <w:sz w:val="24"/>
                <w:szCs w:val="24"/>
              </w:rPr>
            </w:pPr>
            <w:r w:rsidRPr="000D756E">
              <w:rPr>
                <w:rFonts w:ascii="Arial" w:hAnsi="Arial" w:cs="Arial"/>
                <w:b/>
                <w:sz w:val="24"/>
                <w:szCs w:val="24"/>
              </w:rPr>
              <w:t>31 March 202</w:t>
            </w:r>
            <w:r w:rsidR="00CE7AD4">
              <w:rPr>
                <w:rFonts w:ascii="Arial" w:hAnsi="Arial" w:cs="Arial"/>
                <w:b/>
                <w:sz w:val="24"/>
                <w:szCs w:val="24"/>
              </w:rPr>
              <w:t>5</w:t>
            </w:r>
          </w:p>
          <w:p w14:paraId="6100CA3C" w14:textId="77777777" w:rsidR="006D684F" w:rsidRPr="000D756E" w:rsidRDefault="006D684F" w:rsidP="00D53971">
            <w:pPr>
              <w:jc w:val="right"/>
              <w:rPr>
                <w:rFonts w:ascii="Arial" w:hAnsi="Arial" w:cs="Arial"/>
                <w:b/>
                <w:sz w:val="24"/>
                <w:szCs w:val="24"/>
              </w:rPr>
            </w:pPr>
            <w:r w:rsidRPr="000D756E">
              <w:rPr>
                <w:rFonts w:ascii="Arial" w:hAnsi="Arial" w:cs="Arial"/>
                <w:b/>
                <w:sz w:val="24"/>
                <w:szCs w:val="24"/>
              </w:rPr>
              <w:t>£’000</w:t>
            </w:r>
          </w:p>
        </w:tc>
        <w:tc>
          <w:tcPr>
            <w:tcW w:w="1560" w:type="dxa"/>
            <w:tcBorders>
              <w:top w:val="single" w:sz="4" w:space="0" w:color="auto"/>
              <w:left w:val="single" w:sz="4" w:space="0" w:color="auto"/>
              <w:bottom w:val="single" w:sz="4" w:space="0" w:color="auto"/>
              <w:right w:val="single" w:sz="4" w:space="0" w:color="auto"/>
            </w:tcBorders>
          </w:tcPr>
          <w:p w14:paraId="765B592D" w14:textId="0A159CC2" w:rsidR="006D684F" w:rsidRPr="000D756E" w:rsidRDefault="006D684F" w:rsidP="00D53971">
            <w:pPr>
              <w:jc w:val="right"/>
              <w:rPr>
                <w:rFonts w:ascii="Arial" w:hAnsi="Arial" w:cs="Arial"/>
                <w:b/>
                <w:sz w:val="24"/>
                <w:szCs w:val="24"/>
              </w:rPr>
            </w:pPr>
            <w:r w:rsidRPr="000D756E">
              <w:rPr>
                <w:rFonts w:ascii="Arial" w:hAnsi="Arial" w:cs="Arial"/>
                <w:b/>
                <w:sz w:val="24"/>
                <w:szCs w:val="24"/>
              </w:rPr>
              <w:t>31 March 202</w:t>
            </w:r>
            <w:r w:rsidR="00CE7AD4">
              <w:rPr>
                <w:rFonts w:ascii="Arial" w:hAnsi="Arial" w:cs="Arial"/>
                <w:b/>
                <w:sz w:val="24"/>
                <w:szCs w:val="24"/>
              </w:rPr>
              <w:t>4</w:t>
            </w:r>
          </w:p>
          <w:p w14:paraId="29791D71" w14:textId="77777777" w:rsidR="006D684F" w:rsidRPr="000D756E" w:rsidRDefault="006D684F" w:rsidP="00D53971">
            <w:pPr>
              <w:jc w:val="right"/>
              <w:rPr>
                <w:rFonts w:ascii="Arial" w:hAnsi="Arial" w:cs="Arial"/>
                <w:b/>
                <w:sz w:val="24"/>
                <w:szCs w:val="24"/>
              </w:rPr>
            </w:pPr>
            <w:r w:rsidRPr="000D756E">
              <w:rPr>
                <w:rFonts w:ascii="Arial" w:hAnsi="Arial" w:cs="Arial"/>
                <w:b/>
                <w:sz w:val="24"/>
                <w:szCs w:val="24"/>
              </w:rPr>
              <w:t>£’000</w:t>
            </w:r>
          </w:p>
        </w:tc>
      </w:tr>
      <w:tr w:rsidR="00CE7AD4" w:rsidRPr="000D756E" w14:paraId="1F02D16F" w14:textId="77777777" w:rsidTr="00D53971">
        <w:tc>
          <w:tcPr>
            <w:tcW w:w="5920" w:type="dxa"/>
            <w:tcBorders>
              <w:top w:val="single" w:sz="4" w:space="0" w:color="auto"/>
              <w:left w:val="single" w:sz="4" w:space="0" w:color="auto"/>
              <w:bottom w:val="single" w:sz="4" w:space="0" w:color="auto"/>
              <w:right w:val="single" w:sz="4" w:space="0" w:color="auto"/>
            </w:tcBorders>
          </w:tcPr>
          <w:p w14:paraId="7CD87904" w14:textId="77777777" w:rsidR="00CE7AD4" w:rsidRPr="000D756E" w:rsidRDefault="00CE7AD4" w:rsidP="00CE7AD4">
            <w:pPr>
              <w:rPr>
                <w:rFonts w:ascii="Arial" w:hAnsi="Arial" w:cs="Arial"/>
                <w:sz w:val="24"/>
                <w:szCs w:val="24"/>
              </w:rPr>
            </w:pPr>
            <w:r w:rsidRPr="000D756E">
              <w:rPr>
                <w:rFonts w:ascii="Arial" w:hAnsi="Arial" w:cs="Arial"/>
                <w:sz w:val="24"/>
                <w:szCs w:val="24"/>
              </w:rPr>
              <w:t xml:space="preserve">Balance at 1 April </w:t>
            </w:r>
          </w:p>
        </w:tc>
        <w:tc>
          <w:tcPr>
            <w:tcW w:w="1559" w:type="dxa"/>
            <w:tcBorders>
              <w:top w:val="single" w:sz="4" w:space="0" w:color="auto"/>
              <w:left w:val="single" w:sz="4" w:space="0" w:color="auto"/>
              <w:bottom w:val="single" w:sz="4" w:space="0" w:color="auto"/>
              <w:right w:val="single" w:sz="4" w:space="0" w:color="auto"/>
            </w:tcBorders>
          </w:tcPr>
          <w:p w14:paraId="17A78A03" w14:textId="726B24CA" w:rsidR="00CE7AD4" w:rsidRPr="000D756E" w:rsidRDefault="2874BC09" w:rsidP="00CE7AD4">
            <w:pPr>
              <w:jc w:val="right"/>
              <w:rPr>
                <w:rFonts w:ascii="Arial" w:hAnsi="Arial" w:cs="Arial"/>
                <w:sz w:val="24"/>
                <w:szCs w:val="24"/>
              </w:rPr>
            </w:pPr>
            <w:r w:rsidRPr="7EA0BD3C">
              <w:rPr>
                <w:rFonts w:ascii="Arial" w:hAnsi="Arial" w:cs="Arial"/>
                <w:sz w:val="24"/>
                <w:szCs w:val="24"/>
              </w:rPr>
              <w:t>932</w:t>
            </w:r>
          </w:p>
        </w:tc>
        <w:tc>
          <w:tcPr>
            <w:tcW w:w="1560" w:type="dxa"/>
            <w:tcBorders>
              <w:top w:val="single" w:sz="4" w:space="0" w:color="auto"/>
              <w:left w:val="single" w:sz="4" w:space="0" w:color="auto"/>
              <w:bottom w:val="single" w:sz="4" w:space="0" w:color="auto"/>
              <w:right w:val="single" w:sz="4" w:space="0" w:color="auto"/>
            </w:tcBorders>
          </w:tcPr>
          <w:p w14:paraId="11665CCD" w14:textId="601679C7" w:rsidR="00CE7AD4" w:rsidRPr="000D756E" w:rsidRDefault="00CE7AD4" w:rsidP="00CE7AD4">
            <w:pPr>
              <w:jc w:val="right"/>
              <w:rPr>
                <w:rFonts w:ascii="Arial" w:hAnsi="Arial" w:cs="Arial"/>
                <w:sz w:val="24"/>
                <w:szCs w:val="24"/>
              </w:rPr>
            </w:pPr>
            <w:r w:rsidRPr="000D756E">
              <w:rPr>
                <w:rFonts w:ascii="Arial" w:hAnsi="Arial" w:cs="Arial"/>
                <w:sz w:val="24"/>
                <w:szCs w:val="24"/>
              </w:rPr>
              <w:t>834</w:t>
            </w:r>
          </w:p>
        </w:tc>
      </w:tr>
      <w:tr w:rsidR="00CE7AD4" w:rsidRPr="000D756E" w14:paraId="15C02FFC" w14:textId="77777777" w:rsidTr="00D53971">
        <w:tc>
          <w:tcPr>
            <w:tcW w:w="5920" w:type="dxa"/>
            <w:tcBorders>
              <w:top w:val="single" w:sz="4" w:space="0" w:color="auto"/>
              <w:left w:val="single" w:sz="4" w:space="0" w:color="auto"/>
              <w:bottom w:val="single" w:sz="4" w:space="0" w:color="auto"/>
              <w:right w:val="single" w:sz="4" w:space="0" w:color="auto"/>
            </w:tcBorders>
          </w:tcPr>
          <w:p w14:paraId="4A294233" w14:textId="77777777" w:rsidR="00CE7AD4" w:rsidRPr="000D756E" w:rsidRDefault="00CE7AD4" w:rsidP="00CE7AD4">
            <w:pPr>
              <w:rPr>
                <w:rFonts w:ascii="Arial" w:hAnsi="Arial" w:cs="Arial"/>
                <w:sz w:val="24"/>
                <w:szCs w:val="24"/>
              </w:rPr>
            </w:pPr>
            <w:r w:rsidRPr="000D756E">
              <w:rPr>
                <w:rFonts w:ascii="Arial" w:hAnsi="Arial" w:cs="Arial"/>
                <w:sz w:val="24"/>
                <w:szCs w:val="24"/>
              </w:rPr>
              <w:t>Movement during year</w:t>
            </w:r>
          </w:p>
        </w:tc>
        <w:tc>
          <w:tcPr>
            <w:tcW w:w="1559" w:type="dxa"/>
            <w:tcBorders>
              <w:top w:val="single" w:sz="4" w:space="0" w:color="auto"/>
              <w:left w:val="single" w:sz="4" w:space="0" w:color="auto"/>
              <w:bottom w:val="single" w:sz="4" w:space="0" w:color="auto"/>
              <w:right w:val="single" w:sz="4" w:space="0" w:color="auto"/>
            </w:tcBorders>
          </w:tcPr>
          <w:p w14:paraId="2BDD852E" w14:textId="17DC52D0" w:rsidR="00CE7AD4" w:rsidRPr="000D756E" w:rsidRDefault="780D7582" w:rsidP="00CE7AD4">
            <w:pPr>
              <w:jc w:val="right"/>
              <w:rPr>
                <w:rFonts w:ascii="Arial" w:hAnsi="Arial" w:cs="Arial"/>
                <w:sz w:val="24"/>
                <w:szCs w:val="24"/>
              </w:rPr>
            </w:pPr>
            <w:r w:rsidRPr="1259D184">
              <w:rPr>
                <w:rFonts w:ascii="Arial" w:hAnsi="Arial" w:cs="Arial"/>
                <w:sz w:val="24"/>
                <w:szCs w:val="24"/>
              </w:rPr>
              <w:t>87</w:t>
            </w:r>
            <w:r w:rsidR="00870F94">
              <w:rPr>
                <w:rFonts w:ascii="Arial" w:hAnsi="Arial" w:cs="Arial"/>
                <w:sz w:val="24"/>
                <w:szCs w:val="24"/>
              </w:rPr>
              <w:t>5</w:t>
            </w:r>
          </w:p>
        </w:tc>
        <w:tc>
          <w:tcPr>
            <w:tcW w:w="1560" w:type="dxa"/>
            <w:tcBorders>
              <w:top w:val="single" w:sz="4" w:space="0" w:color="auto"/>
              <w:left w:val="single" w:sz="4" w:space="0" w:color="auto"/>
              <w:bottom w:val="single" w:sz="4" w:space="0" w:color="auto"/>
              <w:right w:val="single" w:sz="4" w:space="0" w:color="auto"/>
            </w:tcBorders>
          </w:tcPr>
          <w:p w14:paraId="6C4B09B4" w14:textId="2386B3D0" w:rsidR="00CE7AD4" w:rsidRPr="000D756E" w:rsidRDefault="00CE7AD4" w:rsidP="00CE7AD4">
            <w:pPr>
              <w:jc w:val="right"/>
              <w:rPr>
                <w:rFonts w:ascii="Arial" w:hAnsi="Arial" w:cs="Arial"/>
                <w:sz w:val="24"/>
                <w:szCs w:val="24"/>
              </w:rPr>
            </w:pPr>
            <w:r w:rsidRPr="000D756E">
              <w:rPr>
                <w:rFonts w:ascii="Arial" w:hAnsi="Arial" w:cs="Arial"/>
                <w:sz w:val="24"/>
                <w:szCs w:val="24"/>
              </w:rPr>
              <w:t>98</w:t>
            </w:r>
          </w:p>
        </w:tc>
      </w:tr>
      <w:tr w:rsidR="00CE7AD4" w:rsidRPr="000D756E" w14:paraId="0DF283D7" w14:textId="77777777" w:rsidTr="00D53971">
        <w:tc>
          <w:tcPr>
            <w:tcW w:w="5920" w:type="dxa"/>
            <w:tcBorders>
              <w:top w:val="single" w:sz="4" w:space="0" w:color="auto"/>
              <w:left w:val="single" w:sz="4" w:space="0" w:color="auto"/>
              <w:bottom w:val="single" w:sz="4" w:space="0" w:color="auto"/>
              <w:right w:val="single" w:sz="4" w:space="0" w:color="auto"/>
            </w:tcBorders>
          </w:tcPr>
          <w:p w14:paraId="08FD981D" w14:textId="77777777" w:rsidR="00CE7AD4" w:rsidRPr="000D756E" w:rsidRDefault="00CE7AD4" w:rsidP="00CE7AD4">
            <w:pPr>
              <w:rPr>
                <w:rFonts w:ascii="Arial" w:hAnsi="Arial" w:cs="Arial"/>
                <w:b/>
                <w:sz w:val="24"/>
                <w:szCs w:val="24"/>
              </w:rPr>
            </w:pPr>
            <w:r w:rsidRPr="000D756E">
              <w:rPr>
                <w:rFonts w:ascii="Arial" w:hAnsi="Arial" w:cs="Arial"/>
                <w:b/>
                <w:sz w:val="24"/>
                <w:szCs w:val="24"/>
              </w:rPr>
              <w:t xml:space="preserve">Balance as at 31 March </w:t>
            </w:r>
          </w:p>
        </w:tc>
        <w:tc>
          <w:tcPr>
            <w:tcW w:w="1559" w:type="dxa"/>
            <w:tcBorders>
              <w:top w:val="single" w:sz="4" w:space="0" w:color="auto"/>
              <w:left w:val="single" w:sz="4" w:space="0" w:color="auto"/>
              <w:bottom w:val="single" w:sz="4" w:space="0" w:color="auto"/>
              <w:right w:val="single" w:sz="4" w:space="0" w:color="auto"/>
            </w:tcBorders>
          </w:tcPr>
          <w:p w14:paraId="03C1418B" w14:textId="12285915" w:rsidR="00CE7AD4" w:rsidRPr="000D756E" w:rsidRDefault="72A3AC14" w:rsidP="00CE7AD4">
            <w:pPr>
              <w:jc w:val="right"/>
              <w:rPr>
                <w:rFonts w:ascii="Arial" w:hAnsi="Arial" w:cs="Arial"/>
                <w:b/>
                <w:bCs/>
                <w:sz w:val="24"/>
                <w:szCs w:val="24"/>
              </w:rPr>
            </w:pPr>
            <w:r w:rsidRPr="6FFE142C">
              <w:rPr>
                <w:rFonts w:ascii="Arial" w:hAnsi="Arial" w:cs="Arial"/>
                <w:b/>
                <w:bCs/>
                <w:sz w:val="24"/>
                <w:szCs w:val="24"/>
              </w:rPr>
              <w:t>1,80</w:t>
            </w:r>
            <w:r w:rsidR="00870F94">
              <w:rPr>
                <w:rFonts w:ascii="Arial" w:hAnsi="Arial" w:cs="Arial"/>
                <w:b/>
                <w:bCs/>
                <w:sz w:val="24"/>
                <w:szCs w:val="24"/>
              </w:rPr>
              <w:t>7</w:t>
            </w:r>
          </w:p>
        </w:tc>
        <w:tc>
          <w:tcPr>
            <w:tcW w:w="1560" w:type="dxa"/>
            <w:tcBorders>
              <w:top w:val="single" w:sz="4" w:space="0" w:color="auto"/>
              <w:left w:val="single" w:sz="4" w:space="0" w:color="auto"/>
              <w:bottom w:val="single" w:sz="4" w:space="0" w:color="auto"/>
              <w:right w:val="single" w:sz="4" w:space="0" w:color="auto"/>
            </w:tcBorders>
          </w:tcPr>
          <w:p w14:paraId="27FC1D08" w14:textId="6397018F" w:rsidR="00CE7AD4" w:rsidRPr="000D756E" w:rsidRDefault="00CE7AD4" w:rsidP="00CE7AD4">
            <w:pPr>
              <w:jc w:val="right"/>
              <w:rPr>
                <w:rFonts w:ascii="Arial" w:hAnsi="Arial" w:cs="Arial"/>
                <w:b/>
                <w:sz w:val="24"/>
                <w:szCs w:val="24"/>
              </w:rPr>
            </w:pPr>
            <w:r w:rsidRPr="000D756E">
              <w:rPr>
                <w:rFonts w:ascii="Arial" w:hAnsi="Arial" w:cs="Arial"/>
                <w:b/>
                <w:bCs/>
                <w:sz w:val="24"/>
                <w:szCs w:val="24"/>
              </w:rPr>
              <w:t>932</w:t>
            </w:r>
          </w:p>
        </w:tc>
      </w:tr>
    </w:tbl>
    <w:p w14:paraId="3FCAD54E" w14:textId="77777777" w:rsidR="006D684F" w:rsidRPr="000D756E" w:rsidRDefault="006D684F" w:rsidP="00A3642A">
      <w:pPr>
        <w:rPr>
          <w:rFonts w:ascii="Arial" w:hAnsi="Arial" w:cs="Arial"/>
          <w:b/>
          <w:szCs w:val="24"/>
        </w:rPr>
      </w:pPr>
    </w:p>
    <w:p w14:paraId="188FFFFA" w14:textId="77777777" w:rsidR="00A3642A" w:rsidRPr="000D756E" w:rsidRDefault="00A3642A" w:rsidP="00A3642A">
      <w:pPr>
        <w:ind w:left="360"/>
        <w:rPr>
          <w:rFonts w:ascii="Arial" w:hAnsi="Arial" w:cs="Arial"/>
          <w:b/>
          <w:sz w:val="24"/>
          <w:szCs w:val="24"/>
        </w:rPr>
      </w:pPr>
    </w:p>
    <w:p w14:paraId="71DB72E1" w14:textId="60A20A34" w:rsidR="00ED7DB9" w:rsidRPr="00BB31CC" w:rsidRDefault="00ED7DB9" w:rsidP="001A747D">
      <w:pPr>
        <w:pStyle w:val="ListParagraph"/>
        <w:numPr>
          <w:ilvl w:val="0"/>
          <w:numId w:val="15"/>
        </w:numPr>
        <w:rPr>
          <w:rFonts w:ascii="Arial" w:hAnsi="Arial" w:cs="Arial"/>
          <w:b/>
          <w:szCs w:val="24"/>
        </w:rPr>
      </w:pPr>
      <w:r w:rsidRPr="00BB31CC">
        <w:rPr>
          <w:rFonts w:ascii="Arial" w:hAnsi="Arial" w:cs="Arial"/>
          <w:b/>
          <w:szCs w:val="24"/>
        </w:rPr>
        <w:t>PROVISION</w:t>
      </w:r>
      <w:r w:rsidR="00BB31CC" w:rsidRPr="00BB31CC">
        <w:rPr>
          <w:rFonts w:ascii="Arial" w:hAnsi="Arial" w:cs="Arial"/>
          <w:b/>
          <w:szCs w:val="24"/>
        </w:rPr>
        <w:t>S</w:t>
      </w:r>
    </w:p>
    <w:p w14:paraId="41EBAF2F" w14:textId="04485AB6" w:rsidR="00ED7DB9" w:rsidRPr="000D756E" w:rsidRDefault="00ED7DB9" w:rsidP="001D6077">
      <w:pPr>
        <w:rPr>
          <w:rFonts w:ascii="Arial" w:hAnsi="Arial" w:cs="Arial"/>
          <w:b/>
          <w:sz w:val="24"/>
          <w:szCs w:val="24"/>
        </w:rPr>
      </w:pPr>
    </w:p>
    <w:p w14:paraId="59B8BB9D" w14:textId="77777777" w:rsidR="00173CDA" w:rsidRDefault="00173CDA" w:rsidP="001D6077">
      <w:pPr>
        <w:rPr>
          <w:rFonts w:ascii="Arial" w:hAnsi="Arial" w:cs="Arial"/>
          <w:bCs/>
          <w:sz w:val="24"/>
          <w:szCs w:val="24"/>
        </w:rPr>
      </w:pPr>
      <w:r>
        <w:rPr>
          <w:rFonts w:ascii="Arial" w:hAnsi="Arial" w:cs="Arial"/>
          <w:bCs/>
          <w:sz w:val="24"/>
          <w:szCs w:val="24"/>
        </w:rPr>
        <w:t>The Authority held 2 provisions as at 31 March 2025</w:t>
      </w:r>
    </w:p>
    <w:p w14:paraId="1F41DE0E" w14:textId="709122C8" w:rsidR="005A25E6" w:rsidRDefault="005A25E6" w:rsidP="005A25E6">
      <w:pPr>
        <w:pStyle w:val="ListParagraph"/>
        <w:numPr>
          <w:ilvl w:val="0"/>
          <w:numId w:val="69"/>
        </w:numPr>
        <w:rPr>
          <w:rFonts w:ascii="Arial" w:hAnsi="Arial" w:cs="Arial"/>
          <w:bCs/>
          <w:szCs w:val="24"/>
        </w:rPr>
      </w:pPr>
      <w:r w:rsidRPr="00173CDA">
        <w:rPr>
          <w:rFonts w:ascii="Arial" w:hAnsi="Arial" w:cs="Arial"/>
          <w:bCs/>
          <w:szCs w:val="24"/>
        </w:rPr>
        <w:t>the Authority’s share of appeals made by NNDR payers at billing authorities</w:t>
      </w:r>
    </w:p>
    <w:p w14:paraId="3D7178A8" w14:textId="7C996672" w:rsidR="005A25E6" w:rsidRPr="005A25E6" w:rsidRDefault="00A93736" w:rsidP="005A25E6">
      <w:pPr>
        <w:pStyle w:val="ListParagraph"/>
        <w:numPr>
          <w:ilvl w:val="0"/>
          <w:numId w:val="69"/>
        </w:numPr>
        <w:rPr>
          <w:rFonts w:ascii="Arial" w:hAnsi="Arial" w:cs="Arial"/>
          <w:bCs/>
          <w:szCs w:val="24"/>
        </w:rPr>
      </w:pPr>
      <w:r>
        <w:rPr>
          <w:rFonts w:ascii="Arial" w:hAnsi="Arial" w:cs="Arial"/>
          <w:bCs/>
          <w:szCs w:val="24"/>
        </w:rPr>
        <w:t xml:space="preserve">legal fees relating to </w:t>
      </w:r>
      <w:r w:rsidR="00F318D5">
        <w:rPr>
          <w:rFonts w:ascii="Arial" w:hAnsi="Arial" w:cs="Arial"/>
          <w:bCs/>
          <w:szCs w:val="24"/>
        </w:rPr>
        <w:t xml:space="preserve">potential staff </w:t>
      </w:r>
      <w:r w:rsidR="00734776">
        <w:rPr>
          <w:rFonts w:ascii="Arial" w:hAnsi="Arial" w:cs="Arial"/>
          <w:bCs/>
          <w:szCs w:val="24"/>
        </w:rPr>
        <w:t>liabilities</w:t>
      </w:r>
    </w:p>
    <w:p w14:paraId="66CC9A5B" w14:textId="7ECF44D9" w:rsidR="001D6077" w:rsidRPr="00734776" w:rsidRDefault="001D6077" w:rsidP="00734776">
      <w:pPr>
        <w:rPr>
          <w:rFonts w:ascii="Arial" w:hAnsi="Arial" w:cs="Arial"/>
          <w:bCs/>
          <w:szCs w:val="24"/>
        </w:rPr>
      </w:pPr>
    </w:p>
    <w:p w14:paraId="6B86F625" w14:textId="339DE5D3" w:rsidR="003C6EDC" w:rsidRPr="000D756E" w:rsidRDefault="003C6EDC" w:rsidP="001D6077">
      <w:pPr>
        <w:rPr>
          <w:rFonts w:ascii="Arial" w:hAnsi="Arial" w:cs="Arial"/>
          <w:bCs/>
          <w:sz w:val="24"/>
          <w:szCs w:val="24"/>
        </w:rPr>
      </w:pPr>
    </w:p>
    <w:tbl>
      <w:tblPr>
        <w:tblW w:w="8500" w:type="dxa"/>
        <w:tblLook w:val="01E0" w:firstRow="1" w:lastRow="1" w:firstColumn="1" w:lastColumn="1" w:noHBand="0" w:noVBand="0"/>
      </w:tblPr>
      <w:tblGrid>
        <w:gridCol w:w="3256"/>
        <w:gridCol w:w="1842"/>
        <w:gridCol w:w="1701"/>
        <w:gridCol w:w="1701"/>
      </w:tblGrid>
      <w:tr w:rsidR="002B1B12" w:rsidRPr="000D756E" w14:paraId="59F7FCE9" w14:textId="569AA830" w:rsidTr="002B1B12">
        <w:tc>
          <w:tcPr>
            <w:tcW w:w="3256" w:type="dxa"/>
            <w:tcBorders>
              <w:top w:val="single" w:sz="4" w:space="0" w:color="auto"/>
              <w:left w:val="single" w:sz="4" w:space="0" w:color="auto"/>
              <w:bottom w:val="single" w:sz="4" w:space="0" w:color="auto"/>
              <w:right w:val="single" w:sz="4" w:space="0" w:color="auto"/>
            </w:tcBorders>
          </w:tcPr>
          <w:p w14:paraId="53E743BC" w14:textId="77777777" w:rsidR="002B1B12" w:rsidRPr="000D756E" w:rsidRDefault="002B1B12" w:rsidP="00165707">
            <w:pPr>
              <w:rPr>
                <w:rFonts w:ascii="Arial" w:hAnsi="Arial" w:cs="Arial"/>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A1E76D6" w14:textId="78903250" w:rsidR="002B1B12" w:rsidRPr="000D756E" w:rsidRDefault="002B1B12" w:rsidP="00165707">
            <w:pPr>
              <w:jc w:val="right"/>
              <w:rPr>
                <w:rFonts w:ascii="Arial" w:hAnsi="Arial" w:cs="Arial"/>
                <w:b/>
                <w:sz w:val="24"/>
                <w:szCs w:val="24"/>
              </w:rPr>
            </w:pPr>
            <w:r>
              <w:rPr>
                <w:rFonts w:ascii="Arial" w:hAnsi="Arial" w:cs="Arial"/>
                <w:b/>
                <w:sz w:val="24"/>
                <w:szCs w:val="24"/>
              </w:rPr>
              <w:t xml:space="preserve"> NNDR Appeals</w:t>
            </w:r>
          </w:p>
          <w:p w14:paraId="2DC1CD08" w14:textId="77777777" w:rsidR="002B1B12" w:rsidRPr="000D756E" w:rsidRDefault="002B1B12" w:rsidP="00165707">
            <w:pPr>
              <w:jc w:val="right"/>
              <w:rPr>
                <w:rFonts w:ascii="Arial" w:hAnsi="Arial" w:cs="Arial"/>
                <w:b/>
                <w:sz w:val="24"/>
                <w:szCs w:val="24"/>
              </w:rPr>
            </w:pPr>
            <w:r w:rsidRPr="000D756E">
              <w:rPr>
                <w:rFonts w:ascii="Arial" w:hAnsi="Arial" w:cs="Arial"/>
                <w:b/>
                <w:sz w:val="24"/>
                <w:szCs w:val="24"/>
              </w:rPr>
              <w:t>£’000</w:t>
            </w:r>
          </w:p>
        </w:tc>
        <w:tc>
          <w:tcPr>
            <w:tcW w:w="1701" w:type="dxa"/>
            <w:tcBorders>
              <w:top w:val="single" w:sz="4" w:space="0" w:color="auto"/>
              <w:left w:val="single" w:sz="4" w:space="0" w:color="auto"/>
              <w:bottom w:val="single" w:sz="4" w:space="0" w:color="auto"/>
              <w:right w:val="single" w:sz="4" w:space="0" w:color="auto"/>
            </w:tcBorders>
          </w:tcPr>
          <w:p w14:paraId="7EE364D9" w14:textId="3167A8DB" w:rsidR="002B1B12" w:rsidRPr="000D756E" w:rsidRDefault="002B1B12" w:rsidP="00165707">
            <w:pPr>
              <w:jc w:val="right"/>
              <w:rPr>
                <w:rFonts w:ascii="Arial" w:hAnsi="Arial" w:cs="Arial"/>
                <w:b/>
                <w:sz w:val="24"/>
                <w:szCs w:val="24"/>
              </w:rPr>
            </w:pPr>
            <w:r>
              <w:rPr>
                <w:rFonts w:ascii="Arial" w:hAnsi="Arial" w:cs="Arial"/>
                <w:b/>
                <w:sz w:val="24"/>
                <w:szCs w:val="24"/>
              </w:rPr>
              <w:t>Staff Liabilities</w:t>
            </w:r>
          </w:p>
          <w:p w14:paraId="74A0DAD4" w14:textId="77777777" w:rsidR="002B1B12" w:rsidRPr="000D756E" w:rsidRDefault="002B1B12" w:rsidP="00165707">
            <w:pPr>
              <w:jc w:val="right"/>
              <w:rPr>
                <w:rFonts w:ascii="Arial" w:hAnsi="Arial" w:cs="Arial"/>
                <w:b/>
                <w:sz w:val="24"/>
                <w:szCs w:val="24"/>
              </w:rPr>
            </w:pPr>
            <w:r w:rsidRPr="000D756E">
              <w:rPr>
                <w:rFonts w:ascii="Arial" w:hAnsi="Arial" w:cs="Arial"/>
                <w:b/>
                <w:sz w:val="24"/>
                <w:szCs w:val="24"/>
              </w:rPr>
              <w:t>£’000</w:t>
            </w:r>
          </w:p>
        </w:tc>
        <w:tc>
          <w:tcPr>
            <w:tcW w:w="1701" w:type="dxa"/>
            <w:tcBorders>
              <w:top w:val="single" w:sz="4" w:space="0" w:color="auto"/>
              <w:left w:val="single" w:sz="4" w:space="0" w:color="auto"/>
              <w:bottom w:val="single" w:sz="4" w:space="0" w:color="auto"/>
              <w:right w:val="single" w:sz="4" w:space="0" w:color="auto"/>
            </w:tcBorders>
          </w:tcPr>
          <w:p w14:paraId="5DA08579" w14:textId="77777777" w:rsidR="002B1B12" w:rsidRDefault="002B1B12" w:rsidP="00165707">
            <w:pPr>
              <w:jc w:val="right"/>
              <w:rPr>
                <w:rFonts w:ascii="Arial" w:hAnsi="Arial" w:cs="Arial"/>
                <w:b/>
                <w:sz w:val="24"/>
                <w:szCs w:val="24"/>
              </w:rPr>
            </w:pPr>
          </w:p>
          <w:p w14:paraId="59ACE34C" w14:textId="77777777" w:rsidR="002B1B12" w:rsidRDefault="002B1B12" w:rsidP="00165707">
            <w:pPr>
              <w:jc w:val="right"/>
              <w:rPr>
                <w:rFonts w:ascii="Arial" w:hAnsi="Arial" w:cs="Arial"/>
                <w:b/>
                <w:sz w:val="24"/>
                <w:szCs w:val="24"/>
              </w:rPr>
            </w:pPr>
            <w:r>
              <w:rPr>
                <w:rFonts w:ascii="Arial" w:hAnsi="Arial" w:cs="Arial"/>
                <w:b/>
                <w:sz w:val="24"/>
                <w:szCs w:val="24"/>
              </w:rPr>
              <w:t xml:space="preserve">Total </w:t>
            </w:r>
          </w:p>
          <w:p w14:paraId="0633238A" w14:textId="4F00C8EB" w:rsidR="002B1B12" w:rsidRDefault="002B1B12" w:rsidP="00165707">
            <w:pPr>
              <w:jc w:val="right"/>
              <w:rPr>
                <w:rFonts w:ascii="Arial" w:hAnsi="Arial" w:cs="Arial"/>
                <w:b/>
                <w:sz w:val="24"/>
                <w:szCs w:val="24"/>
              </w:rPr>
            </w:pPr>
            <w:r>
              <w:rPr>
                <w:rFonts w:ascii="Arial" w:hAnsi="Arial" w:cs="Arial"/>
                <w:b/>
                <w:sz w:val="24"/>
                <w:szCs w:val="24"/>
              </w:rPr>
              <w:t>£’000</w:t>
            </w:r>
          </w:p>
        </w:tc>
      </w:tr>
      <w:tr w:rsidR="00182126" w:rsidRPr="000D756E" w14:paraId="288A8E00" w14:textId="77777777" w:rsidTr="002B1B12">
        <w:tc>
          <w:tcPr>
            <w:tcW w:w="3256" w:type="dxa"/>
            <w:tcBorders>
              <w:top w:val="single" w:sz="4" w:space="0" w:color="auto"/>
              <w:left w:val="single" w:sz="4" w:space="0" w:color="auto"/>
              <w:bottom w:val="single" w:sz="4" w:space="0" w:color="auto"/>
              <w:right w:val="single" w:sz="4" w:space="0" w:color="auto"/>
            </w:tcBorders>
          </w:tcPr>
          <w:p w14:paraId="6E000BC0" w14:textId="58B8B13B" w:rsidR="00182126" w:rsidRPr="000D756E" w:rsidRDefault="00182126" w:rsidP="00182126">
            <w:pPr>
              <w:rPr>
                <w:rFonts w:ascii="Arial" w:hAnsi="Arial" w:cs="Arial"/>
                <w:sz w:val="24"/>
                <w:szCs w:val="24"/>
              </w:rPr>
            </w:pPr>
            <w:r w:rsidRPr="000D756E">
              <w:rPr>
                <w:rFonts w:ascii="Arial" w:hAnsi="Arial" w:cs="Arial"/>
                <w:sz w:val="24"/>
                <w:szCs w:val="24"/>
              </w:rPr>
              <w:t xml:space="preserve">Balance at 1 April </w:t>
            </w:r>
            <w:r>
              <w:rPr>
                <w:rFonts w:ascii="Arial" w:hAnsi="Arial" w:cs="Arial"/>
                <w:sz w:val="24"/>
                <w:szCs w:val="24"/>
              </w:rPr>
              <w:t>2023</w:t>
            </w:r>
          </w:p>
        </w:tc>
        <w:tc>
          <w:tcPr>
            <w:tcW w:w="1842" w:type="dxa"/>
            <w:tcBorders>
              <w:top w:val="single" w:sz="4" w:space="0" w:color="auto"/>
              <w:left w:val="single" w:sz="4" w:space="0" w:color="auto"/>
              <w:bottom w:val="single" w:sz="4" w:space="0" w:color="auto"/>
              <w:right w:val="single" w:sz="4" w:space="0" w:color="auto"/>
            </w:tcBorders>
          </w:tcPr>
          <w:p w14:paraId="12CFB31F" w14:textId="4FEF0FFD" w:rsidR="00182126" w:rsidRDefault="00703B2E" w:rsidP="00182126">
            <w:pPr>
              <w:jc w:val="right"/>
              <w:rPr>
                <w:rFonts w:ascii="Arial" w:hAnsi="Arial" w:cs="Arial"/>
                <w:sz w:val="24"/>
                <w:szCs w:val="24"/>
              </w:rPr>
            </w:pPr>
            <w:r>
              <w:rPr>
                <w:rFonts w:ascii="Arial" w:hAnsi="Arial" w:cs="Arial"/>
                <w:sz w:val="24"/>
                <w:szCs w:val="24"/>
              </w:rPr>
              <w:t>149</w:t>
            </w:r>
          </w:p>
        </w:tc>
        <w:tc>
          <w:tcPr>
            <w:tcW w:w="1701" w:type="dxa"/>
            <w:tcBorders>
              <w:top w:val="single" w:sz="4" w:space="0" w:color="auto"/>
              <w:left w:val="single" w:sz="4" w:space="0" w:color="auto"/>
              <w:bottom w:val="single" w:sz="4" w:space="0" w:color="auto"/>
              <w:right w:val="single" w:sz="4" w:space="0" w:color="auto"/>
            </w:tcBorders>
          </w:tcPr>
          <w:p w14:paraId="4517752B" w14:textId="40740FF5" w:rsidR="00182126" w:rsidRDefault="00182126" w:rsidP="00182126">
            <w:pPr>
              <w:jc w:val="right"/>
              <w:rPr>
                <w:rFonts w:ascii="Arial" w:hAnsi="Arial" w:cs="Arial"/>
                <w:sz w:val="24"/>
                <w:szCs w:val="24"/>
              </w:rPr>
            </w:pPr>
            <w:r>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2FF6C259" w14:textId="035FF72A" w:rsidR="00182126" w:rsidRDefault="00703B2E" w:rsidP="00182126">
            <w:pPr>
              <w:jc w:val="right"/>
              <w:rPr>
                <w:rFonts w:ascii="Arial" w:hAnsi="Arial" w:cs="Arial"/>
                <w:sz w:val="24"/>
                <w:szCs w:val="24"/>
              </w:rPr>
            </w:pPr>
            <w:r>
              <w:rPr>
                <w:rFonts w:ascii="Arial" w:hAnsi="Arial" w:cs="Arial"/>
                <w:sz w:val="24"/>
                <w:szCs w:val="24"/>
              </w:rPr>
              <w:t>149</w:t>
            </w:r>
          </w:p>
        </w:tc>
      </w:tr>
      <w:tr w:rsidR="00182126" w:rsidRPr="000D756E" w14:paraId="3A698AFE" w14:textId="77777777" w:rsidTr="002B1B12">
        <w:tc>
          <w:tcPr>
            <w:tcW w:w="3256" w:type="dxa"/>
            <w:tcBorders>
              <w:top w:val="single" w:sz="4" w:space="0" w:color="auto"/>
              <w:left w:val="single" w:sz="4" w:space="0" w:color="auto"/>
              <w:bottom w:val="single" w:sz="4" w:space="0" w:color="auto"/>
              <w:right w:val="single" w:sz="4" w:space="0" w:color="auto"/>
            </w:tcBorders>
          </w:tcPr>
          <w:p w14:paraId="66765C48" w14:textId="64969D21" w:rsidR="00182126" w:rsidRPr="000D756E" w:rsidRDefault="00182126" w:rsidP="00182126">
            <w:pPr>
              <w:rPr>
                <w:rFonts w:ascii="Arial" w:hAnsi="Arial" w:cs="Arial"/>
                <w:sz w:val="24"/>
                <w:szCs w:val="24"/>
              </w:rPr>
            </w:pPr>
            <w:r w:rsidRPr="000D756E">
              <w:rPr>
                <w:rFonts w:ascii="Arial" w:hAnsi="Arial" w:cs="Arial"/>
                <w:sz w:val="24"/>
                <w:szCs w:val="24"/>
              </w:rPr>
              <w:t>Movement during year</w:t>
            </w:r>
          </w:p>
        </w:tc>
        <w:tc>
          <w:tcPr>
            <w:tcW w:w="1842" w:type="dxa"/>
            <w:tcBorders>
              <w:top w:val="single" w:sz="4" w:space="0" w:color="auto"/>
              <w:left w:val="single" w:sz="4" w:space="0" w:color="auto"/>
              <w:bottom w:val="single" w:sz="4" w:space="0" w:color="auto"/>
              <w:right w:val="single" w:sz="4" w:space="0" w:color="auto"/>
            </w:tcBorders>
          </w:tcPr>
          <w:p w14:paraId="65BF1E88" w14:textId="1DD960E1" w:rsidR="00182126" w:rsidRDefault="00703B2E" w:rsidP="00182126">
            <w:pPr>
              <w:jc w:val="right"/>
              <w:rPr>
                <w:rFonts w:ascii="Arial" w:hAnsi="Arial" w:cs="Arial"/>
                <w:sz w:val="24"/>
                <w:szCs w:val="24"/>
              </w:rPr>
            </w:pPr>
            <w:r>
              <w:rPr>
                <w:rFonts w:ascii="Arial" w:hAnsi="Arial" w:cs="Arial"/>
                <w:sz w:val="24"/>
                <w:szCs w:val="24"/>
              </w:rPr>
              <w:t>-66</w:t>
            </w:r>
          </w:p>
        </w:tc>
        <w:tc>
          <w:tcPr>
            <w:tcW w:w="1701" w:type="dxa"/>
            <w:tcBorders>
              <w:top w:val="single" w:sz="4" w:space="0" w:color="auto"/>
              <w:left w:val="single" w:sz="4" w:space="0" w:color="auto"/>
              <w:bottom w:val="single" w:sz="4" w:space="0" w:color="auto"/>
              <w:right w:val="single" w:sz="4" w:space="0" w:color="auto"/>
            </w:tcBorders>
          </w:tcPr>
          <w:p w14:paraId="70032237" w14:textId="3F94F695" w:rsidR="00182126" w:rsidRDefault="00182126" w:rsidP="00182126">
            <w:pPr>
              <w:jc w:val="right"/>
              <w:rPr>
                <w:rFonts w:ascii="Arial" w:hAnsi="Arial" w:cs="Arial"/>
                <w:sz w:val="24"/>
                <w:szCs w:val="24"/>
              </w:rPr>
            </w:pPr>
            <w:r>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43449DE1" w14:textId="5D38AFCC" w:rsidR="00182126" w:rsidRDefault="00703B2E" w:rsidP="00182126">
            <w:pPr>
              <w:jc w:val="right"/>
              <w:rPr>
                <w:rFonts w:ascii="Arial" w:hAnsi="Arial" w:cs="Arial"/>
                <w:sz w:val="24"/>
                <w:szCs w:val="24"/>
              </w:rPr>
            </w:pPr>
            <w:r>
              <w:rPr>
                <w:rFonts w:ascii="Arial" w:hAnsi="Arial" w:cs="Arial"/>
                <w:sz w:val="24"/>
                <w:szCs w:val="24"/>
              </w:rPr>
              <w:t>-66</w:t>
            </w:r>
          </w:p>
        </w:tc>
      </w:tr>
      <w:tr w:rsidR="00182126" w:rsidRPr="000D756E" w14:paraId="1648EBAA" w14:textId="5F711023" w:rsidTr="002B1B12">
        <w:tc>
          <w:tcPr>
            <w:tcW w:w="3256" w:type="dxa"/>
            <w:tcBorders>
              <w:top w:val="single" w:sz="4" w:space="0" w:color="auto"/>
              <w:left w:val="single" w:sz="4" w:space="0" w:color="auto"/>
              <w:bottom w:val="single" w:sz="4" w:space="0" w:color="auto"/>
              <w:right w:val="single" w:sz="4" w:space="0" w:color="auto"/>
            </w:tcBorders>
          </w:tcPr>
          <w:p w14:paraId="19AE6744" w14:textId="7089F9DF" w:rsidR="00182126" w:rsidRPr="008B787F" w:rsidRDefault="00182126" w:rsidP="00182126">
            <w:pPr>
              <w:rPr>
                <w:rFonts w:ascii="Arial" w:hAnsi="Arial" w:cs="Arial"/>
                <w:b/>
                <w:bCs/>
                <w:sz w:val="24"/>
                <w:szCs w:val="24"/>
              </w:rPr>
            </w:pPr>
            <w:r w:rsidRPr="008B787F">
              <w:rPr>
                <w:rFonts w:ascii="Arial" w:hAnsi="Arial" w:cs="Arial"/>
                <w:b/>
                <w:bCs/>
                <w:sz w:val="24"/>
                <w:szCs w:val="24"/>
              </w:rPr>
              <w:t>Balance at 1 April 2024</w:t>
            </w:r>
          </w:p>
        </w:tc>
        <w:tc>
          <w:tcPr>
            <w:tcW w:w="1842" w:type="dxa"/>
            <w:tcBorders>
              <w:top w:val="single" w:sz="4" w:space="0" w:color="auto"/>
              <w:left w:val="single" w:sz="4" w:space="0" w:color="auto"/>
              <w:bottom w:val="single" w:sz="4" w:space="0" w:color="auto"/>
              <w:right w:val="single" w:sz="4" w:space="0" w:color="auto"/>
            </w:tcBorders>
          </w:tcPr>
          <w:p w14:paraId="52BC4F67" w14:textId="02B8B0BB" w:rsidR="00182126" w:rsidRPr="008B787F" w:rsidRDefault="00182126" w:rsidP="00182126">
            <w:pPr>
              <w:jc w:val="right"/>
              <w:rPr>
                <w:rFonts w:ascii="Arial" w:hAnsi="Arial" w:cs="Arial"/>
                <w:b/>
                <w:bCs/>
                <w:sz w:val="24"/>
                <w:szCs w:val="24"/>
              </w:rPr>
            </w:pPr>
            <w:r w:rsidRPr="008B787F">
              <w:rPr>
                <w:rFonts w:ascii="Arial" w:hAnsi="Arial" w:cs="Arial"/>
                <w:b/>
                <w:bCs/>
                <w:sz w:val="24"/>
                <w:szCs w:val="24"/>
              </w:rPr>
              <w:t>83</w:t>
            </w:r>
          </w:p>
        </w:tc>
        <w:tc>
          <w:tcPr>
            <w:tcW w:w="1701" w:type="dxa"/>
            <w:tcBorders>
              <w:top w:val="single" w:sz="4" w:space="0" w:color="auto"/>
              <w:left w:val="single" w:sz="4" w:space="0" w:color="auto"/>
              <w:bottom w:val="single" w:sz="4" w:space="0" w:color="auto"/>
              <w:right w:val="single" w:sz="4" w:space="0" w:color="auto"/>
            </w:tcBorders>
          </w:tcPr>
          <w:p w14:paraId="1D3F08FF" w14:textId="68AEA22F" w:rsidR="00182126" w:rsidRPr="008B787F" w:rsidRDefault="00182126" w:rsidP="00182126">
            <w:pPr>
              <w:jc w:val="right"/>
              <w:rPr>
                <w:rFonts w:ascii="Arial" w:hAnsi="Arial" w:cs="Arial"/>
                <w:b/>
                <w:bCs/>
                <w:sz w:val="24"/>
                <w:szCs w:val="24"/>
              </w:rPr>
            </w:pPr>
            <w:r w:rsidRPr="008B787F">
              <w:rPr>
                <w:rFonts w:ascii="Arial" w:hAnsi="Arial" w:cs="Arial"/>
                <w:b/>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0F84EB7B" w14:textId="70CC247E" w:rsidR="00182126" w:rsidRPr="008B787F" w:rsidRDefault="00182126" w:rsidP="00182126">
            <w:pPr>
              <w:jc w:val="right"/>
              <w:rPr>
                <w:rFonts w:ascii="Arial" w:hAnsi="Arial" w:cs="Arial"/>
                <w:b/>
                <w:bCs/>
                <w:sz w:val="24"/>
                <w:szCs w:val="24"/>
              </w:rPr>
            </w:pPr>
            <w:r w:rsidRPr="008B787F">
              <w:rPr>
                <w:rFonts w:ascii="Arial" w:hAnsi="Arial" w:cs="Arial"/>
                <w:b/>
                <w:bCs/>
                <w:sz w:val="24"/>
                <w:szCs w:val="24"/>
              </w:rPr>
              <w:t>83</w:t>
            </w:r>
          </w:p>
        </w:tc>
      </w:tr>
      <w:tr w:rsidR="00182126" w:rsidRPr="000D756E" w14:paraId="7CB06433" w14:textId="4F1EEE48" w:rsidTr="002B1B12">
        <w:tc>
          <w:tcPr>
            <w:tcW w:w="3256" w:type="dxa"/>
            <w:tcBorders>
              <w:top w:val="single" w:sz="4" w:space="0" w:color="auto"/>
              <w:left w:val="single" w:sz="4" w:space="0" w:color="auto"/>
              <w:bottom w:val="single" w:sz="4" w:space="0" w:color="auto"/>
              <w:right w:val="single" w:sz="4" w:space="0" w:color="auto"/>
            </w:tcBorders>
          </w:tcPr>
          <w:p w14:paraId="0685A81C" w14:textId="73734913" w:rsidR="00182126" w:rsidRPr="000D756E" w:rsidRDefault="00182126" w:rsidP="00182126">
            <w:pPr>
              <w:rPr>
                <w:rFonts w:ascii="Arial" w:hAnsi="Arial" w:cs="Arial"/>
                <w:sz w:val="24"/>
                <w:szCs w:val="24"/>
              </w:rPr>
            </w:pPr>
            <w:r w:rsidRPr="000D756E">
              <w:rPr>
                <w:rFonts w:ascii="Arial" w:hAnsi="Arial" w:cs="Arial"/>
                <w:sz w:val="24"/>
                <w:szCs w:val="24"/>
              </w:rPr>
              <w:t>Movement during year</w:t>
            </w:r>
          </w:p>
        </w:tc>
        <w:tc>
          <w:tcPr>
            <w:tcW w:w="1842" w:type="dxa"/>
            <w:tcBorders>
              <w:top w:val="single" w:sz="4" w:space="0" w:color="auto"/>
              <w:left w:val="single" w:sz="4" w:space="0" w:color="auto"/>
              <w:bottom w:val="single" w:sz="4" w:space="0" w:color="auto"/>
              <w:right w:val="single" w:sz="4" w:space="0" w:color="auto"/>
            </w:tcBorders>
          </w:tcPr>
          <w:p w14:paraId="508EFB5C" w14:textId="314CAADA" w:rsidR="00182126" w:rsidRPr="000D756E" w:rsidRDefault="00182126" w:rsidP="00182126">
            <w:pPr>
              <w:jc w:val="right"/>
              <w:rPr>
                <w:rFonts w:ascii="Arial" w:hAnsi="Arial" w:cs="Arial"/>
                <w:sz w:val="24"/>
                <w:szCs w:val="24"/>
              </w:rPr>
            </w:pPr>
            <w:r>
              <w:rPr>
                <w:rFonts w:ascii="Arial" w:hAnsi="Arial" w:cs="Arial"/>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184DD350" w14:textId="5B3D0F3E" w:rsidR="00182126" w:rsidRPr="000D756E" w:rsidRDefault="00182126" w:rsidP="00182126">
            <w:pPr>
              <w:jc w:val="right"/>
              <w:rPr>
                <w:rFonts w:ascii="Arial" w:hAnsi="Arial" w:cs="Arial"/>
                <w:sz w:val="24"/>
                <w:szCs w:val="24"/>
              </w:rPr>
            </w:pPr>
            <w:r>
              <w:rPr>
                <w:rFonts w:ascii="Arial" w:hAnsi="Arial" w:cs="Arial"/>
                <w:sz w:val="24"/>
                <w:szCs w:val="24"/>
              </w:rPr>
              <w:t>42</w:t>
            </w:r>
          </w:p>
        </w:tc>
        <w:tc>
          <w:tcPr>
            <w:tcW w:w="1701" w:type="dxa"/>
            <w:tcBorders>
              <w:top w:val="single" w:sz="4" w:space="0" w:color="auto"/>
              <w:left w:val="single" w:sz="4" w:space="0" w:color="auto"/>
              <w:bottom w:val="single" w:sz="4" w:space="0" w:color="auto"/>
              <w:right w:val="single" w:sz="4" w:space="0" w:color="auto"/>
            </w:tcBorders>
          </w:tcPr>
          <w:p w14:paraId="70A81C04" w14:textId="5BE84E3C" w:rsidR="00182126" w:rsidRDefault="00182126" w:rsidP="00182126">
            <w:pPr>
              <w:jc w:val="right"/>
              <w:rPr>
                <w:rFonts w:ascii="Arial" w:hAnsi="Arial" w:cs="Arial"/>
                <w:sz w:val="24"/>
                <w:szCs w:val="24"/>
              </w:rPr>
            </w:pPr>
            <w:r>
              <w:rPr>
                <w:rFonts w:ascii="Arial" w:hAnsi="Arial" w:cs="Arial"/>
                <w:sz w:val="24"/>
                <w:szCs w:val="24"/>
              </w:rPr>
              <w:t>41</w:t>
            </w:r>
          </w:p>
        </w:tc>
      </w:tr>
      <w:tr w:rsidR="00182126" w:rsidRPr="000D756E" w14:paraId="074474C7" w14:textId="18014B01" w:rsidTr="002B1B12">
        <w:tc>
          <w:tcPr>
            <w:tcW w:w="3256" w:type="dxa"/>
            <w:tcBorders>
              <w:top w:val="single" w:sz="4" w:space="0" w:color="auto"/>
              <w:left w:val="single" w:sz="4" w:space="0" w:color="auto"/>
              <w:bottom w:val="single" w:sz="4" w:space="0" w:color="auto"/>
              <w:right w:val="single" w:sz="4" w:space="0" w:color="auto"/>
            </w:tcBorders>
          </w:tcPr>
          <w:p w14:paraId="5FCAAC53" w14:textId="769F69E5" w:rsidR="00182126" w:rsidRPr="000D756E" w:rsidRDefault="00182126" w:rsidP="00182126">
            <w:pPr>
              <w:rPr>
                <w:rFonts w:ascii="Arial" w:hAnsi="Arial" w:cs="Arial"/>
                <w:b/>
                <w:sz w:val="24"/>
                <w:szCs w:val="24"/>
              </w:rPr>
            </w:pPr>
            <w:r w:rsidRPr="000D756E">
              <w:rPr>
                <w:rFonts w:ascii="Arial" w:hAnsi="Arial" w:cs="Arial"/>
                <w:b/>
                <w:sz w:val="24"/>
                <w:szCs w:val="24"/>
              </w:rPr>
              <w:t xml:space="preserve">Balance as at 31 March </w:t>
            </w:r>
          </w:p>
        </w:tc>
        <w:tc>
          <w:tcPr>
            <w:tcW w:w="1842" w:type="dxa"/>
            <w:tcBorders>
              <w:top w:val="single" w:sz="4" w:space="0" w:color="auto"/>
              <w:left w:val="single" w:sz="4" w:space="0" w:color="auto"/>
              <w:bottom w:val="single" w:sz="4" w:space="0" w:color="auto"/>
              <w:right w:val="single" w:sz="4" w:space="0" w:color="auto"/>
            </w:tcBorders>
          </w:tcPr>
          <w:p w14:paraId="7D41D845" w14:textId="60903B5F" w:rsidR="00182126" w:rsidRPr="000D756E" w:rsidRDefault="00182126" w:rsidP="00182126">
            <w:pPr>
              <w:jc w:val="right"/>
              <w:rPr>
                <w:rFonts w:ascii="Arial" w:hAnsi="Arial" w:cs="Arial"/>
                <w:b/>
                <w:bCs/>
                <w:sz w:val="24"/>
                <w:szCs w:val="24"/>
              </w:rPr>
            </w:pPr>
            <w:r>
              <w:rPr>
                <w:rFonts w:ascii="Arial" w:hAnsi="Arial" w:cs="Arial"/>
                <w:b/>
                <w:bCs/>
                <w:sz w:val="24"/>
                <w:szCs w:val="24"/>
              </w:rPr>
              <w:t>82</w:t>
            </w:r>
          </w:p>
        </w:tc>
        <w:tc>
          <w:tcPr>
            <w:tcW w:w="1701" w:type="dxa"/>
            <w:tcBorders>
              <w:top w:val="single" w:sz="4" w:space="0" w:color="auto"/>
              <w:left w:val="single" w:sz="4" w:space="0" w:color="auto"/>
              <w:bottom w:val="single" w:sz="4" w:space="0" w:color="auto"/>
              <w:right w:val="single" w:sz="4" w:space="0" w:color="auto"/>
            </w:tcBorders>
          </w:tcPr>
          <w:p w14:paraId="6212D363" w14:textId="558C15FB" w:rsidR="00182126" w:rsidRPr="000D756E" w:rsidRDefault="00182126" w:rsidP="00182126">
            <w:pPr>
              <w:jc w:val="right"/>
              <w:rPr>
                <w:rFonts w:ascii="Arial" w:hAnsi="Arial" w:cs="Arial"/>
                <w:b/>
                <w:sz w:val="24"/>
                <w:szCs w:val="24"/>
              </w:rPr>
            </w:pPr>
            <w:r>
              <w:rPr>
                <w:rFonts w:ascii="Arial" w:hAnsi="Arial" w:cs="Arial"/>
                <w:b/>
                <w:bCs/>
                <w:sz w:val="24"/>
                <w:szCs w:val="24"/>
              </w:rPr>
              <w:t>42</w:t>
            </w:r>
          </w:p>
        </w:tc>
        <w:tc>
          <w:tcPr>
            <w:tcW w:w="1701" w:type="dxa"/>
            <w:tcBorders>
              <w:top w:val="single" w:sz="4" w:space="0" w:color="auto"/>
              <w:left w:val="single" w:sz="4" w:space="0" w:color="auto"/>
              <w:bottom w:val="single" w:sz="4" w:space="0" w:color="auto"/>
              <w:right w:val="single" w:sz="4" w:space="0" w:color="auto"/>
            </w:tcBorders>
          </w:tcPr>
          <w:p w14:paraId="04A7219C" w14:textId="217CF967" w:rsidR="00182126" w:rsidRDefault="00182126" w:rsidP="00182126">
            <w:pPr>
              <w:jc w:val="right"/>
              <w:rPr>
                <w:rFonts w:ascii="Arial" w:hAnsi="Arial" w:cs="Arial"/>
                <w:b/>
                <w:bCs/>
                <w:sz w:val="24"/>
                <w:szCs w:val="24"/>
              </w:rPr>
            </w:pPr>
            <w:r>
              <w:rPr>
                <w:rFonts w:ascii="Arial" w:hAnsi="Arial" w:cs="Arial"/>
                <w:b/>
                <w:bCs/>
                <w:sz w:val="24"/>
                <w:szCs w:val="24"/>
              </w:rPr>
              <w:t>124</w:t>
            </w:r>
          </w:p>
        </w:tc>
      </w:tr>
    </w:tbl>
    <w:p w14:paraId="4B869735" w14:textId="579EF5C2" w:rsidR="008F6453" w:rsidRPr="000D756E" w:rsidRDefault="008F6453" w:rsidP="001D6077">
      <w:pPr>
        <w:rPr>
          <w:rFonts w:ascii="Arial" w:hAnsi="Arial" w:cs="Arial"/>
          <w:bCs/>
          <w:sz w:val="24"/>
          <w:szCs w:val="24"/>
        </w:rPr>
      </w:pPr>
    </w:p>
    <w:p w14:paraId="327D1982" w14:textId="6C1DB318" w:rsidR="001D6077" w:rsidRPr="000D756E" w:rsidRDefault="008F6453" w:rsidP="001D6077">
      <w:pPr>
        <w:rPr>
          <w:rFonts w:ascii="Arial" w:hAnsi="Arial" w:cs="Arial"/>
          <w:bCs/>
          <w:sz w:val="24"/>
          <w:szCs w:val="24"/>
        </w:rPr>
      </w:pPr>
      <w:r w:rsidRPr="000D756E">
        <w:rPr>
          <w:rFonts w:ascii="Arial" w:hAnsi="Arial" w:cs="Arial"/>
          <w:bCs/>
          <w:sz w:val="24"/>
          <w:szCs w:val="24"/>
        </w:rPr>
        <w:br w:type="page"/>
      </w:r>
    </w:p>
    <w:p w14:paraId="0F88C144" w14:textId="5550E67D" w:rsidR="002544DF" w:rsidRPr="000D756E" w:rsidRDefault="002544DF" w:rsidP="001C227A">
      <w:pPr>
        <w:numPr>
          <w:ilvl w:val="0"/>
          <w:numId w:val="15"/>
        </w:numPr>
        <w:rPr>
          <w:rFonts w:ascii="Arial" w:hAnsi="Arial" w:cs="Arial"/>
          <w:b/>
          <w:sz w:val="24"/>
          <w:szCs w:val="24"/>
        </w:rPr>
      </w:pPr>
      <w:r w:rsidRPr="000D756E">
        <w:rPr>
          <w:rFonts w:ascii="Arial" w:hAnsi="Arial" w:cs="Arial"/>
          <w:b/>
          <w:sz w:val="24"/>
          <w:szCs w:val="24"/>
        </w:rPr>
        <w:lastRenderedPageBreak/>
        <w:t xml:space="preserve">UNUSABLE RESERVES  </w:t>
      </w:r>
    </w:p>
    <w:p w14:paraId="0C6B16B0" w14:textId="77777777" w:rsidR="002544DF" w:rsidRPr="000D756E" w:rsidRDefault="002544DF" w:rsidP="002A7C01">
      <w:pPr>
        <w:rPr>
          <w:rFonts w:ascii="Arial" w:hAnsi="Arial" w:cs="Arial"/>
          <w:b/>
          <w:sz w:val="28"/>
          <w:szCs w:val="28"/>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5617"/>
        <w:gridCol w:w="1651"/>
      </w:tblGrid>
      <w:tr w:rsidR="006329E6" w:rsidRPr="000D756E" w14:paraId="2C7081E3" w14:textId="77777777" w:rsidTr="00DF1B70">
        <w:tc>
          <w:tcPr>
            <w:tcW w:w="1751" w:type="dxa"/>
          </w:tcPr>
          <w:p w14:paraId="14FEF66D" w14:textId="4B2A3050" w:rsidR="00DF1B70" w:rsidRPr="000D756E" w:rsidRDefault="00DF1B70" w:rsidP="00DF1B70">
            <w:pPr>
              <w:jc w:val="right"/>
              <w:rPr>
                <w:rFonts w:ascii="Arial" w:hAnsi="Arial" w:cs="Arial"/>
                <w:b/>
                <w:sz w:val="24"/>
                <w:szCs w:val="24"/>
              </w:rPr>
            </w:pPr>
            <w:r w:rsidRPr="000D756E">
              <w:rPr>
                <w:rFonts w:ascii="Arial" w:hAnsi="Arial" w:cs="Arial"/>
                <w:b/>
                <w:sz w:val="24"/>
                <w:szCs w:val="24"/>
              </w:rPr>
              <w:t>31 March 202</w:t>
            </w:r>
            <w:r w:rsidR="00CE7AD4">
              <w:rPr>
                <w:rFonts w:ascii="Arial" w:hAnsi="Arial" w:cs="Arial"/>
                <w:b/>
                <w:sz w:val="24"/>
                <w:szCs w:val="24"/>
              </w:rPr>
              <w:t>4</w:t>
            </w:r>
          </w:p>
          <w:p w14:paraId="649FFCB1" w14:textId="14407CF5" w:rsidR="00DF1B70" w:rsidRPr="000D756E" w:rsidRDefault="00DF1B70" w:rsidP="00DF1B70">
            <w:pPr>
              <w:jc w:val="right"/>
              <w:rPr>
                <w:rFonts w:ascii="Arial" w:hAnsi="Arial" w:cs="Arial"/>
                <w:b/>
                <w:sz w:val="24"/>
                <w:szCs w:val="24"/>
              </w:rPr>
            </w:pPr>
            <w:r w:rsidRPr="000D756E">
              <w:rPr>
                <w:rFonts w:ascii="Arial" w:hAnsi="Arial" w:cs="Arial"/>
                <w:b/>
                <w:sz w:val="24"/>
                <w:szCs w:val="24"/>
              </w:rPr>
              <w:t>£’000</w:t>
            </w:r>
          </w:p>
        </w:tc>
        <w:tc>
          <w:tcPr>
            <w:tcW w:w="5617" w:type="dxa"/>
          </w:tcPr>
          <w:p w14:paraId="00A81BB3" w14:textId="77777777" w:rsidR="00DF1B70" w:rsidRPr="000D756E" w:rsidRDefault="00DF1B70" w:rsidP="00DF1B70">
            <w:pPr>
              <w:rPr>
                <w:rFonts w:ascii="Arial" w:hAnsi="Arial" w:cs="Arial"/>
                <w:sz w:val="24"/>
                <w:szCs w:val="24"/>
              </w:rPr>
            </w:pPr>
          </w:p>
          <w:p w14:paraId="4C3B5128" w14:textId="77777777" w:rsidR="00DF1B70" w:rsidRPr="000D756E" w:rsidRDefault="00DF1B70" w:rsidP="00DF1B70">
            <w:pPr>
              <w:rPr>
                <w:rFonts w:ascii="Arial" w:hAnsi="Arial" w:cs="Arial"/>
                <w:sz w:val="24"/>
                <w:szCs w:val="24"/>
              </w:rPr>
            </w:pPr>
          </w:p>
          <w:p w14:paraId="1AA54F0A" w14:textId="77777777" w:rsidR="00DF1B70" w:rsidRPr="000D756E" w:rsidRDefault="00DF1B70" w:rsidP="00DF1B70">
            <w:pPr>
              <w:rPr>
                <w:rFonts w:ascii="Arial" w:hAnsi="Arial" w:cs="Arial"/>
                <w:sz w:val="24"/>
                <w:szCs w:val="24"/>
              </w:rPr>
            </w:pPr>
          </w:p>
        </w:tc>
        <w:tc>
          <w:tcPr>
            <w:tcW w:w="1651" w:type="dxa"/>
          </w:tcPr>
          <w:p w14:paraId="52D5F9F7" w14:textId="1AA31373" w:rsidR="00DF1B70" w:rsidRPr="000D756E" w:rsidRDefault="00DF1B70" w:rsidP="00DF1B70">
            <w:pPr>
              <w:jc w:val="right"/>
              <w:rPr>
                <w:rFonts w:ascii="Arial" w:hAnsi="Arial" w:cs="Arial"/>
                <w:b/>
                <w:sz w:val="24"/>
                <w:szCs w:val="24"/>
              </w:rPr>
            </w:pPr>
            <w:r w:rsidRPr="000D756E">
              <w:rPr>
                <w:rFonts w:ascii="Arial" w:hAnsi="Arial" w:cs="Arial"/>
                <w:b/>
                <w:sz w:val="24"/>
                <w:szCs w:val="24"/>
              </w:rPr>
              <w:t>31 March 202</w:t>
            </w:r>
            <w:r w:rsidR="00CE7AD4">
              <w:rPr>
                <w:rFonts w:ascii="Arial" w:hAnsi="Arial" w:cs="Arial"/>
                <w:b/>
                <w:sz w:val="24"/>
                <w:szCs w:val="24"/>
              </w:rPr>
              <w:t>5</w:t>
            </w:r>
          </w:p>
          <w:p w14:paraId="75E34F92" w14:textId="77777777" w:rsidR="00DF1B70" w:rsidRPr="000D756E" w:rsidRDefault="00DF1B70" w:rsidP="00DF1B70">
            <w:pPr>
              <w:jc w:val="right"/>
              <w:rPr>
                <w:rFonts w:ascii="Arial" w:hAnsi="Arial" w:cs="Arial"/>
                <w:b/>
                <w:sz w:val="24"/>
                <w:szCs w:val="24"/>
              </w:rPr>
            </w:pPr>
            <w:r w:rsidRPr="000D756E">
              <w:rPr>
                <w:rFonts w:ascii="Arial" w:hAnsi="Arial" w:cs="Arial"/>
                <w:b/>
                <w:sz w:val="24"/>
                <w:szCs w:val="24"/>
              </w:rPr>
              <w:t>£’000</w:t>
            </w:r>
          </w:p>
        </w:tc>
      </w:tr>
      <w:tr w:rsidR="00CE7AD4" w:rsidRPr="000D756E" w14:paraId="59528A0F" w14:textId="77777777" w:rsidTr="00DF1B70">
        <w:trPr>
          <w:trHeight w:val="393"/>
        </w:trPr>
        <w:tc>
          <w:tcPr>
            <w:tcW w:w="1751" w:type="dxa"/>
          </w:tcPr>
          <w:p w14:paraId="4BA11316" w14:textId="4FCD23E5" w:rsidR="00CE7AD4" w:rsidRPr="000D756E" w:rsidRDefault="00CE7AD4" w:rsidP="00CE7AD4">
            <w:pPr>
              <w:jc w:val="right"/>
              <w:rPr>
                <w:rFonts w:ascii="Arial" w:hAnsi="Arial" w:cs="Arial"/>
                <w:sz w:val="24"/>
                <w:szCs w:val="24"/>
              </w:rPr>
            </w:pPr>
            <w:r w:rsidRPr="000D756E">
              <w:rPr>
                <w:rFonts w:ascii="Arial" w:hAnsi="Arial" w:cs="Arial"/>
                <w:sz w:val="24"/>
                <w:szCs w:val="24"/>
              </w:rPr>
              <w:t>14,750</w:t>
            </w:r>
          </w:p>
        </w:tc>
        <w:tc>
          <w:tcPr>
            <w:tcW w:w="5617" w:type="dxa"/>
          </w:tcPr>
          <w:p w14:paraId="1E8F2016" w14:textId="77777777" w:rsidR="00CE7AD4" w:rsidRPr="000D756E" w:rsidRDefault="00CE7AD4" w:rsidP="00CE7AD4">
            <w:pPr>
              <w:rPr>
                <w:rFonts w:ascii="Arial" w:hAnsi="Arial" w:cs="Arial"/>
                <w:sz w:val="24"/>
                <w:szCs w:val="24"/>
              </w:rPr>
            </w:pPr>
            <w:r w:rsidRPr="000D756E">
              <w:rPr>
                <w:rFonts w:ascii="Arial" w:hAnsi="Arial" w:cs="Arial"/>
                <w:sz w:val="24"/>
                <w:szCs w:val="24"/>
              </w:rPr>
              <w:t xml:space="preserve">Revaluation Reserve                                                       </w:t>
            </w:r>
          </w:p>
        </w:tc>
        <w:tc>
          <w:tcPr>
            <w:tcW w:w="1651" w:type="dxa"/>
          </w:tcPr>
          <w:p w14:paraId="73CEA310" w14:textId="7ADF394D" w:rsidR="00CE7AD4" w:rsidRPr="000D756E" w:rsidRDefault="00994956" w:rsidP="00CE7AD4">
            <w:pPr>
              <w:jc w:val="right"/>
              <w:rPr>
                <w:rFonts w:ascii="Arial" w:hAnsi="Arial" w:cs="Arial"/>
                <w:sz w:val="24"/>
                <w:szCs w:val="24"/>
              </w:rPr>
            </w:pPr>
            <w:r>
              <w:rPr>
                <w:rFonts w:ascii="Arial" w:hAnsi="Arial" w:cs="Arial"/>
                <w:sz w:val="24"/>
                <w:szCs w:val="24"/>
              </w:rPr>
              <w:t>17,994</w:t>
            </w:r>
          </w:p>
        </w:tc>
      </w:tr>
      <w:tr w:rsidR="00CE7AD4" w:rsidRPr="000D756E" w14:paraId="4616E303" w14:textId="77777777" w:rsidTr="00DF1B70">
        <w:trPr>
          <w:trHeight w:val="426"/>
        </w:trPr>
        <w:tc>
          <w:tcPr>
            <w:tcW w:w="1751" w:type="dxa"/>
          </w:tcPr>
          <w:p w14:paraId="50020F01" w14:textId="333AE16D" w:rsidR="00CE7AD4" w:rsidRPr="000D756E" w:rsidRDefault="00CE7AD4" w:rsidP="00CE7AD4">
            <w:pPr>
              <w:jc w:val="right"/>
              <w:rPr>
                <w:rFonts w:ascii="Arial" w:hAnsi="Arial" w:cs="Arial"/>
                <w:sz w:val="24"/>
                <w:szCs w:val="24"/>
              </w:rPr>
            </w:pPr>
            <w:r w:rsidRPr="000D756E">
              <w:rPr>
                <w:rFonts w:ascii="Arial" w:hAnsi="Arial" w:cs="Arial"/>
                <w:sz w:val="24"/>
                <w:szCs w:val="24"/>
              </w:rPr>
              <w:t>7,072</w:t>
            </w:r>
          </w:p>
        </w:tc>
        <w:tc>
          <w:tcPr>
            <w:tcW w:w="5617" w:type="dxa"/>
          </w:tcPr>
          <w:p w14:paraId="3408E26B" w14:textId="77777777" w:rsidR="00CE7AD4" w:rsidRPr="000D756E" w:rsidRDefault="00CE7AD4" w:rsidP="00CE7AD4">
            <w:pPr>
              <w:rPr>
                <w:rFonts w:ascii="Arial" w:hAnsi="Arial" w:cs="Arial"/>
                <w:sz w:val="24"/>
                <w:szCs w:val="24"/>
              </w:rPr>
            </w:pPr>
            <w:r w:rsidRPr="000D756E">
              <w:rPr>
                <w:rFonts w:ascii="Arial" w:hAnsi="Arial" w:cs="Arial"/>
                <w:sz w:val="24"/>
                <w:szCs w:val="24"/>
              </w:rPr>
              <w:t xml:space="preserve">Capital Adjustment Account                             </w:t>
            </w:r>
          </w:p>
        </w:tc>
        <w:tc>
          <w:tcPr>
            <w:tcW w:w="1651" w:type="dxa"/>
          </w:tcPr>
          <w:p w14:paraId="53E2FD29" w14:textId="74982F6D" w:rsidR="00CE7AD4" w:rsidRPr="000D756E" w:rsidRDefault="00994956" w:rsidP="00CE7AD4">
            <w:pPr>
              <w:jc w:val="right"/>
              <w:rPr>
                <w:rFonts w:ascii="Arial" w:hAnsi="Arial" w:cs="Arial"/>
                <w:sz w:val="24"/>
                <w:szCs w:val="24"/>
              </w:rPr>
            </w:pPr>
            <w:r>
              <w:rPr>
                <w:rFonts w:ascii="Arial" w:hAnsi="Arial" w:cs="Arial"/>
                <w:sz w:val="24"/>
                <w:szCs w:val="24"/>
              </w:rPr>
              <w:t>9,218</w:t>
            </w:r>
          </w:p>
        </w:tc>
      </w:tr>
      <w:tr w:rsidR="00CE7AD4" w:rsidRPr="000D756E" w14:paraId="6434E2AD" w14:textId="77777777">
        <w:trPr>
          <w:trHeight w:val="405"/>
        </w:trPr>
        <w:tc>
          <w:tcPr>
            <w:tcW w:w="1751" w:type="dxa"/>
          </w:tcPr>
          <w:p w14:paraId="06752926" w14:textId="564F014B" w:rsidR="00CE7AD4" w:rsidRPr="000D756E" w:rsidRDefault="00CE7AD4" w:rsidP="00CE7AD4">
            <w:pPr>
              <w:jc w:val="right"/>
              <w:rPr>
                <w:rFonts w:ascii="Arial" w:hAnsi="Arial" w:cs="Arial"/>
                <w:sz w:val="24"/>
                <w:szCs w:val="24"/>
              </w:rPr>
            </w:pPr>
            <w:r w:rsidRPr="000D756E">
              <w:rPr>
                <w:rFonts w:ascii="Arial" w:hAnsi="Arial" w:cs="Arial"/>
                <w:sz w:val="24"/>
                <w:szCs w:val="24"/>
              </w:rPr>
              <w:t>0</w:t>
            </w:r>
          </w:p>
        </w:tc>
        <w:tc>
          <w:tcPr>
            <w:tcW w:w="5617" w:type="dxa"/>
          </w:tcPr>
          <w:p w14:paraId="34D63C5F" w14:textId="77777777" w:rsidR="00CE7AD4" w:rsidRPr="000D756E" w:rsidRDefault="00CE7AD4" w:rsidP="00CE7AD4">
            <w:pPr>
              <w:rPr>
                <w:rFonts w:ascii="Arial" w:hAnsi="Arial" w:cs="Arial"/>
                <w:sz w:val="24"/>
                <w:szCs w:val="24"/>
              </w:rPr>
            </w:pPr>
            <w:r w:rsidRPr="000D756E">
              <w:rPr>
                <w:rFonts w:ascii="Arial" w:hAnsi="Arial" w:cs="Arial"/>
                <w:sz w:val="24"/>
                <w:szCs w:val="24"/>
              </w:rPr>
              <w:t xml:space="preserve"> LGPS Pensions Reserve                                </w:t>
            </w:r>
          </w:p>
        </w:tc>
        <w:tc>
          <w:tcPr>
            <w:tcW w:w="1651" w:type="dxa"/>
          </w:tcPr>
          <w:p w14:paraId="19D6E5A6" w14:textId="0D60559F" w:rsidR="00CE7AD4" w:rsidRPr="000D756E" w:rsidRDefault="00994956" w:rsidP="00CE7AD4">
            <w:pPr>
              <w:jc w:val="right"/>
              <w:rPr>
                <w:rFonts w:ascii="Arial" w:hAnsi="Arial" w:cs="Arial"/>
                <w:sz w:val="24"/>
                <w:szCs w:val="24"/>
              </w:rPr>
            </w:pPr>
            <w:r>
              <w:rPr>
                <w:rFonts w:ascii="Arial" w:hAnsi="Arial" w:cs="Arial"/>
                <w:sz w:val="24"/>
                <w:szCs w:val="24"/>
              </w:rPr>
              <w:t>0</w:t>
            </w:r>
          </w:p>
        </w:tc>
      </w:tr>
      <w:tr w:rsidR="00CE7AD4" w:rsidRPr="000D756E" w14:paraId="3C451A35" w14:textId="77777777">
        <w:trPr>
          <w:trHeight w:val="411"/>
        </w:trPr>
        <w:tc>
          <w:tcPr>
            <w:tcW w:w="1751" w:type="dxa"/>
          </w:tcPr>
          <w:p w14:paraId="48FB2141" w14:textId="60C51635" w:rsidR="00CE7AD4" w:rsidRPr="000D756E" w:rsidRDefault="00CE7AD4" w:rsidP="00CE7AD4">
            <w:pPr>
              <w:jc w:val="right"/>
              <w:rPr>
                <w:rFonts w:ascii="Arial" w:hAnsi="Arial" w:cs="Arial"/>
                <w:sz w:val="24"/>
                <w:szCs w:val="24"/>
              </w:rPr>
            </w:pPr>
            <w:r w:rsidRPr="000D756E">
              <w:rPr>
                <w:rFonts w:ascii="Arial" w:hAnsi="Arial" w:cs="Arial"/>
                <w:sz w:val="24"/>
                <w:szCs w:val="24"/>
              </w:rPr>
              <w:t>-182,587</w:t>
            </w:r>
          </w:p>
        </w:tc>
        <w:tc>
          <w:tcPr>
            <w:tcW w:w="5617" w:type="dxa"/>
          </w:tcPr>
          <w:p w14:paraId="1181C048" w14:textId="77777777" w:rsidR="00CE7AD4" w:rsidRPr="000D756E" w:rsidRDefault="00CE7AD4" w:rsidP="00CE7AD4">
            <w:pPr>
              <w:rPr>
                <w:rFonts w:ascii="Arial" w:hAnsi="Arial" w:cs="Arial"/>
                <w:sz w:val="24"/>
                <w:szCs w:val="24"/>
              </w:rPr>
            </w:pPr>
            <w:r w:rsidRPr="000D756E">
              <w:rPr>
                <w:rFonts w:ascii="Arial" w:hAnsi="Arial" w:cs="Arial"/>
                <w:sz w:val="24"/>
                <w:szCs w:val="24"/>
              </w:rPr>
              <w:t xml:space="preserve">Fire Pensions Reserve           </w:t>
            </w:r>
          </w:p>
        </w:tc>
        <w:tc>
          <w:tcPr>
            <w:tcW w:w="1651" w:type="dxa"/>
          </w:tcPr>
          <w:p w14:paraId="39BA5469" w14:textId="1044B92F" w:rsidR="00CE7AD4" w:rsidRPr="000D756E" w:rsidRDefault="00994956" w:rsidP="00CE7AD4">
            <w:pPr>
              <w:jc w:val="right"/>
              <w:rPr>
                <w:rFonts w:ascii="Arial" w:hAnsi="Arial" w:cs="Arial"/>
                <w:sz w:val="24"/>
                <w:szCs w:val="24"/>
              </w:rPr>
            </w:pPr>
            <w:r>
              <w:rPr>
                <w:rFonts w:ascii="Arial" w:hAnsi="Arial" w:cs="Arial"/>
                <w:sz w:val="24"/>
                <w:szCs w:val="24"/>
              </w:rPr>
              <w:t>-161,105</w:t>
            </w:r>
          </w:p>
        </w:tc>
      </w:tr>
      <w:tr w:rsidR="00CE7AD4" w:rsidRPr="000D756E" w14:paraId="13956F8B" w14:textId="77777777" w:rsidTr="00DF1B70">
        <w:trPr>
          <w:trHeight w:val="417"/>
        </w:trPr>
        <w:tc>
          <w:tcPr>
            <w:tcW w:w="1751" w:type="dxa"/>
          </w:tcPr>
          <w:p w14:paraId="7A7D4863" w14:textId="72E0F428" w:rsidR="00CE7AD4" w:rsidRPr="000D756E" w:rsidRDefault="00CE7AD4" w:rsidP="00CE7AD4">
            <w:pPr>
              <w:jc w:val="right"/>
              <w:rPr>
                <w:rFonts w:ascii="Arial" w:hAnsi="Arial" w:cs="Arial"/>
                <w:sz w:val="24"/>
                <w:szCs w:val="24"/>
              </w:rPr>
            </w:pPr>
            <w:r w:rsidRPr="000D756E">
              <w:rPr>
                <w:rFonts w:ascii="Arial" w:hAnsi="Arial" w:cs="Arial"/>
                <w:sz w:val="24"/>
                <w:szCs w:val="24"/>
              </w:rPr>
              <w:t>61</w:t>
            </w:r>
          </w:p>
        </w:tc>
        <w:tc>
          <w:tcPr>
            <w:tcW w:w="5617" w:type="dxa"/>
          </w:tcPr>
          <w:p w14:paraId="461C3D68" w14:textId="77777777" w:rsidR="00CE7AD4" w:rsidRPr="000D756E" w:rsidRDefault="00CE7AD4" w:rsidP="00CE7AD4">
            <w:pPr>
              <w:rPr>
                <w:rFonts w:ascii="Arial" w:hAnsi="Arial" w:cs="Arial"/>
                <w:sz w:val="24"/>
                <w:szCs w:val="24"/>
              </w:rPr>
            </w:pPr>
            <w:r w:rsidRPr="000D756E">
              <w:rPr>
                <w:rFonts w:ascii="Arial" w:hAnsi="Arial" w:cs="Arial"/>
                <w:sz w:val="24"/>
                <w:szCs w:val="24"/>
              </w:rPr>
              <w:t xml:space="preserve">Collection Fund Adjustment Account   </w:t>
            </w:r>
          </w:p>
        </w:tc>
        <w:tc>
          <w:tcPr>
            <w:tcW w:w="1651" w:type="dxa"/>
          </w:tcPr>
          <w:p w14:paraId="446C8E21" w14:textId="6C4C6F84" w:rsidR="00CE7AD4" w:rsidRPr="000D756E" w:rsidRDefault="00A526B4" w:rsidP="00CE7AD4">
            <w:pPr>
              <w:jc w:val="right"/>
              <w:rPr>
                <w:rFonts w:ascii="Arial" w:hAnsi="Arial" w:cs="Arial"/>
                <w:sz w:val="24"/>
                <w:szCs w:val="24"/>
              </w:rPr>
            </w:pPr>
            <w:r>
              <w:rPr>
                <w:rFonts w:ascii="Arial" w:hAnsi="Arial" w:cs="Arial"/>
                <w:sz w:val="24"/>
                <w:szCs w:val="24"/>
              </w:rPr>
              <w:t>32</w:t>
            </w:r>
            <w:r w:rsidR="009D7BCD">
              <w:rPr>
                <w:rFonts w:ascii="Arial" w:hAnsi="Arial" w:cs="Arial"/>
                <w:sz w:val="24"/>
                <w:szCs w:val="24"/>
              </w:rPr>
              <w:t>8</w:t>
            </w:r>
          </w:p>
        </w:tc>
      </w:tr>
      <w:tr w:rsidR="00CE7AD4" w:rsidRPr="000D756E" w14:paraId="791F6D60" w14:textId="77777777" w:rsidTr="00DF1B70">
        <w:trPr>
          <w:trHeight w:val="422"/>
        </w:trPr>
        <w:tc>
          <w:tcPr>
            <w:tcW w:w="1751" w:type="dxa"/>
          </w:tcPr>
          <w:p w14:paraId="4037E834" w14:textId="14506604" w:rsidR="00CE7AD4" w:rsidRPr="000D756E" w:rsidRDefault="00CE7AD4" w:rsidP="00CE7AD4">
            <w:pPr>
              <w:jc w:val="right"/>
              <w:rPr>
                <w:rFonts w:ascii="Arial" w:hAnsi="Arial" w:cs="Arial"/>
                <w:sz w:val="24"/>
                <w:szCs w:val="24"/>
              </w:rPr>
            </w:pPr>
            <w:r w:rsidRPr="000D756E">
              <w:rPr>
                <w:rFonts w:ascii="Arial" w:hAnsi="Arial" w:cs="Arial"/>
                <w:sz w:val="24"/>
                <w:szCs w:val="24"/>
              </w:rPr>
              <w:t>-192</w:t>
            </w:r>
          </w:p>
        </w:tc>
        <w:tc>
          <w:tcPr>
            <w:tcW w:w="5617" w:type="dxa"/>
          </w:tcPr>
          <w:p w14:paraId="74D99251" w14:textId="77777777" w:rsidR="00CE7AD4" w:rsidRPr="000D756E" w:rsidRDefault="00CE7AD4" w:rsidP="00CE7AD4">
            <w:pPr>
              <w:rPr>
                <w:rFonts w:ascii="Arial" w:hAnsi="Arial" w:cs="Arial"/>
                <w:sz w:val="24"/>
                <w:szCs w:val="24"/>
              </w:rPr>
            </w:pPr>
            <w:r w:rsidRPr="000D756E">
              <w:rPr>
                <w:rFonts w:ascii="Arial" w:hAnsi="Arial" w:cs="Arial"/>
                <w:sz w:val="24"/>
                <w:szCs w:val="24"/>
              </w:rPr>
              <w:t xml:space="preserve">Accumulated Absences Account      </w:t>
            </w:r>
          </w:p>
        </w:tc>
        <w:tc>
          <w:tcPr>
            <w:tcW w:w="1651" w:type="dxa"/>
          </w:tcPr>
          <w:p w14:paraId="59CF19D9" w14:textId="7327C355" w:rsidR="00CE7AD4" w:rsidRPr="000D756E" w:rsidRDefault="00A526B4" w:rsidP="00CE7AD4">
            <w:pPr>
              <w:jc w:val="right"/>
              <w:rPr>
                <w:rFonts w:ascii="Arial" w:hAnsi="Arial" w:cs="Arial"/>
                <w:sz w:val="24"/>
                <w:szCs w:val="24"/>
              </w:rPr>
            </w:pPr>
            <w:r>
              <w:rPr>
                <w:rFonts w:ascii="Arial" w:hAnsi="Arial" w:cs="Arial"/>
                <w:sz w:val="24"/>
                <w:szCs w:val="24"/>
              </w:rPr>
              <w:t>-20</w:t>
            </w:r>
            <w:r w:rsidR="001E4751">
              <w:rPr>
                <w:rFonts w:ascii="Arial" w:hAnsi="Arial" w:cs="Arial"/>
                <w:sz w:val="24"/>
                <w:szCs w:val="24"/>
              </w:rPr>
              <w:t>4</w:t>
            </w:r>
          </w:p>
        </w:tc>
      </w:tr>
      <w:tr w:rsidR="00CE7AD4" w:rsidRPr="000D756E" w14:paraId="45D21AE8" w14:textId="77777777" w:rsidTr="00DF1B70">
        <w:trPr>
          <w:trHeight w:val="415"/>
        </w:trPr>
        <w:tc>
          <w:tcPr>
            <w:tcW w:w="1751" w:type="dxa"/>
          </w:tcPr>
          <w:p w14:paraId="1F6F3E8E" w14:textId="4F6ADD43" w:rsidR="00CE7AD4" w:rsidRPr="000D756E" w:rsidRDefault="00CE7AD4" w:rsidP="00CE7AD4">
            <w:pPr>
              <w:jc w:val="right"/>
              <w:rPr>
                <w:rFonts w:ascii="Arial" w:hAnsi="Arial" w:cs="Arial"/>
                <w:b/>
                <w:sz w:val="24"/>
                <w:szCs w:val="24"/>
              </w:rPr>
            </w:pPr>
            <w:r w:rsidRPr="000D756E">
              <w:rPr>
                <w:rFonts w:ascii="Arial" w:hAnsi="Arial" w:cs="Arial"/>
                <w:b/>
                <w:sz w:val="24"/>
                <w:szCs w:val="24"/>
              </w:rPr>
              <w:t>-160,896</w:t>
            </w:r>
          </w:p>
        </w:tc>
        <w:tc>
          <w:tcPr>
            <w:tcW w:w="5617" w:type="dxa"/>
          </w:tcPr>
          <w:p w14:paraId="22259C42" w14:textId="77777777" w:rsidR="00CE7AD4" w:rsidRPr="000D756E" w:rsidRDefault="00CE7AD4" w:rsidP="00CE7AD4">
            <w:pPr>
              <w:rPr>
                <w:rFonts w:ascii="Arial" w:hAnsi="Arial" w:cs="Arial"/>
                <w:b/>
                <w:sz w:val="24"/>
                <w:szCs w:val="24"/>
              </w:rPr>
            </w:pPr>
            <w:r w:rsidRPr="000D756E">
              <w:rPr>
                <w:rFonts w:ascii="Arial" w:hAnsi="Arial" w:cs="Arial"/>
                <w:b/>
                <w:sz w:val="24"/>
                <w:szCs w:val="24"/>
              </w:rPr>
              <w:t xml:space="preserve">Total Unusable Reserves </w:t>
            </w:r>
          </w:p>
        </w:tc>
        <w:tc>
          <w:tcPr>
            <w:tcW w:w="1651" w:type="dxa"/>
          </w:tcPr>
          <w:p w14:paraId="17E84CAC" w14:textId="4DF778FC" w:rsidR="00CE7AD4" w:rsidRPr="000D756E" w:rsidRDefault="001E4751" w:rsidP="00CE7AD4">
            <w:pPr>
              <w:jc w:val="right"/>
              <w:rPr>
                <w:rFonts w:ascii="Arial" w:hAnsi="Arial" w:cs="Arial"/>
                <w:b/>
                <w:sz w:val="24"/>
                <w:szCs w:val="24"/>
              </w:rPr>
            </w:pPr>
            <w:r>
              <w:rPr>
                <w:rFonts w:ascii="Arial" w:hAnsi="Arial" w:cs="Arial"/>
                <w:b/>
                <w:sz w:val="24"/>
                <w:szCs w:val="24"/>
              </w:rPr>
              <w:t>-133,769</w:t>
            </w:r>
          </w:p>
        </w:tc>
      </w:tr>
    </w:tbl>
    <w:p w14:paraId="0E8D1675" w14:textId="77777777" w:rsidR="00DF11C7" w:rsidRPr="000D756E" w:rsidRDefault="00DF11C7" w:rsidP="002A7C01">
      <w:pPr>
        <w:rPr>
          <w:rFonts w:ascii="Arial" w:hAnsi="Arial" w:cs="Arial"/>
          <w:b/>
          <w:sz w:val="24"/>
          <w:szCs w:val="24"/>
        </w:rPr>
      </w:pPr>
    </w:p>
    <w:p w14:paraId="4FDE86C9" w14:textId="77777777" w:rsidR="002544DF" w:rsidRPr="000D756E" w:rsidRDefault="002544DF" w:rsidP="002A7C01">
      <w:pPr>
        <w:rPr>
          <w:rFonts w:ascii="Arial" w:hAnsi="Arial" w:cs="Arial"/>
          <w:b/>
          <w:sz w:val="24"/>
          <w:szCs w:val="24"/>
        </w:rPr>
      </w:pPr>
      <w:r w:rsidRPr="000D756E">
        <w:rPr>
          <w:rFonts w:ascii="Arial" w:hAnsi="Arial" w:cs="Arial"/>
          <w:b/>
          <w:sz w:val="24"/>
          <w:szCs w:val="24"/>
        </w:rPr>
        <w:t>Revaluation Reserve</w:t>
      </w:r>
    </w:p>
    <w:p w14:paraId="5B569776" w14:textId="4A6C9F79" w:rsidR="002544DF" w:rsidRPr="000D756E" w:rsidRDefault="002544DF" w:rsidP="002A7C01">
      <w:pPr>
        <w:rPr>
          <w:rFonts w:ascii="Arial" w:hAnsi="Arial" w:cs="Arial"/>
          <w:sz w:val="24"/>
          <w:szCs w:val="24"/>
        </w:rPr>
      </w:pPr>
      <w:r w:rsidRPr="000D756E">
        <w:rPr>
          <w:rFonts w:ascii="Arial" w:hAnsi="Arial" w:cs="Arial"/>
          <w:sz w:val="24"/>
          <w:szCs w:val="24"/>
        </w:rPr>
        <w:t>The Revaluation Reserve contains the gains made by the Authority arising from increases in the value of its Property Plant and Equipment. The balance is reduced when the assets with accumulated gains are:</w:t>
      </w:r>
    </w:p>
    <w:p w14:paraId="23FD7983" w14:textId="77777777" w:rsidR="002544DF" w:rsidRPr="000D756E" w:rsidRDefault="002544DF" w:rsidP="001C227A">
      <w:pPr>
        <w:numPr>
          <w:ilvl w:val="0"/>
          <w:numId w:val="14"/>
        </w:numPr>
        <w:tabs>
          <w:tab w:val="clear" w:pos="1758"/>
          <w:tab w:val="num" w:pos="567"/>
        </w:tabs>
        <w:ind w:left="567" w:hanging="454"/>
        <w:rPr>
          <w:rFonts w:ascii="Arial" w:hAnsi="Arial" w:cs="Arial"/>
          <w:sz w:val="24"/>
          <w:szCs w:val="24"/>
        </w:rPr>
      </w:pPr>
      <w:r w:rsidRPr="000D756E">
        <w:rPr>
          <w:rFonts w:ascii="Arial" w:hAnsi="Arial" w:cs="Arial"/>
          <w:sz w:val="24"/>
          <w:szCs w:val="24"/>
        </w:rPr>
        <w:t>Revalued downwards or impaired and the gains are lost</w:t>
      </w:r>
    </w:p>
    <w:p w14:paraId="4E2B62CB" w14:textId="77777777" w:rsidR="002544DF" w:rsidRPr="000D756E" w:rsidRDefault="002544DF" w:rsidP="001C227A">
      <w:pPr>
        <w:numPr>
          <w:ilvl w:val="0"/>
          <w:numId w:val="14"/>
        </w:numPr>
        <w:tabs>
          <w:tab w:val="clear" w:pos="1758"/>
          <w:tab w:val="num" w:pos="567"/>
        </w:tabs>
        <w:ind w:left="567" w:hanging="454"/>
        <w:rPr>
          <w:rFonts w:ascii="Arial" w:hAnsi="Arial" w:cs="Arial"/>
          <w:sz w:val="24"/>
          <w:szCs w:val="24"/>
        </w:rPr>
      </w:pPr>
      <w:r w:rsidRPr="000D756E">
        <w:rPr>
          <w:rFonts w:ascii="Arial" w:hAnsi="Arial" w:cs="Arial"/>
          <w:sz w:val="24"/>
          <w:szCs w:val="24"/>
        </w:rPr>
        <w:t>Used in the provision of services and th</w:t>
      </w:r>
      <w:r w:rsidR="00610F15" w:rsidRPr="000D756E">
        <w:rPr>
          <w:rFonts w:ascii="Arial" w:hAnsi="Arial" w:cs="Arial"/>
          <w:sz w:val="24"/>
          <w:szCs w:val="24"/>
        </w:rPr>
        <w:t xml:space="preserve">e gains are consumed through </w:t>
      </w:r>
      <w:r w:rsidRPr="000D756E">
        <w:rPr>
          <w:rFonts w:ascii="Arial" w:hAnsi="Arial" w:cs="Arial"/>
          <w:sz w:val="24"/>
          <w:szCs w:val="24"/>
        </w:rPr>
        <w:t>depreciation, or</w:t>
      </w:r>
    </w:p>
    <w:p w14:paraId="69F3C123" w14:textId="74E9D261" w:rsidR="002544DF" w:rsidRPr="000D756E" w:rsidRDefault="002544DF" w:rsidP="002A7C01">
      <w:pPr>
        <w:numPr>
          <w:ilvl w:val="0"/>
          <w:numId w:val="14"/>
        </w:numPr>
        <w:tabs>
          <w:tab w:val="clear" w:pos="1758"/>
          <w:tab w:val="num" w:pos="567"/>
        </w:tabs>
        <w:ind w:left="567" w:hanging="454"/>
        <w:rPr>
          <w:rFonts w:ascii="Arial" w:hAnsi="Arial" w:cs="Arial"/>
          <w:sz w:val="24"/>
          <w:szCs w:val="24"/>
        </w:rPr>
      </w:pPr>
      <w:r w:rsidRPr="000D756E">
        <w:rPr>
          <w:rFonts w:ascii="Arial" w:hAnsi="Arial" w:cs="Arial"/>
          <w:sz w:val="24"/>
          <w:szCs w:val="24"/>
        </w:rPr>
        <w:t>Disposed of and the gains are realised.</w:t>
      </w:r>
    </w:p>
    <w:p w14:paraId="474558EB" w14:textId="77777777" w:rsidR="002544DF" w:rsidRPr="000D756E" w:rsidRDefault="002544DF" w:rsidP="002A7C01">
      <w:pPr>
        <w:rPr>
          <w:rFonts w:ascii="Arial" w:hAnsi="Arial" w:cs="Arial"/>
          <w:sz w:val="24"/>
          <w:szCs w:val="24"/>
        </w:rPr>
      </w:pPr>
      <w:r w:rsidRPr="000D756E">
        <w:rPr>
          <w:rFonts w:ascii="Arial" w:hAnsi="Arial" w:cs="Arial"/>
          <w:sz w:val="24"/>
          <w:szCs w:val="24"/>
        </w:rPr>
        <w:t>The Reserve contains only revaluation gains accumulated since 1 April 2007, the date that the Reserve was created. Accumulated gains arising before that date are consolidated into the balance on the Capital Adjustment Account.</w:t>
      </w:r>
    </w:p>
    <w:p w14:paraId="4A711D37" w14:textId="77777777" w:rsidR="002544DF" w:rsidRPr="000D756E" w:rsidRDefault="002544DF" w:rsidP="002A7C01">
      <w:pPr>
        <w:rPr>
          <w:rFonts w:ascii="Arial" w:hAnsi="Arial" w:cs="Arial"/>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5619"/>
        <w:gridCol w:w="1651"/>
      </w:tblGrid>
      <w:tr w:rsidR="006329E6" w:rsidRPr="000D756E" w14:paraId="6166F34D" w14:textId="77777777" w:rsidTr="00DF1B70">
        <w:tc>
          <w:tcPr>
            <w:tcW w:w="1749" w:type="dxa"/>
          </w:tcPr>
          <w:p w14:paraId="34B70999" w14:textId="347E5902" w:rsidR="00DF1B70" w:rsidRPr="000D756E" w:rsidRDefault="00DF1B70" w:rsidP="00DF1B70">
            <w:pPr>
              <w:jc w:val="right"/>
              <w:rPr>
                <w:rFonts w:ascii="Arial" w:hAnsi="Arial" w:cs="Arial"/>
                <w:b/>
                <w:sz w:val="24"/>
                <w:szCs w:val="24"/>
              </w:rPr>
            </w:pPr>
            <w:r w:rsidRPr="000D756E">
              <w:rPr>
                <w:rFonts w:ascii="Arial" w:hAnsi="Arial" w:cs="Arial"/>
                <w:b/>
                <w:sz w:val="24"/>
                <w:szCs w:val="24"/>
              </w:rPr>
              <w:t>20</w:t>
            </w:r>
            <w:r w:rsidR="00113C4E" w:rsidRPr="000D756E">
              <w:rPr>
                <w:rFonts w:ascii="Arial" w:hAnsi="Arial" w:cs="Arial"/>
                <w:b/>
                <w:sz w:val="24"/>
                <w:szCs w:val="24"/>
              </w:rPr>
              <w:t>2</w:t>
            </w:r>
            <w:r w:rsidR="00CE7AD4">
              <w:rPr>
                <w:rFonts w:ascii="Arial" w:hAnsi="Arial" w:cs="Arial"/>
                <w:b/>
                <w:sz w:val="24"/>
                <w:szCs w:val="24"/>
              </w:rPr>
              <w:t>3/24</w:t>
            </w:r>
          </w:p>
          <w:p w14:paraId="1FBAC3FE" w14:textId="6CF803A7" w:rsidR="00DF1B70" w:rsidRPr="000D756E" w:rsidRDefault="00DF1B70" w:rsidP="00DF1B70">
            <w:pPr>
              <w:jc w:val="right"/>
              <w:rPr>
                <w:rFonts w:ascii="Arial" w:hAnsi="Arial" w:cs="Arial"/>
                <w:b/>
                <w:sz w:val="24"/>
                <w:szCs w:val="24"/>
              </w:rPr>
            </w:pPr>
            <w:r w:rsidRPr="000D756E">
              <w:rPr>
                <w:rFonts w:ascii="Arial" w:hAnsi="Arial" w:cs="Arial"/>
                <w:b/>
                <w:sz w:val="24"/>
                <w:szCs w:val="24"/>
              </w:rPr>
              <w:t>£’000</w:t>
            </w:r>
          </w:p>
        </w:tc>
        <w:tc>
          <w:tcPr>
            <w:tcW w:w="5619" w:type="dxa"/>
          </w:tcPr>
          <w:p w14:paraId="1CD22D4F" w14:textId="77777777" w:rsidR="00DF1B70" w:rsidRPr="000D756E" w:rsidRDefault="00DF1B70" w:rsidP="00DF1B70">
            <w:pPr>
              <w:rPr>
                <w:rFonts w:ascii="Arial" w:hAnsi="Arial" w:cs="Arial"/>
                <w:b/>
                <w:sz w:val="24"/>
                <w:szCs w:val="24"/>
              </w:rPr>
            </w:pPr>
          </w:p>
        </w:tc>
        <w:tc>
          <w:tcPr>
            <w:tcW w:w="1651" w:type="dxa"/>
          </w:tcPr>
          <w:p w14:paraId="4620EC04" w14:textId="15BE4332" w:rsidR="00DF1B70" w:rsidRPr="000D756E" w:rsidRDefault="00DF1B70" w:rsidP="00DF1B70">
            <w:pPr>
              <w:jc w:val="right"/>
              <w:rPr>
                <w:rFonts w:ascii="Arial" w:hAnsi="Arial" w:cs="Arial"/>
                <w:b/>
                <w:sz w:val="24"/>
                <w:szCs w:val="24"/>
              </w:rPr>
            </w:pPr>
            <w:r w:rsidRPr="000D756E">
              <w:rPr>
                <w:rFonts w:ascii="Arial" w:hAnsi="Arial" w:cs="Arial"/>
                <w:b/>
                <w:sz w:val="24"/>
                <w:szCs w:val="24"/>
              </w:rPr>
              <w:t>202</w:t>
            </w:r>
            <w:r w:rsidR="00CE7AD4">
              <w:rPr>
                <w:rFonts w:ascii="Arial" w:hAnsi="Arial" w:cs="Arial"/>
                <w:b/>
                <w:sz w:val="24"/>
                <w:szCs w:val="24"/>
              </w:rPr>
              <w:t>4/25</w:t>
            </w:r>
          </w:p>
          <w:p w14:paraId="780B37C2" w14:textId="77777777" w:rsidR="00DF1B70" w:rsidRPr="000D756E" w:rsidRDefault="00DF1B70" w:rsidP="00DF1B70">
            <w:pPr>
              <w:jc w:val="right"/>
              <w:rPr>
                <w:rFonts w:ascii="Arial" w:hAnsi="Arial" w:cs="Arial"/>
                <w:b/>
                <w:sz w:val="24"/>
                <w:szCs w:val="24"/>
              </w:rPr>
            </w:pPr>
            <w:r w:rsidRPr="000D756E">
              <w:rPr>
                <w:rFonts w:ascii="Arial" w:hAnsi="Arial" w:cs="Arial"/>
                <w:b/>
                <w:sz w:val="24"/>
                <w:szCs w:val="24"/>
              </w:rPr>
              <w:t>£’000</w:t>
            </w:r>
          </w:p>
        </w:tc>
      </w:tr>
      <w:tr w:rsidR="00CE7AD4" w:rsidRPr="000D756E" w14:paraId="5EDBAA11" w14:textId="77777777" w:rsidTr="00DF1B70">
        <w:trPr>
          <w:trHeight w:val="429"/>
        </w:trPr>
        <w:tc>
          <w:tcPr>
            <w:tcW w:w="1749" w:type="dxa"/>
            <w:vAlign w:val="center"/>
          </w:tcPr>
          <w:p w14:paraId="4C9CE851" w14:textId="16EAFE33" w:rsidR="00CE7AD4" w:rsidRPr="000D756E" w:rsidRDefault="00CE7AD4" w:rsidP="00CE7AD4">
            <w:pPr>
              <w:jc w:val="right"/>
              <w:rPr>
                <w:rFonts w:ascii="Arial" w:hAnsi="Arial" w:cs="Arial"/>
                <w:sz w:val="24"/>
                <w:szCs w:val="24"/>
              </w:rPr>
            </w:pPr>
            <w:r w:rsidRPr="000D756E">
              <w:rPr>
                <w:rFonts w:ascii="Arial" w:hAnsi="Arial" w:cs="Arial"/>
                <w:bCs/>
                <w:sz w:val="24"/>
                <w:szCs w:val="24"/>
              </w:rPr>
              <w:t>14,648</w:t>
            </w:r>
          </w:p>
        </w:tc>
        <w:tc>
          <w:tcPr>
            <w:tcW w:w="5619" w:type="dxa"/>
          </w:tcPr>
          <w:p w14:paraId="5EDB06D9" w14:textId="77777777" w:rsidR="00CE7AD4" w:rsidRPr="000D756E" w:rsidRDefault="00CE7AD4" w:rsidP="00CE7AD4">
            <w:pPr>
              <w:rPr>
                <w:rFonts w:ascii="Arial" w:hAnsi="Arial" w:cs="Arial"/>
                <w:sz w:val="24"/>
                <w:szCs w:val="24"/>
              </w:rPr>
            </w:pPr>
            <w:r w:rsidRPr="000D756E">
              <w:rPr>
                <w:rFonts w:ascii="Arial" w:hAnsi="Arial" w:cs="Arial"/>
                <w:sz w:val="24"/>
                <w:szCs w:val="24"/>
              </w:rPr>
              <w:t>Balance at 1 April</w:t>
            </w:r>
          </w:p>
        </w:tc>
        <w:tc>
          <w:tcPr>
            <w:tcW w:w="1651" w:type="dxa"/>
            <w:vAlign w:val="center"/>
          </w:tcPr>
          <w:p w14:paraId="13A29285" w14:textId="62E8C874" w:rsidR="00CE7AD4" w:rsidRPr="000D756E" w:rsidRDefault="00CE7AD4" w:rsidP="00CE7AD4">
            <w:pPr>
              <w:jc w:val="right"/>
              <w:rPr>
                <w:rFonts w:ascii="Arial" w:hAnsi="Arial" w:cs="Arial"/>
                <w:bCs/>
                <w:sz w:val="24"/>
                <w:szCs w:val="24"/>
              </w:rPr>
            </w:pPr>
            <w:r w:rsidRPr="000D756E">
              <w:rPr>
                <w:rFonts w:ascii="Arial" w:hAnsi="Arial" w:cs="Arial"/>
                <w:bCs/>
                <w:sz w:val="24"/>
                <w:szCs w:val="24"/>
              </w:rPr>
              <w:t>14,</w:t>
            </w:r>
            <w:r>
              <w:rPr>
                <w:rFonts w:ascii="Arial" w:hAnsi="Arial" w:cs="Arial"/>
                <w:bCs/>
                <w:sz w:val="24"/>
                <w:szCs w:val="24"/>
              </w:rPr>
              <w:t>750</w:t>
            </w:r>
          </w:p>
        </w:tc>
      </w:tr>
      <w:tr w:rsidR="00CE7AD4" w:rsidRPr="000D756E" w14:paraId="4236E2F1" w14:textId="77777777" w:rsidTr="00DF1B70">
        <w:trPr>
          <w:trHeight w:val="985"/>
        </w:trPr>
        <w:tc>
          <w:tcPr>
            <w:tcW w:w="1749" w:type="dxa"/>
            <w:vAlign w:val="center"/>
          </w:tcPr>
          <w:p w14:paraId="59862AA5" w14:textId="758DF243" w:rsidR="00CE7AD4" w:rsidRPr="000D756E" w:rsidRDefault="00CE7AD4" w:rsidP="00CE7AD4">
            <w:pPr>
              <w:jc w:val="right"/>
              <w:rPr>
                <w:rFonts w:ascii="Arial" w:hAnsi="Arial" w:cs="Arial"/>
                <w:sz w:val="24"/>
                <w:szCs w:val="24"/>
              </w:rPr>
            </w:pPr>
            <w:r w:rsidRPr="000D756E">
              <w:rPr>
                <w:rFonts w:ascii="Arial" w:hAnsi="Arial" w:cs="Arial"/>
                <w:sz w:val="24"/>
                <w:szCs w:val="24"/>
              </w:rPr>
              <w:t>0</w:t>
            </w:r>
          </w:p>
        </w:tc>
        <w:tc>
          <w:tcPr>
            <w:tcW w:w="5619" w:type="dxa"/>
          </w:tcPr>
          <w:p w14:paraId="3944CAC7" w14:textId="3802BD12" w:rsidR="00CE7AD4" w:rsidRPr="000D756E" w:rsidRDefault="00CE7AD4" w:rsidP="00CE7AD4">
            <w:pPr>
              <w:rPr>
                <w:rFonts w:ascii="Arial" w:hAnsi="Arial" w:cs="Arial"/>
                <w:sz w:val="24"/>
                <w:szCs w:val="24"/>
              </w:rPr>
            </w:pPr>
            <w:r w:rsidRPr="000D756E">
              <w:rPr>
                <w:rFonts w:ascii="Arial" w:hAnsi="Arial" w:cs="Arial"/>
                <w:sz w:val="24"/>
                <w:szCs w:val="24"/>
              </w:rPr>
              <w:t>Downward revaluation of assets and impairment losses not charged to the Surplus on the Provision of Services</w:t>
            </w:r>
          </w:p>
        </w:tc>
        <w:tc>
          <w:tcPr>
            <w:tcW w:w="1651" w:type="dxa"/>
            <w:vAlign w:val="center"/>
          </w:tcPr>
          <w:p w14:paraId="1F23F9E7" w14:textId="5EBAF624" w:rsidR="00CE7AD4" w:rsidRPr="000D756E" w:rsidRDefault="00596380" w:rsidP="00CE7AD4">
            <w:pPr>
              <w:jc w:val="right"/>
              <w:rPr>
                <w:rFonts w:ascii="Arial" w:hAnsi="Arial" w:cs="Arial"/>
                <w:sz w:val="24"/>
                <w:szCs w:val="24"/>
              </w:rPr>
            </w:pPr>
            <w:r>
              <w:rPr>
                <w:rFonts w:ascii="Arial" w:hAnsi="Arial" w:cs="Arial"/>
                <w:sz w:val="24"/>
                <w:szCs w:val="24"/>
              </w:rPr>
              <w:t>0</w:t>
            </w:r>
          </w:p>
        </w:tc>
      </w:tr>
      <w:tr w:rsidR="00CE7AD4" w:rsidRPr="000D756E" w14:paraId="0D5F71BF" w14:textId="77777777" w:rsidTr="00DF1B70">
        <w:trPr>
          <w:trHeight w:val="999"/>
        </w:trPr>
        <w:tc>
          <w:tcPr>
            <w:tcW w:w="1749" w:type="dxa"/>
            <w:vAlign w:val="center"/>
          </w:tcPr>
          <w:p w14:paraId="457E77FE" w14:textId="05529C13" w:rsidR="00CE7AD4" w:rsidRPr="000D756E" w:rsidRDefault="00CE7AD4" w:rsidP="00CE7AD4">
            <w:pPr>
              <w:jc w:val="right"/>
              <w:rPr>
                <w:rFonts w:ascii="Arial" w:hAnsi="Arial" w:cs="Arial"/>
                <w:sz w:val="24"/>
                <w:szCs w:val="24"/>
              </w:rPr>
            </w:pPr>
            <w:r w:rsidRPr="000D756E">
              <w:rPr>
                <w:rFonts w:ascii="Arial" w:hAnsi="Arial" w:cs="Arial"/>
                <w:sz w:val="24"/>
                <w:szCs w:val="24"/>
              </w:rPr>
              <w:t>930</w:t>
            </w:r>
          </w:p>
        </w:tc>
        <w:tc>
          <w:tcPr>
            <w:tcW w:w="5619" w:type="dxa"/>
          </w:tcPr>
          <w:p w14:paraId="60757B84" w14:textId="3F4593B5" w:rsidR="00CE7AD4" w:rsidRPr="000D756E" w:rsidRDefault="00CE7AD4" w:rsidP="00CE7AD4">
            <w:pPr>
              <w:rPr>
                <w:rFonts w:ascii="Arial" w:hAnsi="Arial" w:cs="Arial"/>
                <w:sz w:val="24"/>
                <w:szCs w:val="24"/>
              </w:rPr>
            </w:pPr>
            <w:r w:rsidRPr="000D756E">
              <w:rPr>
                <w:rFonts w:ascii="Arial" w:hAnsi="Arial" w:cs="Arial"/>
                <w:sz w:val="24"/>
                <w:szCs w:val="24"/>
              </w:rPr>
              <w:t>Surplus on revaluation of non current assets not posted to the Surplus/Deficit on the Provision of Services</w:t>
            </w:r>
          </w:p>
        </w:tc>
        <w:tc>
          <w:tcPr>
            <w:tcW w:w="1651" w:type="dxa"/>
            <w:vAlign w:val="center"/>
          </w:tcPr>
          <w:p w14:paraId="161060D4" w14:textId="1B529F94" w:rsidR="00CE7AD4" w:rsidRPr="000D756E" w:rsidRDefault="00641533" w:rsidP="00CE7AD4">
            <w:pPr>
              <w:jc w:val="right"/>
              <w:rPr>
                <w:rFonts w:ascii="Arial" w:hAnsi="Arial" w:cs="Arial"/>
                <w:sz w:val="24"/>
                <w:szCs w:val="24"/>
              </w:rPr>
            </w:pPr>
            <w:r>
              <w:rPr>
                <w:rFonts w:ascii="Arial" w:hAnsi="Arial" w:cs="Arial"/>
                <w:sz w:val="24"/>
                <w:szCs w:val="24"/>
              </w:rPr>
              <w:t>4,055</w:t>
            </w:r>
          </w:p>
        </w:tc>
      </w:tr>
      <w:tr w:rsidR="00CE7AD4" w:rsidRPr="000D756E" w14:paraId="4B5534AA" w14:textId="77777777" w:rsidTr="00DF1B70">
        <w:trPr>
          <w:trHeight w:val="687"/>
        </w:trPr>
        <w:tc>
          <w:tcPr>
            <w:tcW w:w="1749" w:type="dxa"/>
          </w:tcPr>
          <w:p w14:paraId="4F2CC06A" w14:textId="77777777" w:rsidR="00CE7AD4" w:rsidRPr="000D756E" w:rsidRDefault="00CE7AD4" w:rsidP="00CE7AD4">
            <w:pPr>
              <w:jc w:val="right"/>
              <w:rPr>
                <w:rFonts w:ascii="Arial" w:hAnsi="Arial" w:cs="Arial"/>
                <w:sz w:val="24"/>
                <w:szCs w:val="24"/>
              </w:rPr>
            </w:pPr>
          </w:p>
          <w:p w14:paraId="237138AC" w14:textId="02DE9467" w:rsidR="00CE7AD4" w:rsidRPr="000D756E" w:rsidRDefault="00CE7AD4" w:rsidP="00CE7AD4">
            <w:pPr>
              <w:jc w:val="right"/>
              <w:rPr>
                <w:rFonts w:ascii="Arial" w:hAnsi="Arial" w:cs="Arial"/>
                <w:sz w:val="24"/>
                <w:szCs w:val="24"/>
              </w:rPr>
            </w:pPr>
            <w:r w:rsidRPr="000D756E">
              <w:rPr>
                <w:rFonts w:ascii="Arial" w:hAnsi="Arial" w:cs="Arial"/>
                <w:sz w:val="24"/>
                <w:szCs w:val="24"/>
              </w:rPr>
              <w:t>-828</w:t>
            </w:r>
          </w:p>
        </w:tc>
        <w:tc>
          <w:tcPr>
            <w:tcW w:w="5619" w:type="dxa"/>
          </w:tcPr>
          <w:p w14:paraId="35DF7D20" w14:textId="77777777" w:rsidR="00CE7AD4" w:rsidRPr="000D756E" w:rsidRDefault="00CE7AD4" w:rsidP="00CE7AD4">
            <w:pPr>
              <w:rPr>
                <w:rFonts w:ascii="Arial" w:hAnsi="Arial" w:cs="Arial"/>
                <w:sz w:val="24"/>
                <w:szCs w:val="24"/>
              </w:rPr>
            </w:pPr>
            <w:r w:rsidRPr="000D756E">
              <w:rPr>
                <w:rFonts w:ascii="Arial" w:hAnsi="Arial" w:cs="Arial"/>
                <w:sz w:val="24"/>
                <w:szCs w:val="24"/>
              </w:rPr>
              <w:t>Difference between fair value depreciation and historical costs depreciation</w:t>
            </w:r>
          </w:p>
          <w:p w14:paraId="59D0009A" w14:textId="77777777" w:rsidR="00CE7AD4" w:rsidRPr="000D756E" w:rsidRDefault="00CE7AD4" w:rsidP="00CE7AD4">
            <w:pPr>
              <w:rPr>
                <w:rFonts w:ascii="Arial" w:hAnsi="Arial" w:cs="Arial"/>
                <w:sz w:val="24"/>
                <w:szCs w:val="24"/>
              </w:rPr>
            </w:pPr>
          </w:p>
          <w:p w14:paraId="1BB3F4D5" w14:textId="77777777" w:rsidR="00CE7AD4" w:rsidRPr="000D756E" w:rsidRDefault="00CE7AD4" w:rsidP="00CE7AD4">
            <w:pPr>
              <w:rPr>
                <w:rFonts w:ascii="Arial" w:hAnsi="Arial" w:cs="Arial"/>
                <w:sz w:val="24"/>
                <w:szCs w:val="24"/>
              </w:rPr>
            </w:pPr>
            <w:r w:rsidRPr="000D756E">
              <w:rPr>
                <w:rFonts w:ascii="Arial" w:hAnsi="Arial" w:cs="Arial"/>
                <w:sz w:val="24"/>
                <w:szCs w:val="24"/>
              </w:rPr>
              <w:t>Upward revaluation of Assets</w:t>
            </w:r>
          </w:p>
          <w:p w14:paraId="61C43D88" w14:textId="77777777" w:rsidR="00CE7AD4" w:rsidRPr="000D756E" w:rsidRDefault="00CE7AD4" w:rsidP="00CE7AD4">
            <w:pPr>
              <w:rPr>
                <w:rFonts w:ascii="Arial" w:hAnsi="Arial" w:cs="Arial"/>
                <w:sz w:val="24"/>
                <w:szCs w:val="24"/>
              </w:rPr>
            </w:pPr>
          </w:p>
          <w:p w14:paraId="4079866A" w14:textId="77777777" w:rsidR="00CE7AD4" w:rsidRPr="000D756E" w:rsidRDefault="00CE7AD4" w:rsidP="00CE7AD4">
            <w:pPr>
              <w:rPr>
                <w:rFonts w:ascii="Arial" w:hAnsi="Arial" w:cs="Arial"/>
                <w:sz w:val="24"/>
                <w:szCs w:val="24"/>
              </w:rPr>
            </w:pPr>
          </w:p>
        </w:tc>
        <w:tc>
          <w:tcPr>
            <w:tcW w:w="1651" w:type="dxa"/>
          </w:tcPr>
          <w:p w14:paraId="38137413" w14:textId="77777777" w:rsidR="00CE7AD4" w:rsidRDefault="00CE7AD4" w:rsidP="00CE7AD4">
            <w:pPr>
              <w:jc w:val="right"/>
              <w:rPr>
                <w:rFonts w:ascii="Arial" w:hAnsi="Arial" w:cs="Arial"/>
                <w:sz w:val="24"/>
                <w:szCs w:val="24"/>
              </w:rPr>
            </w:pPr>
          </w:p>
          <w:p w14:paraId="78A41F64" w14:textId="5B79B335" w:rsidR="00641533" w:rsidRPr="000D756E" w:rsidRDefault="00641533" w:rsidP="00CE7AD4">
            <w:pPr>
              <w:jc w:val="right"/>
              <w:rPr>
                <w:rFonts w:ascii="Arial" w:hAnsi="Arial" w:cs="Arial"/>
                <w:sz w:val="24"/>
                <w:szCs w:val="24"/>
              </w:rPr>
            </w:pPr>
            <w:r>
              <w:rPr>
                <w:rFonts w:ascii="Arial" w:hAnsi="Arial" w:cs="Arial"/>
                <w:sz w:val="24"/>
                <w:szCs w:val="24"/>
              </w:rPr>
              <w:t>-811</w:t>
            </w:r>
          </w:p>
        </w:tc>
      </w:tr>
      <w:tr w:rsidR="00CE7AD4" w:rsidRPr="000D756E" w14:paraId="27FB88A2" w14:textId="77777777" w:rsidTr="00DF1B70">
        <w:tc>
          <w:tcPr>
            <w:tcW w:w="1749" w:type="dxa"/>
            <w:vAlign w:val="center"/>
          </w:tcPr>
          <w:p w14:paraId="7FC7959F" w14:textId="2203AAA9" w:rsidR="00CE7AD4" w:rsidRPr="000D756E" w:rsidRDefault="00CE7AD4" w:rsidP="00CE7AD4">
            <w:pPr>
              <w:jc w:val="right"/>
              <w:rPr>
                <w:rFonts w:ascii="Arial" w:hAnsi="Arial" w:cs="Arial"/>
                <w:b/>
                <w:sz w:val="24"/>
                <w:szCs w:val="24"/>
              </w:rPr>
            </w:pPr>
            <w:r w:rsidRPr="000D756E">
              <w:rPr>
                <w:rFonts w:ascii="Arial" w:hAnsi="Arial" w:cs="Arial"/>
                <w:b/>
                <w:sz w:val="24"/>
                <w:szCs w:val="24"/>
              </w:rPr>
              <w:t>14,750</w:t>
            </w:r>
          </w:p>
        </w:tc>
        <w:tc>
          <w:tcPr>
            <w:tcW w:w="5619" w:type="dxa"/>
          </w:tcPr>
          <w:p w14:paraId="04469C41" w14:textId="77777777" w:rsidR="00CE7AD4" w:rsidRPr="000D756E" w:rsidRDefault="00CE7AD4" w:rsidP="00CE7AD4">
            <w:pPr>
              <w:rPr>
                <w:rFonts w:ascii="Arial" w:hAnsi="Arial" w:cs="Arial"/>
                <w:sz w:val="24"/>
                <w:szCs w:val="24"/>
              </w:rPr>
            </w:pPr>
            <w:r w:rsidRPr="000D756E">
              <w:rPr>
                <w:rFonts w:ascii="Arial" w:hAnsi="Arial" w:cs="Arial"/>
                <w:sz w:val="24"/>
                <w:szCs w:val="24"/>
              </w:rPr>
              <w:t>Balance as at 31 March</w:t>
            </w:r>
          </w:p>
        </w:tc>
        <w:tc>
          <w:tcPr>
            <w:tcW w:w="1651" w:type="dxa"/>
            <w:vAlign w:val="center"/>
          </w:tcPr>
          <w:p w14:paraId="23E51FA3" w14:textId="27155428" w:rsidR="00CE7AD4" w:rsidRPr="000D756E" w:rsidRDefault="00805978" w:rsidP="00CE7AD4">
            <w:pPr>
              <w:jc w:val="right"/>
              <w:rPr>
                <w:rFonts w:ascii="Arial" w:hAnsi="Arial" w:cs="Arial"/>
                <w:b/>
                <w:sz w:val="24"/>
                <w:szCs w:val="24"/>
              </w:rPr>
            </w:pPr>
            <w:r>
              <w:rPr>
                <w:rFonts w:ascii="Arial" w:hAnsi="Arial" w:cs="Arial"/>
                <w:b/>
                <w:sz w:val="24"/>
                <w:szCs w:val="24"/>
              </w:rPr>
              <w:t>17,994</w:t>
            </w:r>
          </w:p>
        </w:tc>
      </w:tr>
    </w:tbl>
    <w:p w14:paraId="77B56F36" w14:textId="77777777" w:rsidR="00873C0C" w:rsidRPr="000D756E" w:rsidRDefault="00873C0C" w:rsidP="002A7C01">
      <w:pPr>
        <w:rPr>
          <w:rFonts w:ascii="Arial" w:hAnsi="Arial" w:cs="Arial"/>
          <w:b/>
          <w:sz w:val="24"/>
          <w:szCs w:val="24"/>
        </w:rPr>
      </w:pPr>
    </w:p>
    <w:p w14:paraId="2176A602" w14:textId="77777777" w:rsidR="00267C64" w:rsidRPr="000D756E" w:rsidRDefault="00267C64" w:rsidP="002A7C01">
      <w:pPr>
        <w:rPr>
          <w:rFonts w:ascii="Arial" w:hAnsi="Arial" w:cs="Arial"/>
          <w:b/>
          <w:sz w:val="24"/>
          <w:szCs w:val="24"/>
        </w:rPr>
      </w:pPr>
    </w:p>
    <w:p w14:paraId="17B47959" w14:textId="77777777" w:rsidR="00267C64" w:rsidRPr="000D756E" w:rsidRDefault="00267C64" w:rsidP="002A7C01">
      <w:pPr>
        <w:rPr>
          <w:rFonts w:ascii="Arial" w:hAnsi="Arial" w:cs="Arial"/>
          <w:b/>
          <w:sz w:val="24"/>
          <w:szCs w:val="24"/>
        </w:rPr>
      </w:pPr>
    </w:p>
    <w:p w14:paraId="2BE886D2" w14:textId="77777777" w:rsidR="00267C64" w:rsidRPr="000D756E" w:rsidRDefault="00267C64" w:rsidP="002A7C01">
      <w:pPr>
        <w:rPr>
          <w:rFonts w:ascii="Arial" w:hAnsi="Arial" w:cs="Arial"/>
          <w:b/>
          <w:sz w:val="24"/>
          <w:szCs w:val="24"/>
        </w:rPr>
      </w:pPr>
    </w:p>
    <w:p w14:paraId="54D1EA2C" w14:textId="01A00063" w:rsidR="002544DF" w:rsidRPr="000D756E" w:rsidRDefault="002544DF" w:rsidP="002A7C01">
      <w:pPr>
        <w:rPr>
          <w:rFonts w:ascii="Arial" w:hAnsi="Arial" w:cs="Arial"/>
          <w:b/>
          <w:sz w:val="24"/>
          <w:szCs w:val="24"/>
        </w:rPr>
      </w:pPr>
      <w:r w:rsidRPr="000D756E">
        <w:rPr>
          <w:rFonts w:ascii="Arial" w:hAnsi="Arial" w:cs="Arial"/>
          <w:b/>
          <w:sz w:val="24"/>
          <w:szCs w:val="24"/>
        </w:rPr>
        <w:lastRenderedPageBreak/>
        <w:t>Capital Adjustment Account</w:t>
      </w:r>
    </w:p>
    <w:p w14:paraId="141169DC" w14:textId="77777777" w:rsidR="002544DF" w:rsidRPr="000D756E" w:rsidRDefault="002544DF" w:rsidP="002A7C01">
      <w:pPr>
        <w:rPr>
          <w:rFonts w:ascii="Arial" w:hAnsi="Arial" w:cs="Arial"/>
          <w:sz w:val="24"/>
          <w:szCs w:val="24"/>
        </w:rPr>
      </w:pPr>
      <w:r w:rsidRPr="000D756E">
        <w:rPr>
          <w:rFonts w:ascii="Arial" w:hAnsi="Arial" w:cs="Arial"/>
          <w:sz w:val="24"/>
          <w:szCs w:val="24"/>
        </w:rPr>
        <w:t>The Capital Adjustment Account absorbs the timing differences arising from different arrangements for accounting for the consumption of non current assets and for financing the acquisition, construction or enhancement of those assets under statutory provisions. The Account is debited with the cost of acquisition, construction or enhancement as depreciation, impairments losses and amortisations are charged to the Comprehensive Income and Expenditure Statement (with reconciling postings from the Revaluation Reserve to convert fair value figures to a historical cost basis). The Account is credited with the amounts set aside by the Authority as finance for the costs of acquisition, construction and enhancement.</w:t>
      </w:r>
    </w:p>
    <w:p w14:paraId="5E0FE9A1" w14:textId="361775A8" w:rsidR="1501683A" w:rsidRPr="000D756E" w:rsidRDefault="1501683A" w:rsidP="1501683A">
      <w:pPr>
        <w:rPr>
          <w:rFonts w:ascii="Arial" w:hAnsi="Arial" w:cs="Arial"/>
          <w:sz w:val="24"/>
          <w:szCs w:val="24"/>
        </w:rPr>
      </w:pPr>
    </w:p>
    <w:p w14:paraId="7B16E885" w14:textId="170E4689" w:rsidR="002544DF" w:rsidRPr="000D756E" w:rsidRDefault="002544DF" w:rsidP="002A7C01">
      <w:pPr>
        <w:rPr>
          <w:rFonts w:ascii="Arial" w:hAnsi="Arial" w:cs="Arial"/>
          <w:sz w:val="24"/>
          <w:szCs w:val="24"/>
        </w:rPr>
      </w:pPr>
      <w:r w:rsidRPr="000D756E">
        <w:rPr>
          <w:rFonts w:ascii="Arial" w:hAnsi="Arial" w:cs="Arial"/>
          <w:sz w:val="24"/>
          <w:szCs w:val="24"/>
        </w:rPr>
        <w:t>The Account contains revaluation gains accumulated on Property Plant and Equipment before 1 April 2007, the date the Revaluation Reserve was created to hold such gains.</w:t>
      </w:r>
      <w:r w:rsidR="00E90405" w:rsidRPr="000D756E">
        <w:rPr>
          <w:rFonts w:ascii="Arial" w:hAnsi="Arial" w:cs="Arial"/>
          <w:sz w:val="24"/>
          <w:szCs w:val="24"/>
        </w:rPr>
        <w:t xml:space="preserve"> </w:t>
      </w:r>
      <w:r w:rsidRPr="000D756E">
        <w:rPr>
          <w:rFonts w:ascii="Arial" w:hAnsi="Arial" w:cs="Arial"/>
          <w:sz w:val="24"/>
          <w:szCs w:val="24"/>
        </w:rPr>
        <w:t xml:space="preserve">Note </w:t>
      </w:r>
      <w:r w:rsidR="00CD56C4" w:rsidRPr="000D756E">
        <w:rPr>
          <w:rFonts w:ascii="Arial" w:hAnsi="Arial" w:cs="Arial"/>
          <w:sz w:val="24"/>
          <w:szCs w:val="24"/>
        </w:rPr>
        <w:t>3</w:t>
      </w:r>
      <w:r w:rsidRPr="000D756E">
        <w:rPr>
          <w:rFonts w:ascii="Arial" w:hAnsi="Arial" w:cs="Arial"/>
          <w:sz w:val="24"/>
          <w:szCs w:val="24"/>
        </w:rPr>
        <w:t xml:space="preserve"> provides details of the source of all the transactions posted to the Account, apart from those involving the Revaluation Reserve.</w:t>
      </w:r>
    </w:p>
    <w:p w14:paraId="38E34116" w14:textId="77777777" w:rsidR="002544DF" w:rsidRPr="000D756E" w:rsidRDefault="002544DF" w:rsidP="002A7C01">
      <w:pPr>
        <w:rPr>
          <w:rFonts w:ascii="Arial" w:hAnsi="Arial" w:cs="Arial"/>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5620"/>
        <w:gridCol w:w="1650"/>
      </w:tblGrid>
      <w:tr w:rsidR="006329E6" w:rsidRPr="000D756E" w14:paraId="706B4863" w14:textId="77777777" w:rsidTr="00DF1B70">
        <w:tc>
          <w:tcPr>
            <w:tcW w:w="1749" w:type="dxa"/>
          </w:tcPr>
          <w:p w14:paraId="7C86BDC6" w14:textId="4C4A3D1E" w:rsidR="00DF1B70" w:rsidRPr="000D756E" w:rsidRDefault="00DF1B70" w:rsidP="00DF1B70">
            <w:pPr>
              <w:jc w:val="right"/>
              <w:rPr>
                <w:rFonts w:ascii="Arial" w:hAnsi="Arial" w:cs="Arial"/>
                <w:b/>
                <w:sz w:val="24"/>
                <w:szCs w:val="24"/>
              </w:rPr>
            </w:pPr>
            <w:r w:rsidRPr="000D756E">
              <w:rPr>
                <w:rFonts w:ascii="Arial" w:hAnsi="Arial" w:cs="Arial"/>
                <w:b/>
                <w:sz w:val="24"/>
                <w:szCs w:val="24"/>
              </w:rPr>
              <w:t>20</w:t>
            </w:r>
            <w:r w:rsidR="00113C4E" w:rsidRPr="000D756E">
              <w:rPr>
                <w:rFonts w:ascii="Arial" w:hAnsi="Arial" w:cs="Arial"/>
                <w:b/>
                <w:sz w:val="24"/>
                <w:szCs w:val="24"/>
              </w:rPr>
              <w:t>2</w:t>
            </w:r>
            <w:r w:rsidR="003F0E9B">
              <w:rPr>
                <w:rFonts w:ascii="Arial" w:hAnsi="Arial" w:cs="Arial"/>
                <w:b/>
                <w:sz w:val="24"/>
                <w:szCs w:val="24"/>
              </w:rPr>
              <w:t>3/24</w:t>
            </w:r>
          </w:p>
          <w:p w14:paraId="1A29A824" w14:textId="582B47F2" w:rsidR="00DF1B70" w:rsidRPr="000D756E" w:rsidRDefault="00DF1B70" w:rsidP="00DF1B70">
            <w:pPr>
              <w:jc w:val="right"/>
              <w:rPr>
                <w:rFonts w:ascii="Arial" w:hAnsi="Arial" w:cs="Arial"/>
                <w:b/>
                <w:sz w:val="24"/>
                <w:szCs w:val="24"/>
              </w:rPr>
            </w:pPr>
            <w:r w:rsidRPr="000D756E">
              <w:rPr>
                <w:rFonts w:ascii="Arial" w:hAnsi="Arial" w:cs="Arial"/>
                <w:b/>
                <w:sz w:val="24"/>
                <w:szCs w:val="24"/>
              </w:rPr>
              <w:t>£’000</w:t>
            </w:r>
          </w:p>
        </w:tc>
        <w:tc>
          <w:tcPr>
            <w:tcW w:w="5620" w:type="dxa"/>
          </w:tcPr>
          <w:p w14:paraId="2E79FEC6" w14:textId="77777777" w:rsidR="00DF1B70" w:rsidRPr="000D756E" w:rsidRDefault="00DF1B70" w:rsidP="00DF1B70">
            <w:pPr>
              <w:rPr>
                <w:rFonts w:ascii="Arial" w:hAnsi="Arial" w:cs="Arial"/>
                <w:b/>
                <w:sz w:val="24"/>
                <w:szCs w:val="24"/>
              </w:rPr>
            </w:pPr>
          </w:p>
        </w:tc>
        <w:tc>
          <w:tcPr>
            <w:tcW w:w="1650" w:type="dxa"/>
          </w:tcPr>
          <w:p w14:paraId="192FC03C" w14:textId="63529273" w:rsidR="00DF1B70" w:rsidRPr="000D756E" w:rsidRDefault="00DF1B70" w:rsidP="00DF1B70">
            <w:pPr>
              <w:jc w:val="right"/>
              <w:rPr>
                <w:rFonts w:ascii="Arial" w:hAnsi="Arial" w:cs="Arial"/>
                <w:b/>
                <w:sz w:val="24"/>
                <w:szCs w:val="24"/>
              </w:rPr>
            </w:pPr>
            <w:r w:rsidRPr="000D756E">
              <w:rPr>
                <w:rFonts w:ascii="Arial" w:hAnsi="Arial" w:cs="Arial"/>
                <w:b/>
                <w:sz w:val="24"/>
                <w:szCs w:val="24"/>
              </w:rPr>
              <w:t>202</w:t>
            </w:r>
            <w:r w:rsidR="003F0E9B">
              <w:rPr>
                <w:rFonts w:ascii="Arial" w:hAnsi="Arial" w:cs="Arial"/>
                <w:b/>
                <w:sz w:val="24"/>
                <w:szCs w:val="24"/>
              </w:rPr>
              <w:t>4/25</w:t>
            </w:r>
          </w:p>
          <w:p w14:paraId="57EE6A27" w14:textId="77777777" w:rsidR="00DF1B70" w:rsidRPr="000D756E" w:rsidRDefault="00DF1B70" w:rsidP="00DF1B70">
            <w:pPr>
              <w:jc w:val="right"/>
              <w:rPr>
                <w:rFonts w:ascii="Arial" w:hAnsi="Arial" w:cs="Arial"/>
                <w:b/>
                <w:sz w:val="24"/>
                <w:szCs w:val="24"/>
              </w:rPr>
            </w:pPr>
            <w:r w:rsidRPr="000D756E">
              <w:rPr>
                <w:rFonts w:ascii="Arial" w:hAnsi="Arial" w:cs="Arial"/>
                <w:b/>
                <w:sz w:val="24"/>
                <w:szCs w:val="24"/>
              </w:rPr>
              <w:t>£’000</w:t>
            </w:r>
          </w:p>
        </w:tc>
      </w:tr>
      <w:tr w:rsidR="003F0E9B" w:rsidRPr="000D756E" w14:paraId="22783A7B" w14:textId="77777777" w:rsidTr="00DF1B70">
        <w:trPr>
          <w:trHeight w:val="429"/>
        </w:trPr>
        <w:tc>
          <w:tcPr>
            <w:tcW w:w="1749" w:type="dxa"/>
            <w:vAlign w:val="center"/>
          </w:tcPr>
          <w:p w14:paraId="1578974C" w14:textId="69BFEC9B" w:rsidR="003F0E9B" w:rsidRPr="000D756E" w:rsidRDefault="003F0E9B" w:rsidP="003F0E9B">
            <w:pPr>
              <w:jc w:val="right"/>
              <w:rPr>
                <w:rFonts w:ascii="Arial" w:hAnsi="Arial" w:cs="Arial"/>
                <w:sz w:val="24"/>
                <w:szCs w:val="24"/>
              </w:rPr>
            </w:pPr>
            <w:r w:rsidRPr="000D756E">
              <w:rPr>
                <w:rFonts w:ascii="Arial" w:hAnsi="Arial" w:cs="Arial"/>
                <w:bCs/>
                <w:sz w:val="24"/>
                <w:szCs w:val="24"/>
              </w:rPr>
              <w:t>12,705</w:t>
            </w:r>
          </w:p>
        </w:tc>
        <w:tc>
          <w:tcPr>
            <w:tcW w:w="5620" w:type="dxa"/>
          </w:tcPr>
          <w:p w14:paraId="41B45EDB" w14:textId="77777777" w:rsidR="003F0E9B" w:rsidRPr="000D756E" w:rsidRDefault="003F0E9B" w:rsidP="003F0E9B">
            <w:pPr>
              <w:rPr>
                <w:rFonts w:ascii="Arial" w:hAnsi="Arial" w:cs="Arial"/>
                <w:b/>
                <w:sz w:val="24"/>
                <w:szCs w:val="24"/>
              </w:rPr>
            </w:pPr>
            <w:r w:rsidRPr="000D756E">
              <w:rPr>
                <w:rFonts w:ascii="Arial" w:hAnsi="Arial" w:cs="Arial"/>
                <w:b/>
                <w:sz w:val="24"/>
                <w:szCs w:val="24"/>
              </w:rPr>
              <w:t>Balance at 1 April</w:t>
            </w:r>
          </w:p>
        </w:tc>
        <w:tc>
          <w:tcPr>
            <w:tcW w:w="1650" w:type="dxa"/>
            <w:vAlign w:val="center"/>
          </w:tcPr>
          <w:p w14:paraId="3FA7C689" w14:textId="59E8E0FA" w:rsidR="003F0E9B" w:rsidRPr="000D756E" w:rsidRDefault="003F0E9B" w:rsidP="003F0E9B">
            <w:pPr>
              <w:jc w:val="right"/>
              <w:rPr>
                <w:rFonts w:ascii="Arial" w:hAnsi="Arial" w:cs="Arial"/>
                <w:bCs/>
                <w:sz w:val="24"/>
                <w:szCs w:val="24"/>
              </w:rPr>
            </w:pPr>
            <w:r>
              <w:rPr>
                <w:rFonts w:ascii="Arial" w:hAnsi="Arial" w:cs="Arial"/>
                <w:bCs/>
                <w:sz w:val="24"/>
                <w:szCs w:val="24"/>
              </w:rPr>
              <w:t>7,072</w:t>
            </w:r>
          </w:p>
        </w:tc>
      </w:tr>
      <w:tr w:rsidR="003F0E9B" w:rsidRPr="000D756E" w14:paraId="06DCEEB4" w14:textId="77777777" w:rsidTr="00DF1B70">
        <w:trPr>
          <w:trHeight w:val="896"/>
        </w:trPr>
        <w:tc>
          <w:tcPr>
            <w:tcW w:w="1749" w:type="dxa"/>
            <w:vAlign w:val="center"/>
          </w:tcPr>
          <w:p w14:paraId="15A463AC" w14:textId="77777777" w:rsidR="003F0E9B" w:rsidRPr="000D756E" w:rsidRDefault="003F0E9B" w:rsidP="003F0E9B">
            <w:pPr>
              <w:jc w:val="right"/>
              <w:rPr>
                <w:rFonts w:ascii="Arial" w:hAnsi="Arial" w:cs="Arial"/>
                <w:sz w:val="24"/>
                <w:szCs w:val="24"/>
              </w:rPr>
            </w:pPr>
          </w:p>
        </w:tc>
        <w:tc>
          <w:tcPr>
            <w:tcW w:w="5620" w:type="dxa"/>
          </w:tcPr>
          <w:p w14:paraId="4C3C508B" w14:textId="09C4F59B" w:rsidR="003F0E9B" w:rsidRPr="000D756E" w:rsidRDefault="003F0E9B" w:rsidP="003F0E9B">
            <w:pPr>
              <w:rPr>
                <w:rFonts w:ascii="Arial" w:hAnsi="Arial" w:cs="Arial"/>
                <w:sz w:val="24"/>
                <w:szCs w:val="24"/>
              </w:rPr>
            </w:pPr>
            <w:r w:rsidRPr="000D756E">
              <w:rPr>
                <w:rFonts w:ascii="Arial" w:hAnsi="Arial" w:cs="Arial"/>
                <w:sz w:val="24"/>
                <w:szCs w:val="24"/>
              </w:rPr>
              <w:t>Reversal of items relating to capital expenditure debited or credited to the Comprehensive Income and Expenditure Statement:</w:t>
            </w:r>
          </w:p>
        </w:tc>
        <w:tc>
          <w:tcPr>
            <w:tcW w:w="1650" w:type="dxa"/>
            <w:vAlign w:val="center"/>
          </w:tcPr>
          <w:p w14:paraId="40EAB2DF" w14:textId="77777777" w:rsidR="003F0E9B" w:rsidRPr="000D756E" w:rsidRDefault="003F0E9B" w:rsidP="003F0E9B">
            <w:pPr>
              <w:jc w:val="right"/>
              <w:rPr>
                <w:rFonts w:ascii="Arial" w:hAnsi="Arial" w:cs="Arial"/>
                <w:sz w:val="24"/>
                <w:szCs w:val="24"/>
              </w:rPr>
            </w:pPr>
          </w:p>
        </w:tc>
      </w:tr>
      <w:tr w:rsidR="003F0E9B" w:rsidRPr="000D756E" w14:paraId="49CB5616" w14:textId="77777777" w:rsidTr="00DF1B70">
        <w:trPr>
          <w:trHeight w:val="643"/>
        </w:trPr>
        <w:tc>
          <w:tcPr>
            <w:tcW w:w="1749" w:type="dxa"/>
            <w:vAlign w:val="center"/>
          </w:tcPr>
          <w:p w14:paraId="74E62BD5" w14:textId="2416F9AB" w:rsidR="003F0E9B" w:rsidRPr="000D756E" w:rsidRDefault="003F0E9B" w:rsidP="003F0E9B">
            <w:pPr>
              <w:jc w:val="right"/>
              <w:rPr>
                <w:rFonts w:ascii="Arial" w:hAnsi="Arial" w:cs="Arial"/>
                <w:sz w:val="24"/>
                <w:szCs w:val="24"/>
              </w:rPr>
            </w:pPr>
            <w:r w:rsidRPr="000D756E">
              <w:rPr>
                <w:rFonts w:ascii="Arial" w:hAnsi="Arial" w:cs="Arial"/>
                <w:sz w:val="24"/>
                <w:szCs w:val="24"/>
              </w:rPr>
              <w:t>-2,677</w:t>
            </w:r>
          </w:p>
        </w:tc>
        <w:tc>
          <w:tcPr>
            <w:tcW w:w="5620" w:type="dxa"/>
          </w:tcPr>
          <w:p w14:paraId="6FBC3441" w14:textId="77777777" w:rsidR="003F0E9B" w:rsidRPr="000D756E" w:rsidRDefault="003F0E9B" w:rsidP="003F0E9B">
            <w:pPr>
              <w:rPr>
                <w:rFonts w:ascii="Arial" w:hAnsi="Arial" w:cs="Arial"/>
                <w:sz w:val="24"/>
                <w:szCs w:val="24"/>
              </w:rPr>
            </w:pPr>
            <w:r w:rsidRPr="000D756E">
              <w:rPr>
                <w:rFonts w:ascii="Arial" w:hAnsi="Arial" w:cs="Arial"/>
                <w:sz w:val="24"/>
                <w:szCs w:val="24"/>
              </w:rPr>
              <w:t>Charges for depreciation and impairment of non current assets</w:t>
            </w:r>
          </w:p>
        </w:tc>
        <w:tc>
          <w:tcPr>
            <w:tcW w:w="1650" w:type="dxa"/>
            <w:vAlign w:val="center"/>
          </w:tcPr>
          <w:p w14:paraId="222D9574" w14:textId="234E1AEF" w:rsidR="003F0E9B" w:rsidRPr="000D756E" w:rsidRDefault="007A425F" w:rsidP="003F0E9B">
            <w:pPr>
              <w:jc w:val="right"/>
              <w:rPr>
                <w:rFonts w:ascii="Arial" w:hAnsi="Arial" w:cs="Arial"/>
                <w:sz w:val="24"/>
                <w:szCs w:val="24"/>
              </w:rPr>
            </w:pPr>
            <w:r>
              <w:rPr>
                <w:rFonts w:ascii="Arial" w:hAnsi="Arial" w:cs="Arial"/>
                <w:sz w:val="24"/>
                <w:szCs w:val="24"/>
              </w:rPr>
              <w:t>-2,90</w:t>
            </w:r>
            <w:r w:rsidR="004C3BB7">
              <w:rPr>
                <w:rFonts w:ascii="Arial" w:hAnsi="Arial" w:cs="Arial"/>
                <w:sz w:val="24"/>
                <w:szCs w:val="24"/>
              </w:rPr>
              <w:t>3</w:t>
            </w:r>
          </w:p>
        </w:tc>
      </w:tr>
      <w:tr w:rsidR="003F0E9B" w:rsidRPr="000D756E" w14:paraId="50EBFBC8" w14:textId="77777777" w:rsidTr="00DF1B70">
        <w:trPr>
          <w:trHeight w:val="570"/>
        </w:trPr>
        <w:tc>
          <w:tcPr>
            <w:tcW w:w="1749" w:type="dxa"/>
            <w:vAlign w:val="center"/>
          </w:tcPr>
          <w:p w14:paraId="1AD9A1F7" w14:textId="40D51DFB" w:rsidR="003F0E9B" w:rsidRPr="000D756E" w:rsidRDefault="003F0E9B" w:rsidP="003F0E9B">
            <w:pPr>
              <w:jc w:val="right"/>
              <w:rPr>
                <w:rFonts w:ascii="Arial" w:hAnsi="Arial" w:cs="Arial"/>
                <w:sz w:val="24"/>
                <w:szCs w:val="24"/>
              </w:rPr>
            </w:pPr>
            <w:r w:rsidRPr="000D756E">
              <w:rPr>
                <w:rFonts w:ascii="Arial" w:hAnsi="Arial" w:cs="Arial"/>
                <w:sz w:val="24"/>
                <w:szCs w:val="24"/>
              </w:rPr>
              <w:t>-93</w:t>
            </w:r>
          </w:p>
        </w:tc>
        <w:tc>
          <w:tcPr>
            <w:tcW w:w="5620" w:type="dxa"/>
          </w:tcPr>
          <w:p w14:paraId="2A2732A2" w14:textId="7A678834" w:rsidR="003F0E9B" w:rsidRPr="000D756E" w:rsidRDefault="003F0E9B" w:rsidP="003F0E9B">
            <w:pPr>
              <w:rPr>
                <w:rFonts w:ascii="Arial" w:hAnsi="Arial" w:cs="Arial"/>
                <w:sz w:val="24"/>
                <w:szCs w:val="24"/>
              </w:rPr>
            </w:pPr>
            <w:r w:rsidRPr="000D756E">
              <w:rPr>
                <w:rFonts w:ascii="Arial" w:hAnsi="Arial" w:cs="Arial"/>
                <w:sz w:val="24"/>
                <w:szCs w:val="24"/>
              </w:rPr>
              <w:t>Loss on sale of Property Plant and Equipment</w:t>
            </w:r>
          </w:p>
        </w:tc>
        <w:tc>
          <w:tcPr>
            <w:tcW w:w="1650" w:type="dxa"/>
            <w:vAlign w:val="center"/>
          </w:tcPr>
          <w:p w14:paraId="3CCE49A4" w14:textId="0C72DD4C" w:rsidR="003F0E9B" w:rsidRPr="000D756E" w:rsidRDefault="00112211" w:rsidP="003F0E9B">
            <w:pPr>
              <w:jc w:val="right"/>
              <w:rPr>
                <w:rFonts w:ascii="Arial" w:hAnsi="Arial" w:cs="Arial"/>
                <w:sz w:val="24"/>
                <w:szCs w:val="24"/>
              </w:rPr>
            </w:pPr>
            <w:r>
              <w:rPr>
                <w:rFonts w:ascii="Arial" w:hAnsi="Arial" w:cs="Arial"/>
                <w:sz w:val="24"/>
                <w:szCs w:val="24"/>
              </w:rPr>
              <w:t>-117</w:t>
            </w:r>
          </w:p>
        </w:tc>
      </w:tr>
      <w:tr w:rsidR="003F0E9B" w:rsidRPr="000D756E" w14:paraId="74D6CEAA" w14:textId="77777777" w:rsidTr="00DF1B70">
        <w:trPr>
          <w:trHeight w:val="570"/>
        </w:trPr>
        <w:tc>
          <w:tcPr>
            <w:tcW w:w="1749" w:type="dxa"/>
            <w:vAlign w:val="center"/>
          </w:tcPr>
          <w:p w14:paraId="10B30D06" w14:textId="5CE05FCC" w:rsidR="003F0E9B" w:rsidRPr="000D756E" w:rsidRDefault="003F0E9B" w:rsidP="003F0E9B">
            <w:pPr>
              <w:jc w:val="right"/>
              <w:rPr>
                <w:rFonts w:ascii="Arial" w:hAnsi="Arial" w:cs="Arial"/>
                <w:sz w:val="24"/>
                <w:szCs w:val="24"/>
              </w:rPr>
            </w:pPr>
            <w:r w:rsidRPr="000D756E">
              <w:rPr>
                <w:rFonts w:ascii="Arial" w:hAnsi="Arial" w:cs="Arial"/>
                <w:sz w:val="24"/>
                <w:szCs w:val="24"/>
              </w:rPr>
              <w:t>-5,165</w:t>
            </w:r>
          </w:p>
        </w:tc>
        <w:tc>
          <w:tcPr>
            <w:tcW w:w="5620" w:type="dxa"/>
          </w:tcPr>
          <w:p w14:paraId="0F1CCF03" w14:textId="77777777" w:rsidR="003F0E9B" w:rsidRPr="000D756E" w:rsidRDefault="003F0E9B" w:rsidP="003F0E9B">
            <w:pPr>
              <w:rPr>
                <w:rFonts w:ascii="Arial" w:hAnsi="Arial" w:cs="Arial"/>
                <w:sz w:val="24"/>
                <w:szCs w:val="24"/>
              </w:rPr>
            </w:pPr>
            <w:r w:rsidRPr="000D756E">
              <w:rPr>
                <w:rFonts w:ascii="Arial" w:hAnsi="Arial" w:cs="Arial"/>
                <w:sz w:val="24"/>
                <w:szCs w:val="24"/>
              </w:rPr>
              <w:t>Revaluation losses on Property Plant and Equipment</w:t>
            </w:r>
          </w:p>
        </w:tc>
        <w:tc>
          <w:tcPr>
            <w:tcW w:w="1650" w:type="dxa"/>
            <w:vAlign w:val="center"/>
          </w:tcPr>
          <w:p w14:paraId="5F3E51D9" w14:textId="4851DE35" w:rsidR="003F0E9B" w:rsidRPr="000D756E" w:rsidRDefault="007A425F" w:rsidP="003F0E9B">
            <w:pPr>
              <w:jc w:val="right"/>
              <w:rPr>
                <w:rFonts w:ascii="Arial" w:hAnsi="Arial" w:cs="Arial"/>
                <w:sz w:val="24"/>
                <w:szCs w:val="24"/>
              </w:rPr>
            </w:pPr>
            <w:r>
              <w:rPr>
                <w:rFonts w:ascii="Arial" w:hAnsi="Arial" w:cs="Arial"/>
                <w:sz w:val="24"/>
                <w:szCs w:val="24"/>
              </w:rPr>
              <w:t>0</w:t>
            </w:r>
          </w:p>
        </w:tc>
      </w:tr>
      <w:tr w:rsidR="003F0E9B" w:rsidRPr="000D756E" w14:paraId="40D42488" w14:textId="77777777" w:rsidTr="00DF1B70">
        <w:trPr>
          <w:trHeight w:val="564"/>
        </w:trPr>
        <w:tc>
          <w:tcPr>
            <w:tcW w:w="1749" w:type="dxa"/>
            <w:vAlign w:val="center"/>
          </w:tcPr>
          <w:p w14:paraId="6507A1D2" w14:textId="5F32316E" w:rsidR="003F0E9B" w:rsidRPr="000D756E" w:rsidRDefault="003F0E9B" w:rsidP="003F0E9B">
            <w:pPr>
              <w:jc w:val="right"/>
              <w:rPr>
                <w:rFonts w:ascii="Arial" w:hAnsi="Arial" w:cs="Arial"/>
                <w:b/>
                <w:sz w:val="24"/>
                <w:szCs w:val="24"/>
              </w:rPr>
            </w:pPr>
            <w:r w:rsidRPr="000D756E">
              <w:rPr>
                <w:rFonts w:ascii="Arial" w:hAnsi="Arial" w:cs="Arial"/>
                <w:b/>
                <w:sz w:val="24"/>
                <w:szCs w:val="24"/>
              </w:rPr>
              <w:t>4,770</w:t>
            </w:r>
          </w:p>
        </w:tc>
        <w:tc>
          <w:tcPr>
            <w:tcW w:w="5620" w:type="dxa"/>
            <w:vAlign w:val="center"/>
          </w:tcPr>
          <w:p w14:paraId="332CFEB3" w14:textId="77777777" w:rsidR="003F0E9B" w:rsidRPr="000D756E" w:rsidRDefault="003F0E9B" w:rsidP="003F0E9B">
            <w:pPr>
              <w:rPr>
                <w:rFonts w:ascii="Arial" w:hAnsi="Arial" w:cs="Arial"/>
                <w:b/>
                <w:sz w:val="24"/>
                <w:szCs w:val="24"/>
              </w:rPr>
            </w:pPr>
            <w:r w:rsidRPr="000D756E">
              <w:rPr>
                <w:rFonts w:ascii="Arial" w:hAnsi="Arial" w:cs="Arial"/>
                <w:b/>
                <w:sz w:val="24"/>
                <w:szCs w:val="24"/>
              </w:rPr>
              <w:t>Total</w:t>
            </w:r>
          </w:p>
        </w:tc>
        <w:tc>
          <w:tcPr>
            <w:tcW w:w="1650" w:type="dxa"/>
            <w:vAlign w:val="center"/>
          </w:tcPr>
          <w:p w14:paraId="6033DDE3" w14:textId="3EE7FC26" w:rsidR="003F0E9B" w:rsidRPr="000D756E" w:rsidRDefault="00112211" w:rsidP="003F0E9B">
            <w:pPr>
              <w:jc w:val="right"/>
              <w:rPr>
                <w:rFonts w:ascii="Arial" w:hAnsi="Arial" w:cs="Arial"/>
                <w:b/>
                <w:sz w:val="24"/>
                <w:szCs w:val="24"/>
              </w:rPr>
            </w:pPr>
            <w:r>
              <w:rPr>
                <w:rFonts w:ascii="Arial" w:hAnsi="Arial" w:cs="Arial"/>
                <w:b/>
                <w:sz w:val="24"/>
                <w:szCs w:val="24"/>
              </w:rPr>
              <w:t>4,0</w:t>
            </w:r>
            <w:r w:rsidR="00D65FD3">
              <w:rPr>
                <w:rFonts w:ascii="Arial" w:hAnsi="Arial" w:cs="Arial"/>
                <w:b/>
                <w:sz w:val="24"/>
                <w:szCs w:val="24"/>
              </w:rPr>
              <w:t>5</w:t>
            </w:r>
            <w:r w:rsidR="00FE5F34">
              <w:rPr>
                <w:rFonts w:ascii="Arial" w:hAnsi="Arial" w:cs="Arial"/>
                <w:b/>
                <w:sz w:val="24"/>
                <w:szCs w:val="24"/>
              </w:rPr>
              <w:t>2</w:t>
            </w:r>
          </w:p>
        </w:tc>
      </w:tr>
      <w:tr w:rsidR="003F0E9B" w:rsidRPr="000D756E" w14:paraId="54D9A6B9" w14:textId="77777777" w:rsidTr="00DF1B70">
        <w:trPr>
          <w:trHeight w:val="696"/>
        </w:trPr>
        <w:tc>
          <w:tcPr>
            <w:tcW w:w="1749" w:type="dxa"/>
            <w:vAlign w:val="center"/>
          </w:tcPr>
          <w:p w14:paraId="2CE5F2AD" w14:textId="2E3CFF29" w:rsidR="003F0E9B" w:rsidRPr="000D756E" w:rsidRDefault="003F0E9B" w:rsidP="003F0E9B">
            <w:pPr>
              <w:jc w:val="right"/>
              <w:rPr>
                <w:rFonts w:ascii="Arial" w:hAnsi="Arial" w:cs="Arial"/>
                <w:sz w:val="24"/>
                <w:szCs w:val="24"/>
              </w:rPr>
            </w:pPr>
            <w:r w:rsidRPr="000D756E">
              <w:rPr>
                <w:rFonts w:ascii="Arial" w:hAnsi="Arial" w:cs="Arial"/>
                <w:sz w:val="24"/>
                <w:szCs w:val="24"/>
              </w:rPr>
              <w:t>828</w:t>
            </w:r>
          </w:p>
        </w:tc>
        <w:tc>
          <w:tcPr>
            <w:tcW w:w="5620" w:type="dxa"/>
          </w:tcPr>
          <w:p w14:paraId="4670B129" w14:textId="77777777" w:rsidR="003F0E9B" w:rsidRPr="000D756E" w:rsidRDefault="003F0E9B" w:rsidP="003F0E9B">
            <w:pPr>
              <w:rPr>
                <w:rFonts w:ascii="Arial" w:hAnsi="Arial" w:cs="Arial"/>
                <w:sz w:val="24"/>
                <w:szCs w:val="24"/>
              </w:rPr>
            </w:pPr>
            <w:r w:rsidRPr="000D756E">
              <w:rPr>
                <w:rFonts w:ascii="Arial" w:hAnsi="Arial" w:cs="Arial"/>
                <w:sz w:val="24"/>
                <w:szCs w:val="24"/>
              </w:rPr>
              <w:t>Adjusting amounts written out of the Revaluation Reserve</w:t>
            </w:r>
          </w:p>
        </w:tc>
        <w:tc>
          <w:tcPr>
            <w:tcW w:w="1650" w:type="dxa"/>
            <w:vAlign w:val="center"/>
          </w:tcPr>
          <w:p w14:paraId="6C49589E" w14:textId="24FFA093" w:rsidR="003F0E9B" w:rsidRPr="000D756E" w:rsidRDefault="00F95E1F" w:rsidP="003F0E9B">
            <w:pPr>
              <w:jc w:val="right"/>
              <w:rPr>
                <w:rFonts w:ascii="Arial" w:hAnsi="Arial" w:cs="Arial"/>
                <w:sz w:val="24"/>
                <w:szCs w:val="24"/>
              </w:rPr>
            </w:pPr>
            <w:r>
              <w:rPr>
                <w:rFonts w:ascii="Arial" w:hAnsi="Arial" w:cs="Arial"/>
                <w:sz w:val="24"/>
                <w:szCs w:val="24"/>
              </w:rPr>
              <w:t>811</w:t>
            </w:r>
          </w:p>
        </w:tc>
      </w:tr>
      <w:tr w:rsidR="003F0E9B" w:rsidRPr="000D756E" w14:paraId="51EAB65D" w14:textId="77777777" w:rsidTr="00DF1B70">
        <w:trPr>
          <w:trHeight w:val="701"/>
        </w:trPr>
        <w:tc>
          <w:tcPr>
            <w:tcW w:w="1749" w:type="dxa"/>
            <w:vAlign w:val="center"/>
          </w:tcPr>
          <w:p w14:paraId="39A2C265" w14:textId="1645C1D7" w:rsidR="003F0E9B" w:rsidRPr="000D756E" w:rsidRDefault="003F0E9B" w:rsidP="003F0E9B">
            <w:pPr>
              <w:jc w:val="right"/>
              <w:rPr>
                <w:rFonts w:ascii="Arial" w:hAnsi="Arial" w:cs="Arial"/>
                <w:b/>
                <w:sz w:val="24"/>
                <w:szCs w:val="24"/>
              </w:rPr>
            </w:pPr>
          </w:p>
        </w:tc>
        <w:tc>
          <w:tcPr>
            <w:tcW w:w="5620" w:type="dxa"/>
          </w:tcPr>
          <w:p w14:paraId="2A0638E4" w14:textId="77777777" w:rsidR="003F0E9B" w:rsidRPr="000D756E" w:rsidRDefault="003F0E9B" w:rsidP="003F0E9B">
            <w:pPr>
              <w:rPr>
                <w:rFonts w:ascii="Arial" w:hAnsi="Arial" w:cs="Arial"/>
                <w:b/>
                <w:sz w:val="24"/>
                <w:szCs w:val="24"/>
              </w:rPr>
            </w:pPr>
            <w:r w:rsidRPr="000D756E">
              <w:rPr>
                <w:rFonts w:ascii="Arial" w:hAnsi="Arial" w:cs="Arial"/>
                <w:b/>
                <w:sz w:val="24"/>
                <w:szCs w:val="24"/>
              </w:rPr>
              <w:t>Net written out amount of the cost of non current assets consumed in the year</w:t>
            </w:r>
          </w:p>
        </w:tc>
        <w:tc>
          <w:tcPr>
            <w:tcW w:w="1650" w:type="dxa"/>
            <w:vAlign w:val="center"/>
          </w:tcPr>
          <w:p w14:paraId="4BC14E6E" w14:textId="2202B27B" w:rsidR="003F0E9B" w:rsidRPr="000D756E" w:rsidRDefault="003F0E9B" w:rsidP="003F0E9B">
            <w:pPr>
              <w:jc w:val="right"/>
              <w:rPr>
                <w:rFonts w:ascii="Arial" w:hAnsi="Arial" w:cs="Arial"/>
                <w:b/>
                <w:sz w:val="24"/>
                <w:szCs w:val="24"/>
              </w:rPr>
            </w:pPr>
          </w:p>
        </w:tc>
      </w:tr>
      <w:tr w:rsidR="003F0E9B" w:rsidRPr="000D756E" w14:paraId="2AC0AB17" w14:textId="77777777" w:rsidTr="00DF1B70">
        <w:trPr>
          <w:trHeight w:val="437"/>
        </w:trPr>
        <w:tc>
          <w:tcPr>
            <w:tcW w:w="1749" w:type="dxa"/>
            <w:vAlign w:val="center"/>
          </w:tcPr>
          <w:p w14:paraId="2116A6EA" w14:textId="77777777" w:rsidR="003F0E9B" w:rsidRPr="000D756E" w:rsidRDefault="003F0E9B" w:rsidP="003F0E9B">
            <w:pPr>
              <w:jc w:val="right"/>
              <w:rPr>
                <w:rFonts w:ascii="Arial" w:hAnsi="Arial" w:cs="Arial"/>
                <w:sz w:val="24"/>
                <w:szCs w:val="24"/>
              </w:rPr>
            </w:pPr>
          </w:p>
        </w:tc>
        <w:tc>
          <w:tcPr>
            <w:tcW w:w="5620" w:type="dxa"/>
          </w:tcPr>
          <w:p w14:paraId="53A71C6A" w14:textId="77777777" w:rsidR="003F0E9B" w:rsidRPr="000D756E" w:rsidRDefault="003F0E9B" w:rsidP="003F0E9B">
            <w:pPr>
              <w:rPr>
                <w:rFonts w:ascii="Arial" w:hAnsi="Arial" w:cs="Arial"/>
                <w:sz w:val="24"/>
                <w:szCs w:val="24"/>
              </w:rPr>
            </w:pPr>
            <w:r w:rsidRPr="000D756E">
              <w:rPr>
                <w:rFonts w:ascii="Arial" w:hAnsi="Arial" w:cs="Arial"/>
                <w:sz w:val="24"/>
                <w:szCs w:val="24"/>
              </w:rPr>
              <w:t>Capital financing applied in the year:</w:t>
            </w:r>
          </w:p>
        </w:tc>
        <w:tc>
          <w:tcPr>
            <w:tcW w:w="1650" w:type="dxa"/>
            <w:vAlign w:val="center"/>
          </w:tcPr>
          <w:p w14:paraId="4CF9EB32" w14:textId="77777777" w:rsidR="003F0E9B" w:rsidRPr="000D756E" w:rsidRDefault="003F0E9B" w:rsidP="003F0E9B">
            <w:pPr>
              <w:jc w:val="right"/>
              <w:rPr>
                <w:rFonts w:ascii="Arial" w:hAnsi="Arial" w:cs="Arial"/>
                <w:sz w:val="24"/>
                <w:szCs w:val="24"/>
              </w:rPr>
            </w:pPr>
          </w:p>
        </w:tc>
      </w:tr>
      <w:tr w:rsidR="003F0E9B" w:rsidRPr="000D756E" w14:paraId="6C0559D7" w14:textId="77777777" w:rsidTr="00DF1B70">
        <w:trPr>
          <w:trHeight w:val="712"/>
        </w:trPr>
        <w:tc>
          <w:tcPr>
            <w:tcW w:w="1749" w:type="dxa"/>
            <w:vAlign w:val="center"/>
          </w:tcPr>
          <w:p w14:paraId="0044DADD" w14:textId="55B1AB98" w:rsidR="003F0E9B" w:rsidRPr="000D756E" w:rsidRDefault="003F0E9B" w:rsidP="003F0E9B">
            <w:pPr>
              <w:jc w:val="right"/>
              <w:rPr>
                <w:rFonts w:ascii="Arial" w:hAnsi="Arial" w:cs="Arial"/>
                <w:sz w:val="24"/>
                <w:szCs w:val="24"/>
              </w:rPr>
            </w:pPr>
            <w:r w:rsidRPr="000D756E">
              <w:rPr>
                <w:rFonts w:ascii="Arial" w:hAnsi="Arial" w:cs="Arial"/>
                <w:sz w:val="24"/>
                <w:szCs w:val="24"/>
              </w:rPr>
              <w:t>0</w:t>
            </w:r>
          </w:p>
        </w:tc>
        <w:tc>
          <w:tcPr>
            <w:tcW w:w="5620" w:type="dxa"/>
          </w:tcPr>
          <w:p w14:paraId="3F43350B" w14:textId="77777777" w:rsidR="003F0E9B" w:rsidRPr="000D756E" w:rsidRDefault="003F0E9B" w:rsidP="003F0E9B">
            <w:pPr>
              <w:rPr>
                <w:rFonts w:ascii="Arial" w:hAnsi="Arial" w:cs="Arial"/>
                <w:sz w:val="24"/>
                <w:szCs w:val="24"/>
              </w:rPr>
            </w:pPr>
            <w:r w:rsidRPr="000D756E">
              <w:rPr>
                <w:rFonts w:ascii="Arial" w:hAnsi="Arial" w:cs="Arial"/>
                <w:sz w:val="24"/>
                <w:szCs w:val="24"/>
              </w:rPr>
              <w:t>Application of grants to capital financing from the Capital Grants Unapplied Account</w:t>
            </w:r>
          </w:p>
        </w:tc>
        <w:tc>
          <w:tcPr>
            <w:tcW w:w="1650" w:type="dxa"/>
            <w:vAlign w:val="center"/>
          </w:tcPr>
          <w:p w14:paraId="1056C662" w14:textId="7DBFF852" w:rsidR="003F0E9B" w:rsidRPr="000D756E" w:rsidRDefault="00F95E1F" w:rsidP="003F0E9B">
            <w:pPr>
              <w:jc w:val="right"/>
              <w:rPr>
                <w:rFonts w:ascii="Arial" w:hAnsi="Arial" w:cs="Arial"/>
                <w:sz w:val="24"/>
                <w:szCs w:val="24"/>
              </w:rPr>
            </w:pPr>
            <w:r>
              <w:rPr>
                <w:rFonts w:ascii="Arial" w:hAnsi="Arial" w:cs="Arial"/>
                <w:sz w:val="24"/>
                <w:szCs w:val="24"/>
              </w:rPr>
              <w:t>0</w:t>
            </w:r>
          </w:p>
        </w:tc>
      </w:tr>
      <w:tr w:rsidR="003F0E9B" w:rsidRPr="000D756E" w14:paraId="76936416" w14:textId="77777777" w:rsidTr="00DF1B70">
        <w:trPr>
          <w:trHeight w:val="978"/>
        </w:trPr>
        <w:tc>
          <w:tcPr>
            <w:tcW w:w="1749" w:type="dxa"/>
            <w:vAlign w:val="center"/>
          </w:tcPr>
          <w:p w14:paraId="2ACF51BF" w14:textId="4BD837C6" w:rsidR="003F0E9B" w:rsidRPr="000D756E" w:rsidRDefault="003F0E9B" w:rsidP="003F0E9B">
            <w:pPr>
              <w:jc w:val="right"/>
              <w:rPr>
                <w:rFonts w:ascii="Arial" w:hAnsi="Arial" w:cs="Arial"/>
                <w:sz w:val="24"/>
                <w:szCs w:val="24"/>
              </w:rPr>
            </w:pPr>
            <w:r w:rsidRPr="000D756E">
              <w:rPr>
                <w:rFonts w:ascii="Arial" w:hAnsi="Arial" w:cs="Arial"/>
                <w:sz w:val="24"/>
                <w:szCs w:val="24"/>
              </w:rPr>
              <w:t>260</w:t>
            </w:r>
          </w:p>
        </w:tc>
        <w:tc>
          <w:tcPr>
            <w:tcW w:w="5620" w:type="dxa"/>
          </w:tcPr>
          <w:p w14:paraId="5AF75EDC" w14:textId="77777777" w:rsidR="003F0E9B" w:rsidRPr="000D756E" w:rsidRDefault="003F0E9B" w:rsidP="003F0E9B">
            <w:pPr>
              <w:rPr>
                <w:rFonts w:ascii="Arial" w:hAnsi="Arial" w:cs="Arial"/>
                <w:sz w:val="24"/>
                <w:szCs w:val="24"/>
              </w:rPr>
            </w:pPr>
            <w:r w:rsidRPr="000D756E">
              <w:rPr>
                <w:rFonts w:ascii="Arial" w:hAnsi="Arial" w:cs="Arial"/>
                <w:sz w:val="24"/>
                <w:szCs w:val="24"/>
              </w:rPr>
              <w:t>Statutory provision for the financing of capital investment charged against the General Fund balance</w:t>
            </w:r>
          </w:p>
        </w:tc>
        <w:tc>
          <w:tcPr>
            <w:tcW w:w="1650" w:type="dxa"/>
            <w:vAlign w:val="center"/>
          </w:tcPr>
          <w:p w14:paraId="5EFEF895" w14:textId="447D9DD2" w:rsidR="003F0E9B" w:rsidRPr="000D756E" w:rsidRDefault="00C944AD" w:rsidP="003F0E9B">
            <w:pPr>
              <w:jc w:val="right"/>
              <w:rPr>
                <w:rFonts w:ascii="Arial" w:hAnsi="Arial" w:cs="Arial"/>
                <w:sz w:val="24"/>
                <w:szCs w:val="24"/>
              </w:rPr>
            </w:pPr>
            <w:r>
              <w:rPr>
                <w:rFonts w:ascii="Arial" w:hAnsi="Arial" w:cs="Arial"/>
                <w:sz w:val="24"/>
                <w:szCs w:val="24"/>
              </w:rPr>
              <w:t>387</w:t>
            </w:r>
          </w:p>
        </w:tc>
      </w:tr>
      <w:tr w:rsidR="003F0E9B" w:rsidRPr="000D756E" w14:paraId="13496882" w14:textId="77777777" w:rsidTr="00DF1B70">
        <w:trPr>
          <w:trHeight w:val="722"/>
        </w:trPr>
        <w:tc>
          <w:tcPr>
            <w:tcW w:w="1749" w:type="dxa"/>
            <w:vAlign w:val="center"/>
          </w:tcPr>
          <w:p w14:paraId="69B5FB10" w14:textId="7F571BA2" w:rsidR="003F0E9B" w:rsidRPr="000D756E" w:rsidRDefault="003F0E9B" w:rsidP="003F0E9B">
            <w:pPr>
              <w:jc w:val="right"/>
              <w:rPr>
                <w:rFonts w:ascii="Arial" w:hAnsi="Arial" w:cs="Arial"/>
                <w:sz w:val="24"/>
                <w:szCs w:val="24"/>
              </w:rPr>
            </w:pPr>
            <w:r w:rsidRPr="000D756E">
              <w:rPr>
                <w:rFonts w:ascii="Arial" w:hAnsi="Arial" w:cs="Arial"/>
                <w:sz w:val="24"/>
                <w:szCs w:val="24"/>
              </w:rPr>
              <w:t>1,214</w:t>
            </w:r>
          </w:p>
        </w:tc>
        <w:tc>
          <w:tcPr>
            <w:tcW w:w="5620" w:type="dxa"/>
          </w:tcPr>
          <w:p w14:paraId="60B8DCA3" w14:textId="77777777" w:rsidR="003F0E9B" w:rsidRPr="000D756E" w:rsidRDefault="003F0E9B" w:rsidP="003F0E9B">
            <w:pPr>
              <w:rPr>
                <w:rFonts w:ascii="Arial" w:hAnsi="Arial" w:cs="Arial"/>
                <w:sz w:val="24"/>
                <w:szCs w:val="24"/>
              </w:rPr>
            </w:pPr>
            <w:r w:rsidRPr="000D756E">
              <w:rPr>
                <w:rFonts w:ascii="Arial" w:hAnsi="Arial" w:cs="Arial"/>
                <w:sz w:val="24"/>
                <w:szCs w:val="24"/>
              </w:rPr>
              <w:t>Capital expenditure charged against the General Fund balance</w:t>
            </w:r>
          </w:p>
        </w:tc>
        <w:tc>
          <w:tcPr>
            <w:tcW w:w="1650" w:type="dxa"/>
            <w:vAlign w:val="center"/>
          </w:tcPr>
          <w:p w14:paraId="2EF54AF5" w14:textId="4B170F6E" w:rsidR="003F0E9B" w:rsidRPr="000D756E" w:rsidRDefault="00C944AD" w:rsidP="003F0E9B">
            <w:pPr>
              <w:jc w:val="right"/>
              <w:rPr>
                <w:rFonts w:ascii="Arial" w:hAnsi="Arial" w:cs="Arial"/>
                <w:sz w:val="24"/>
                <w:szCs w:val="24"/>
              </w:rPr>
            </w:pPr>
            <w:r>
              <w:rPr>
                <w:rFonts w:ascii="Arial" w:hAnsi="Arial" w:cs="Arial"/>
                <w:sz w:val="24"/>
                <w:szCs w:val="24"/>
              </w:rPr>
              <w:t>3,968</w:t>
            </w:r>
          </w:p>
        </w:tc>
      </w:tr>
      <w:tr w:rsidR="003F0E9B" w:rsidRPr="000D756E" w14:paraId="60CBF71F" w14:textId="77777777" w:rsidTr="00DF1B70">
        <w:trPr>
          <w:trHeight w:val="722"/>
        </w:trPr>
        <w:tc>
          <w:tcPr>
            <w:tcW w:w="1749" w:type="dxa"/>
            <w:vAlign w:val="center"/>
          </w:tcPr>
          <w:p w14:paraId="119F25D3" w14:textId="6D6600A0" w:rsidR="003F0E9B" w:rsidRPr="000D756E" w:rsidRDefault="003F0E9B" w:rsidP="003F0E9B">
            <w:pPr>
              <w:jc w:val="right"/>
              <w:rPr>
                <w:rFonts w:ascii="Arial" w:hAnsi="Arial" w:cs="Arial"/>
                <w:b/>
                <w:sz w:val="24"/>
                <w:szCs w:val="24"/>
              </w:rPr>
            </w:pPr>
            <w:r w:rsidRPr="000D756E">
              <w:rPr>
                <w:rFonts w:ascii="Arial" w:hAnsi="Arial" w:cs="Arial"/>
                <w:b/>
                <w:sz w:val="24"/>
                <w:szCs w:val="24"/>
              </w:rPr>
              <w:t>7,072</w:t>
            </w:r>
          </w:p>
        </w:tc>
        <w:tc>
          <w:tcPr>
            <w:tcW w:w="5620" w:type="dxa"/>
            <w:vAlign w:val="center"/>
          </w:tcPr>
          <w:p w14:paraId="297C1B8F" w14:textId="77777777" w:rsidR="003F0E9B" w:rsidRPr="000D756E" w:rsidRDefault="003F0E9B" w:rsidP="003F0E9B">
            <w:pPr>
              <w:rPr>
                <w:rFonts w:ascii="Arial" w:hAnsi="Arial" w:cs="Arial"/>
                <w:b/>
                <w:sz w:val="24"/>
                <w:szCs w:val="24"/>
              </w:rPr>
            </w:pPr>
            <w:r w:rsidRPr="000D756E">
              <w:rPr>
                <w:rFonts w:ascii="Arial" w:hAnsi="Arial" w:cs="Arial"/>
                <w:b/>
                <w:sz w:val="24"/>
                <w:szCs w:val="24"/>
              </w:rPr>
              <w:t>Balance as at 31 March</w:t>
            </w:r>
          </w:p>
        </w:tc>
        <w:tc>
          <w:tcPr>
            <w:tcW w:w="1650" w:type="dxa"/>
            <w:vAlign w:val="center"/>
          </w:tcPr>
          <w:p w14:paraId="1939FDD8" w14:textId="49A7CB08" w:rsidR="003F0E9B" w:rsidRPr="000D756E" w:rsidRDefault="00D65FD3" w:rsidP="003F0E9B">
            <w:pPr>
              <w:jc w:val="right"/>
              <w:rPr>
                <w:rFonts w:ascii="Arial" w:hAnsi="Arial" w:cs="Arial"/>
                <w:b/>
                <w:sz w:val="24"/>
                <w:szCs w:val="24"/>
              </w:rPr>
            </w:pPr>
            <w:r>
              <w:rPr>
                <w:rFonts w:ascii="Arial" w:hAnsi="Arial" w:cs="Arial"/>
                <w:b/>
                <w:sz w:val="24"/>
                <w:szCs w:val="24"/>
              </w:rPr>
              <w:t>9,218</w:t>
            </w:r>
          </w:p>
        </w:tc>
      </w:tr>
    </w:tbl>
    <w:p w14:paraId="6AC82675" w14:textId="125ED890" w:rsidR="00ED3027" w:rsidRPr="000D756E" w:rsidRDefault="00ED3027" w:rsidP="002A7C01">
      <w:pPr>
        <w:rPr>
          <w:rFonts w:ascii="Arial" w:hAnsi="Arial" w:cs="Arial"/>
          <w:b/>
          <w:sz w:val="24"/>
          <w:szCs w:val="24"/>
        </w:rPr>
      </w:pPr>
    </w:p>
    <w:p w14:paraId="1B7837FD" w14:textId="77777777" w:rsidR="002544DF" w:rsidRPr="000D756E" w:rsidRDefault="002544DF" w:rsidP="002A7C01">
      <w:pPr>
        <w:rPr>
          <w:rFonts w:ascii="Arial" w:hAnsi="Arial" w:cs="Arial"/>
          <w:b/>
          <w:sz w:val="24"/>
          <w:szCs w:val="24"/>
        </w:rPr>
      </w:pPr>
      <w:r w:rsidRPr="000D756E">
        <w:rPr>
          <w:rFonts w:ascii="Arial" w:hAnsi="Arial" w:cs="Arial"/>
          <w:b/>
          <w:sz w:val="24"/>
          <w:szCs w:val="24"/>
        </w:rPr>
        <w:lastRenderedPageBreak/>
        <w:t>Pensions Reserves</w:t>
      </w:r>
    </w:p>
    <w:p w14:paraId="58DACDE2" w14:textId="054463D5" w:rsidR="002544DF" w:rsidRPr="000D756E" w:rsidRDefault="002544DF" w:rsidP="5520B737">
      <w:pPr>
        <w:rPr>
          <w:rFonts w:ascii="Arial" w:hAnsi="Arial" w:cs="Arial"/>
          <w:sz w:val="24"/>
          <w:szCs w:val="24"/>
        </w:rPr>
      </w:pPr>
      <w:r w:rsidRPr="000D756E">
        <w:rPr>
          <w:rFonts w:ascii="Arial" w:hAnsi="Arial" w:cs="Arial"/>
          <w:sz w:val="24"/>
          <w:szCs w:val="24"/>
        </w:rPr>
        <w:t>The Pensions Reserves absorb the timing differences arising from the different arrangements for accounting for post employment benefits and for funding benefits in accordance with statutory provisions. The Authority accounts for post employment benefits in the Comprehensive Income and Expenditure Statement as the benefits are earned by employees accruing years of service, updating the liabilities recognised to reflect inflation, changing assumptions and investment returns on any resources set aside to meet the costs. However, statutory arrangements require benefits earned to be financed as the Authority makes employer’s contributions to pension funds</w:t>
      </w:r>
      <w:r w:rsidR="00C17135" w:rsidRPr="000D756E">
        <w:rPr>
          <w:rFonts w:ascii="Arial" w:hAnsi="Arial" w:cs="Arial"/>
          <w:sz w:val="24"/>
          <w:szCs w:val="24"/>
        </w:rPr>
        <w:t>,</w:t>
      </w:r>
      <w:r w:rsidRPr="000D756E">
        <w:rPr>
          <w:rFonts w:ascii="Arial" w:hAnsi="Arial" w:cs="Arial"/>
          <w:sz w:val="24"/>
          <w:szCs w:val="24"/>
        </w:rPr>
        <w:t xml:space="preserve"> or eventually pays any pensions for which it is directly responsible.</w:t>
      </w:r>
    </w:p>
    <w:p w14:paraId="6A0A07A9" w14:textId="0456FD2E" w:rsidR="002544DF" w:rsidRPr="000D756E" w:rsidRDefault="002544DF" w:rsidP="5520B737">
      <w:pPr>
        <w:rPr>
          <w:rFonts w:ascii="Arial" w:hAnsi="Arial" w:cs="Arial"/>
          <w:sz w:val="24"/>
          <w:szCs w:val="24"/>
        </w:rPr>
      </w:pPr>
    </w:p>
    <w:p w14:paraId="7C814BE3" w14:textId="128903CD" w:rsidR="00831887" w:rsidRPr="000D756E" w:rsidRDefault="002544DF" w:rsidP="002A7C01">
      <w:pPr>
        <w:rPr>
          <w:rFonts w:ascii="Arial" w:hAnsi="Arial" w:cs="Arial"/>
          <w:sz w:val="24"/>
          <w:szCs w:val="24"/>
        </w:rPr>
      </w:pPr>
      <w:r w:rsidRPr="000D756E">
        <w:rPr>
          <w:rFonts w:ascii="Arial" w:hAnsi="Arial" w:cs="Arial"/>
          <w:sz w:val="24"/>
          <w:szCs w:val="24"/>
        </w:rPr>
        <w:t>The debit balance on the Pensions Reserves therefore shows a substantial shortfall in the benefits earned by past and current employees and the resources the Authority has to set aside to meet them. The statutory arrangements will ensure funding will have been set aside by the time the benefits come to be paid.</w:t>
      </w:r>
    </w:p>
    <w:p w14:paraId="07494E63" w14:textId="77777777" w:rsidR="002544DF" w:rsidRPr="000D756E" w:rsidRDefault="002544DF" w:rsidP="002A7C01">
      <w:pPr>
        <w:rPr>
          <w:rFonts w:ascii="Arial" w:hAnsi="Arial" w:cs="Arial"/>
          <w:sz w:val="24"/>
          <w:szCs w:val="24"/>
        </w:rPr>
      </w:pPr>
    </w:p>
    <w:tbl>
      <w:tblPr>
        <w:tblW w:w="9493" w:type="dxa"/>
        <w:tblLook w:val="01E0" w:firstRow="1" w:lastRow="1" w:firstColumn="1" w:lastColumn="1" w:noHBand="0" w:noVBand="0"/>
      </w:tblPr>
      <w:tblGrid>
        <w:gridCol w:w="1271"/>
        <w:gridCol w:w="992"/>
        <w:gridCol w:w="1276"/>
        <w:gridCol w:w="2268"/>
        <w:gridCol w:w="1276"/>
        <w:gridCol w:w="1276"/>
        <w:gridCol w:w="1134"/>
      </w:tblGrid>
      <w:tr w:rsidR="006329E6" w:rsidRPr="000D756E" w14:paraId="41AD51E7" w14:textId="77777777" w:rsidTr="00267C64">
        <w:tc>
          <w:tcPr>
            <w:tcW w:w="3539" w:type="dxa"/>
            <w:gridSpan w:val="3"/>
            <w:tcBorders>
              <w:top w:val="single" w:sz="4" w:space="0" w:color="auto"/>
              <w:left w:val="single" w:sz="4" w:space="0" w:color="auto"/>
              <w:bottom w:val="single" w:sz="4" w:space="0" w:color="auto"/>
              <w:right w:val="single" w:sz="4" w:space="0" w:color="auto"/>
            </w:tcBorders>
          </w:tcPr>
          <w:p w14:paraId="2250D674" w14:textId="77777777" w:rsidR="00D82B83" w:rsidRPr="000D756E" w:rsidRDefault="00D82B83" w:rsidP="00A9206F">
            <w:pPr>
              <w:jc w:val="center"/>
              <w:rPr>
                <w:rFonts w:ascii="Arial" w:hAnsi="Arial" w:cs="Arial"/>
                <w:b/>
                <w:sz w:val="24"/>
                <w:szCs w:val="24"/>
              </w:rPr>
            </w:pPr>
          </w:p>
          <w:p w14:paraId="123FD33F" w14:textId="6443CE2A" w:rsidR="00D266B2" w:rsidRPr="000D756E" w:rsidRDefault="00D266B2" w:rsidP="00A9206F">
            <w:pPr>
              <w:jc w:val="center"/>
              <w:rPr>
                <w:rFonts w:ascii="Arial" w:hAnsi="Arial" w:cs="Arial"/>
                <w:b/>
                <w:sz w:val="24"/>
                <w:szCs w:val="24"/>
              </w:rPr>
            </w:pPr>
            <w:r w:rsidRPr="000D756E">
              <w:rPr>
                <w:rFonts w:ascii="Arial" w:hAnsi="Arial" w:cs="Arial"/>
                <w:b/>
                <w:sz w:val="24"/>
                <w:szCs w:val="24"/>
              </w:rPr>
              <w:t>20</w:t>
            </w:r>
            <w:r w:rsidR="00DF45DC" w:rsidRPr="000D756E">
              <w:rPr>
                <w:rFonts w:ascii="Arial" w:hAnsi="Arial" w:cs="Arial"/>
                <w:b/>
                <w:sz w:val="24"/>
                <w:szCs w:val="24"/>
              </w:rPr>
              <w:t>2</w:t>
            </w:r>
            <w:r w:rsidR="00031437">
              <w:rPr>
                <w:rFonts w:ascii="Arial" w:hAnsi="Arial" w:cs="Arial"/>
                <w:b/>
                <w:sz w:val="24"/>
                <w:szCs w:val="24"/>
              </w:rPr>
              <w:t>3/24</w:t>
            </w:r>
          </w:p>
          <w:p w14:paraId="3597C6B8" w14:textId="77777777" w:rsidR="00D266B2" w:rsidRPr="000D756E" w:rsidRDefault="00D266B2" w:rsidP="00A9206F">
            <w:pPr>
              <w:jc w:val="center"/>
              <w:rPr>
                <w:rFonts w:ascii="Arial" w:hAnsi="Arial" w:cs="Arial"/>
                <w:b/>
                <w:sz w:val="24"/>
                <w:szCs w:val="24"/>
              </w:rPr>
            </w:pPr>
            <w:r w:rsidRPr="000D756E">
              <w:rPr>
                <w:rFonts w:ascii="Arial" w:hAnsi="Arial" w:cs="Arial"/>
                <w:b/>
                <w:sz w:val="24"/>
                <w:szCs w:val="24"/>
              </w:rPr>
              <w:t>£’000</w:t>
            </w:r>
          </w:p>
        </w:tc>
        <w:tc>
          <w:tcPr>
            <w:tcW w:w="2268" w:type="dxa"/>
            <w:tcBorders>
              <w:top w:val="single" w:sz="4" w:space="0" w:color="auto"/>
              <w:left w:val="single" w:sz="4" w:space="0" w:color="auto"/>
              <w:bottom w:val="single" w:sz="4" w:space="0" w:color="auto"/>
              <w:right w:val="single" w:sz="4" w:space="0" w:color="auto"/>
            </w:tcBorders>
          </w:tcPr>
          <w:p w14:paraId="1AAF487A" w14:textId="77777777" w:rsidR="00D266B2" w:rsidRPr="000D756E" w:rsidRDefault="00D266B2" w:rsidP="002A7C01">
            <w:pPr>
              <w:rPr>
                <w:rFonts w:ascii="Arial" w:hAnsi="Arial" w:cs="Arial"/>
                <w:b/>
                <w:sz w:val="24"/>
                <w:szCs w:val="24"/>
              </w:rPr>
            </w:pPr>
          </w:p>
        </w:tc>
        <w:tc>
          <w:tcPr>
            <w:tcW w:w="3686" w:type="dxa"/>
            <w:gridSpan w:val="3"/>
            <w:tcBorders>
              <w:top w:val="single" w:sz="4" w:space="0" w:color="auto"/>
              <w:left w:val="single" w:sz="4" w:space="0" w:color="auto"/>
              <w:bottom w:val="single" w:sz="4" w:space="0" w:color="auto"/>
              <w:right w:val="single" w:sz="4" w:space="0" w:color="auto"/>
            </w:tcBorders>
          </w:tcPr>
          <w:p w14:paraId="517C3CAC" w14:textId="77777777" w:rsidR="00BD40F3" w:rsidRPr="000D756E" w:rsidRDefault="00BD40F3" w:rsidP="00A9206F">
            <w:pPr>
              <w:jc w:val="center"/>
              <w:rPr>
                <w:rFonts w:ascii="Arial" w:hAnsi="Arial" w:cs="Arial"/>
                <w:b/>
                <w:sz w:val="24"/>
                <w:szCs w:val="24"/>
              </w:rPr>
            </w:pPr>
          </w:p>
          <w:p w14:paraId="26306FD9" w14:textId="35BB7302" w:rsidR="00155429" w:rsidRPr="000D756E" w:rsidRDefault="00BD40F3" w:rsidP="00155429">
            <w:pPr>
              <w:jc w:val="center"/>
              <w:rPr>
                <w:rFonts w:ascii="Arial" w:hAnsi="Arial" w:cs="Arial"/>
                <w:b/>
                <w:sz w:val="24"/>
                <w:szCs w:val="24"/>
              </w:rPr>
            </w:pPr>
            <w:r w:rsidRPr="000D756E">
              <w:rPr>
                <w:rFonts w:ascii="Arial" w:hAnsi="Arial" w:cs="Arial"/>
                <w:b/>
                <w:sz w:val="24"/>
                <w:szCs w:val="24"/>
              </w:rPr>
              <w:t>2</w:t>
            </w:r>
            <w:r w:rsidR="00D266B2" w:rsidRPr="000D756E">
              <w:rPr>
                <w:rFonts w:ascii="Arial" w:hAnsi="Arial" w:cs="Arial"/>
                <w:b/>
                <w:sz w:val="24"/>
                <w:szCs w:val="24"/>
              </w:rPr>
              <w:t>0</w:t>
            </w:r>
            <w:r w:rsidR="00927C37" w:rsidRPr="000D756E">
              <w:rPr>
                <w:rFonts w:ascii="Arial" w:hAnsi="Arial" w:cs="Arial"/>
                <w:b/>
                <w:sz w:val="24"/>
                <w:szCs w:val="24"/>
              </w:rPr>
              <w:t>2</w:t>
            </w:r>
            <w:r w:rsidR="00031437">
              <w:rPr>
                <w:rFonts w:ascii="Arial" w:hAnsi="Arial" w:cs="Arial"/>
                <w:b/>
                <w:sz w:val="24"/>
                <w:szCs w:val="24"/>
              </w:rPr>
              <w:t>4/25</w:t>
            </w:r>
          </w:p>
          <w:p w14:paraId="2B3F97BF" w14:textId="77777777" w:rsidR="00D266B2" w:rsidRPr="000D756E" w:rsidRDefault="00D266B2" w:rsidP="00155429">
            <w:pPr>
              <w:jc w:val="center"/>
              <w:rPr>
                <w:rFonts w:ascii="Arial" w:hAnsi="Arial" w:cs="Arial"/>
                <w:b/>
                <w:sz w:val="24"/>
                <w:szCs w:val="24"/>
              </w:rPr>
            </w:pPr>
            <w:r w:rsidRPr="000D756E">
              <w:rPr>
                <w:rFonts w:ascii="Arial" w:hAnsi="Arial" w:cs="Arial"/>
                <w:b/>
                <w:sz w:val="24"/>
                <w:szCs w:val="24"/>
              </w:rPr>
              <w:t>£’000</w:t>
            </w:r>
          </w:p>
        </w:tc>
      </w:tr>
      <w:tr w:rsidR="006329E6" w:rsidRPr="000D756E" w14:paraId="1BC29094" w14:textId="77777777" w:rsidTr="00267C64">
        <w:trPr>
          <w:trHeight w:val="429"/>
        </w:trPr>
        <w:tc>
          <w:tcPr>
            <w:tcW w:w="1271" w:type="dxa"/>
            <w:tcBorders>
              <w:top w:val="single" w:sz="4" w:space="0" w:color="auto"/>
              <w:left w:val="single" w:sz="4" w:space="0" w:color="auto"/>
              <w:bottom w:val="single" w:sz="4" w:space="0" w:color="auto"/>
              <w:right w:val="single" w:sz="4" w:space="0" w:color="auto"/>
            </w:tcBorders>
          </w:tcPr>
          <w:p w14:paraId="312BEAC1" w14:textId="77777777" w:rsidR="00D266B2" w:rsidRPr="000D756E" w:rsidRDefault="00D266B2" w:rsidP="00A9206F">
            <w:pPr>
              <w:jc w:val="right"/>
              <w:rPr>
                <w:rFonts w:ascii="Arial" w:hAnsi="Arial" w:cs="Arial"/>
                <w:b/>
                <w:sz w:val="24"/>
                <w:szCs w:val="24"/>
              </w:rPr>
            </w:pPr>
          </w:p>
          <w:p w14:paraId="7CD9ADCD" w14:textId="77777777" w:rsidR="00D266B2" w:rsidRPr="000D756E" w:rsidRDefault="00D266B2" w:rsidP="00A9206F">
            <w:pPr>
              <w:jc w:val="right"/>
              <w:rPr>
                <w:rFonts w:ascii="Arial" w:hAnsi="Arial" w:cs="Arial"/>
                <w:b/>
                <w:sz w:val="24"/>
                <w:szCs w:val="24"/>
              </w:rPr>
            </w:pPr>
            <w:r w:rsidRPr="000D756E">
              <w:rPr>
                <w:rFonts w:ascii="Arial" w:hAnsi="Arial" w:cs="Arial"/>
                <w:b/>
                <w:sz w:val="24"/>
                <w:szCs w:val="24"/>
              </w:rPr>
              <w:t>Fire</w:t>
            </w:r>
          </w:p>
          <w:p w14:paraId="45ED7A72" w14:textId="77777777" w:rsidR="00D266B2" w:rsidRPr="000D756E" w:rsidRDefault="00D266B2" w:rsidP="00A9206F">
            <w:pPr>
              <w:jc w:val="right"/>
              <w:rPr>
                <w:rFonts w:ascii="Arial" w:hAnsi="Arial" w:cs="Arial"/>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427F53B0" w14:textId="77777777" w:rsidR="00D266B2" w:rsidRPr="000D756E" w:rsidRDefault="00D266B2" w:rsidP="00A9206F">
            <w:pPr>
              <w:jc w:val="right"/>
              <w:rPr>
                <w:rFonts w:ascii="Arial" w:hAnsi="Arial" w:cs="Arial"/>
                <w:b/>
                <w:sz w:val="24"/>
                <w:szCs w:val="24"/>
              </w:rPr>
            </w:pPr>
          </w:p>
          <w:p w14:paraId="29BA4C79" w14:textId="77777777" w:rsidR="00D266B2" w:rsidRPr="000D756E" w:rsidRDefault="00D266B2" w:rsidP="00A9206F">
            <w:pPr>
              <w:jc w:val="right"/>
              <w:rPr>
                <w:rFonts w:ascii="Arial" w:hAnsi="Arial" w:cs="Arial"/>
                <w:b/>
                <w:sz w:val="24"/>
                <w:szCs w:val="24"/>
              </w:rPr>
            </w:pPr>
            <w:r w:rsidRPr="000D756E">
              <w:rPr>
                <w:rFonts w:ascii="Arial" w:hAnsi="Arial" w:cs="Arial"/>
                <w:b/>
                <w:sz w:val="24"/>
                <w:szCs w:val="24"/>
              </w:rPr>
              <w:t>LGPS</w:t>
            </w:r>
          </w:p>
          <w:p w14:paraId="6B148703" w14:textId="77777777" w:rsidR="00D266B2" w:rsidRPr="000D756E" w:rsidRDefault="00D266B2" w:rsidP="00A9206F">
            <w:pPr>
              <w:jc w:val="right"/>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8C5BC1" w14:textId="77777777" w:rsidR="00D266B2" w:rsidRPr="000D756E" w:rsidRDefault="00D266B2" w:rsidP="00A9206F">
            <w:pPr>
              <w:jc w:val="right"/>
              <w:rPr>
                <w:rFonts w:ascii="Arial" w:hAnsi="Arial" w:cs="Arial"/>
                <w:b/>
                <w:sz w:val="24"/>
                <w:szCs w:val="24"/>
              </w:rPr>
            </w:pPr>
          </w:p>
          <w:p w14:paraId="5CA8B0B0" w14:textId="77777777" w:rsidR="00D266B2" w:rsidRPr="000D756E" w:rsidRDefault="00D266B2" w:rsidP="00A9206F">
            <w:pPr>
              <w:jc w:val="right"/>
              <w:rPr>
                <w:rFonts w:ascii="Arial" w:hAnsi="Arial" w:cs="Arial"/>
                <w:b/>
                <w:sz w:val="24"/>
                <w:szCs w:val="24"/>
              </w:rPr>
            </w:pPr>
            <w:r w:rsidRPr="000D756E">
              <w:rPr>
                <w:rFonts w:ascii="Arial" w:hAnsi="Arial" w:cs="Arial"/>
                <w:b/>
                <w:sz w:val="24"/>
                <w:szCs w:val="24"/>
              </w:rPr>
              <w:t>Total</w:t>
            </w:r>
          </w:p>
        </w:tc>
        <w:tc>
          <w:tcPr>
            <w:tcW w:w="2268" w:type="dxa"/>
            <w:tcBorders>
              <w:top w:val="single" w:sz="4" w:space="0" w:color="auto"/>
              <w:left w:val="single" w:sz="4" w:space="0" w:color="auto"/>
              <w:bottom w:val="single" w:sz="4" w:space="0" w:color="auto"/>
              <w:right w:val="single" w:sz="4" w:space="0" w:color="auto"/>
            </w:tcBorders>
          </w:tcPr>
          <w:p w14:paraId="4E8F24E8" w14:textId="77777777" w:rsidR="00D266B2" w:rsidRPr="000D756E" w:rsidRDefault="00D266B2" w:rsidP="002A7C01">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87B15E" w14:textId="77777777" w:rsidR="00D266B2" w:rsidRPr="000D756E" w:rsidRDefault="00D266B2" w:rsidP="00A9206F">
            <w:pPr>
              <w:jc w:val="right"/>
              <w:rPr>
                <w:rFonts w:ascii="Arial" w:hAnsi="Arial" w:cs="Arial"/>
                <w:b/>
                <w:sz w:val="24"/>
                <w:szCs w:val="24"/>
              </w:rPr>
            </w:pPr>
          </w:p>
          <w:p w14:paraId="44AC623A" w14:textId="77777777" w:rsidR="00D266B2" w:rsidRPr="000D756E" w:rsidRDefault="00D266B2" w:rsidP="00A9206F">
            <w:pPr>
              <w:jc w:val="right"/>
              <w:rPr>
                <w:rFonts w:ascii="Arial" w:hAnsi="Arial" w:cs="Arial"/>
                <w:b/>
                <w:sz w:val="24"/>
                <w:szCs w:val="24"/>
              </w:rPr>
            </w:pPr>
            <w:r w:rsidRPr="000D756E">
              <w:rPr>
                <w:rFonts w:ascii="Arial" w:hAnsi="Arial" w:cs="Arial"/>
                <w:b/>
                <w:sz w:val="24"/>
                <w:szCs w:val="24"/>
              </w:rPr>
              <w:t>Fire</w:t>
            </w:r>
          </w:p>
          <w:p w14:paraId="2441274F" w14:textId="77777777" w:rsidR="00D266B2" w:rsidRPr="000D756E" w:rsidRDefault="00D266B2" w:rsidP="00A9206F">
            <w:pPr>
              <w:jc w:val="right"/>
              <w:rPr>
                <w:rFonts w:ascii="Arial"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8DCC2D" w14:textId="77777777" w:rsidR="00D266B2" w:rsidRPr="000D756E" w:rsidRDefault="00D266B2" w:rsidP="00A9206F">
            <w:pPr>
              <w:jc w:val="right"/>
              <w:rPr>
                <w:rFonts w:ascii="Arial" w:hAnsi="Arial" w:cs="Arial"/>
                <w:b/>
                <w:sz w:val="24"/>
                <w:szCs w:val="24"/>
              </w:rPr>
            </w:pPr>
          </w:p>
          <w:p w14:paraId="44DEC951" w14:textId="77777777" w:rsidR="00D266B2" w:rsidRPr="000D756E" w:rsidRDefault="00D266B2" w:rsidP="00A9206F">
            <w:pPr>
              <w:jc w:val="right"/>
              <w:rPr>
                <w:rFonts w:ascii="Arial" w:hAnsi="Arial" w:cs="Arial"/>
                <w:b/>
                <w:sz w:val="24"/>
                <w:szCs w:val="24"/>
              </w:rPr>
            </w:pPr>
            <w:r w:rsidRPr="000D756E">
              <w:rPr>
                <w:rFonts w:ascii="Arial" w:hAnsi="Arial" w:cs="Arial"/>
                <w:b/>
                <w:sz w:val="24"/>
                <w:szCs w:val="24"/>
              </w:rPr>
              <w:t>LGPS</w:t>
            </w:r>
          </w:p>
          <w:p w14:paraId="31DE02B7" w14:textId="77777777" w:rsidR="00D266B2" w:rsidRPr="000D756E" w:rsidRDefault="00D266B2" w:rsidP="00A9206F">
            <w:pPr>
              <w:jc w:val="right"/>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1AFB9A" w14:textId="77777777" w:rsidR="00D266B2" w:rsidRPr="000D756E" w:rsidRDefault="00D266B2" w:rsidP="00A9206F">
            <w:pPr>
              <w:jc w:val="right"/>
              <w:rPr>
                <w:rFonts w:ascii="Arial" w:hAnsi="Arial" w:cs="Arial"/>
                <w:b/>
                <w:sz w:val="24"/>
                <w:szCs w:val="24"/>
              </w:rPr>
            </w:pPr>
          </w:p>
          <w:p w14:paraId="7F33039B" w14:textId="77777777" w:rsidR="00D266B2" w:rsidRPr="000D756E" w:rsidRDefault="00D266B2" w:rsidP="00A9206F">
            <w:pPr>
              <w:jc w:val="right"/>
              <w:rPr>
                <w:rFonts w:ascii="Arial" w:hAnsi="Arial" w:cs="Arial"/>
                <w:b/>
                <w:sz w:val="24"/>
                <w:szCs w:val="24"/>
              </w:rPr>
            </w:pPr>
            <w:r w:rsidRPr="000D756E">
              <w:rPr>
                <w:rFonts w:ascii="Arial" w:hAnsi="Arial" w:cs="Arial"/>
                <w:b/>
                <w:sz w:val="24"/>
                <w:szCs w:val="24"/>
              </w:rPr>
              <w:t>Total</w:t>
            </w:r>
          </w:p>
          <w:p w14:paraId="631E4825" w14:textId="77777777" w:rsidR="00D266B2" w:rsidRPr="000D756E" w:rsidRDefault="00D266B2" w:rsidP="00A9206F">
            <w:pPr>
              <w:jc w:val="right"/>
              <w:rPr>
                <w:rFonts w:ascii="Arial" w:hAnsi="Arial" w:cs="Arial"/>
                <w:b/>
                <w:sz w:val="24"/>
                <w:szCs w:val="24"/>
              </w:rPr>
            </w:pPr>
          </w:p>
        </w:tc>
      </w:tr>
      <w:tr w:rsidR="001324E4" w:rsidRPr="000D756E" w14:paraId="1099DDD0" w14:textId="77777777" w:rsidTr="00267C64">
        <w:trPr>
          <w:trHeight w:val="429"/>
        </w:trPr>
        <w:tc>
          <w:tcPr>
            <w:tcW w:w="1271" w:type="dxa"/>
            <w:tcBorders>
              <w:top w:val="single" w:sz="4" w:space="0" w:color="auto"/>
              <w:left w:val="single" w:sz="4" w:space="0" w:color="auto"/>
              <w:bottom w:val="single" w:sz="4" w:space="0" w:color="auto"/>
              <w:right w:val="single" w:sz="4" w:space="0" w:color="auto"/>
            </w:tcBorders>
            <w:vAlign w:val="center"/>
          </w:tcPr>
          <w:p w14:paraId="12314F24" w14:textId="7FBC6152" w:rsidR="001324E4" w:rsidRPr="000D756E" w:rsidRDefault="001324E4" w:rsidP="001324E4">
            <w:pPr>
              <w:jc w:val="right"/>
              <w:rPr>
                <w:rFonts w:ascii="Arial" w:hAnsi="Arial" w:cs="Arial"/>
                <w:bCs/>
                <w:sz w:val="24"/>
                <w:szCs w:val="24"/>
              </w:rPr>
            </w:pPr>
            <w:r w:rsidRPr="000D756E">
              <w:rPr>
                <w:rFonts w:ascii="Arial" w:hAnsi="Arial" w:cs="Arial"/>
                <w:bCs/>
                <w:sz w:val="24"/>
                <w:szCs w:val="24"/>
              </w:rPr>
              <w:t>183,335</w:t>
            </w:r>
          </w:p>
        </w:tc>
        <w:tc>
          <w:tcPr>
            <w:tcW w:w="992" w:type="dxa"/>
            <w:tcBorders>
              <w:top w:val="single" w:sz="4" w:space="0" w:color="auto"/>
              <w:left w:val="single" w:sz="4" w:space="0" w:color="auto"/>
              <w:bottom w:val="single" w:sz="4" w:space="0" w:color="auto"/>
              <w:right w:val="single" w:sz="4" w:space="0" w:color="auto"/>
            </w:tcBorders>
            <w:vAlign w:val="center"/>
          </w:tcPr>
          <w:p w14:paraId="08B5D599" w14:textId="73447E6E" w:rsidR="001324E4" w:rsidRPr="000D756E" w:rsidRDefault="001324E4" w:rsidP="001324E4">
            <w:pPr>
              <w:jc w:val="right"/>
              <w:rPr>
                <w:rFonts w:ascii="Arial" w:hAnsi="Arial" w:cs="Arial"/>
                <w:bCs/>
                <w:sz w:val="24"/>
                <w:szCs w:val="24"/>
              </w:rPr>
            </w:pPr>
            <w:r w:rsidRPr="000D756E">
              <w:rPr>
                <w:rFonts w:ascii="Arial" w:hAnsi="Arial" w:cs="Arial"/>
                <w:bCs/>
                <w:sz w:val="24"/>
                <w:szCs w:val="24"/>
              </w:rPr>
              <w:t>1,826</w:t>
            </w:r>
          </w:p>
        </w:tc>
        <w:tc>
          <w:tcPr>
            <w:tcW w:w="1276" w:type="dxa"/>
            <w:tcBorders>
              <w:top w:val="single" w:sz="4" w:space="0" w:color="auto"/>
              <w:left w:val="single" w:sz="4" w:space="0" w:color="auto"/>
              <w:bottom w:val="single" w:sz="4" w:space="0" w:color="auto"/>
              <w:right w:val="single" w:sz="4" w:space="0" w:color="auto"/>
            </w:tcBorders>
            <w:vAlign w:val="center"/>
          </w:tcPr>
          <w:p w14:paraId="42D006EE" w14:textId="667A33F9" w:rsidR="001324E4" w:rsidRPr="000D756E" w:rsidRDefault="001324E4" w:rsidP="001324E4">
            <w:pPr>
              <w:jc w:val="right"/>
              <w:rPr>
                <w:rFonts w:ascii="Arial" w:hAnsi="Arial" w:cs="Arial"/>
                <w:bCs/>
                <w:sz w:val="24"/>
                <w:szCs w:val="24"/>
              </w:rPr>
            </w:pPr>
            <w:r w:rsidRPr="000D756E">
              <w:rPr>
                <w:rFonts w:ascii="Arial" w:hAnsi="Arial" w:cs="Arial"/>
                <w:bCs/>
                <w:sz w:val="24"/>
                <w:szCs w:val="24"/>
              </w:rPr>
              <w:t>185,161</w:t>
            </w:r>
          </w:p>
        </w:tc>
        <w:tc>
          <w:tcPr>
            <w:tcW w:w="2268" w:type="dxa"/>
            <w:tcBorders>
              <w:top w:val="single" w:sz="4" w:space="0" w:color="auto"/>
              <w:left w:val="single" w:sz="4" w:space="0" w:color="auto"/>
              <w:bottom w:val="single" w:sz="4" w:space="0" w:color="auto"/>
              <w:right w:val="single" w:sz="4" w:space="0" w:color="auto"/>
            </w:tcBorders>
            <w:vAlign w:val="center"/>
          </w:tcPr>
          <w:p w14:paraId="41A6A2B7" w14:textId="77777777" w:rsidR="001324E4" w:rsidRPr="000D756E" w:rsidRDefault="001324E4" w:rsidP="001324E4">
            <w:pPr>
              <w:rPr>
                <w:rFonts w:ascii="Arial" w:hAnsi="Arial" w:cs="Arial"/>
                <w:b/>
                <w:sz w:val="24"/>
                <w:szCs w:val="24"/>
              </w:rPr>
            </w:pPr>
            <w:r w:rsidRPr="000D756E">
              <w:rPr>
                <w:rFonts w:ascii="Arial" w:hAnsi="Arial" w:cs="Arial"/>
                <w:b/>
                <w:sz w:val="24"/>
                <w:szCs w:val="24"/>
              </w:rPr>
              <w:t>Balance at 1 April</w:t>
            </w:r>
          </w:p>
        </w:tc>
        <w:tc>
          <w:tcPr>
            <w:tcW w:w="1276" w:type="dxa"/>
            <w:tcBorders>
              <w:top w:val="single" w:sz="4" w:space="0" w:color="auto"/>
              <w:left w:val="single" w:sz="4" w:space="0" w:color="auto"/>
              <w:bottom w:val="single" w:sz="4" w:space="0" w:color="auto"/>
              <w:right w:val="single" w:sz="4" w:space="0" w:color="auto"/>
            </w:tcBorders>
            <w:vAlign w:val="center"/>
          </w:tcPr>
          <w:p w14:paraId="30BD208C" w14:textId="3AC58F39" w:rsidR="001324E4" w:rsidRPr="000D756E" w:rsidRDefault="001324E4" w:rsidP="001324E4">
            <w:pPr>
              <w:jc w:val="right"/>
              <w:rPr>
                <w:rFonts w:ascii="Arial" w:hAnsi="Arial" w:cs="Arial"/>
                <w:bCs/>
                <w:sz w:val="24"/>
                <w:szCs w:val="24"/>
              </w:rPr>
            </w:pPr>
            <w:r w:rsidRPr="000D756E">
              <w:rPr>
                <w:rFonts w:ascii="Arial" w:hAnsi="Arial" w:cs="Arial"/>
                <w:b/>
                <w:sz w:val="24"/>
                <w:szCs w:val="24"/>
              </w:rPr>
              <w:t>182,587</w:t>
            </w:r>
          </w:p>
        </w:tc>
        <w:tc>
          <w:tcPr>
            <w:tcW w:w="1276" w:type="dxa"/>
            <w:tcBorders>
              <w:top w:val="single" w:sz="4" w:space="0" w:color="auto"/>
              <w:left w:val="single" w:sz="4" w:space="0" w:color="auto"/>
              <w:bottom w:val="single" w:sz="4" w:space="0" w:color="auto"/>
              <w:right w:val="single" w:sz="4" w:space="0" w:color="auto"/>
            </w:tcBorders>
            <w:vAlign w:val="center"/>
          </w:tcPr>
          <w:p w14:paraId="62965B12" w14:textId="51359319" w:rsidR="001324E4" w:rsidRPr="000D756E" w:rsidRDefault="001324E4" w:rsidP="001324E4">
            <w:pPr>
              <w:jc w:val="right"/>
              <w:rPr>
                <w:rFonts w:ascii="Arial" w:hAnsi="Arial" w:cs="Arial"/>
                <w:bCs/>
                <w:sz w:val="24"/>
                <w:szCs w:val="24"/>
              </w:rPr>
            </w:pPr>
            <w:r w:rsidRPr="000D756E">
              <w:rPr>
                <w:rFonts w:ascii="Arial" w:hAnsi="Arial" w:cs="Arial"/>
                <w:b/>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3D30B4EE" w14:textId="6475D15F" w:rsidR="001324E4" w:rsidRPr="000D756E" w:rsidRDefault="001324E4" w:rsidP="001324E4">
            <w:pPr>
              <w:jc w:val="right"/>
              <w:rPr>
                <w:rFonts w:ascii="Arial" w:hAnsi="Arial" w:cs="Arial"/>
                <w:bCs/>
                <w:sz w:val="24"/>
                <w:szCs w:val="24"/>
              </w:rPr>
            </w:pPr>
            <w:r w:rsidRPr="000D756E">
              <w:rPr>
                <w:rFonts w:ascii="Arial" w:hAnsi="Arial" w:cs="Arial"/>
                <w:b/>
                <w:sz w:val="24"/>
                <w:szCs w:val="24"/>
              </w:rPr>
              <w:t>182,587</w:t>
            </w:r>
          </w:p>
        </w:tc>
      </w:tr>
      <w:tr w:rsidR="001324E4" w:rsidRPr="000D756E" w14:paraId="3AB89A4F" w14:textId="77777777" w:rsidTr="00F92345">
        <w:trPr>
          <w:trHeight w:val="420"/>
        </w:trPr>
        <w:tc>
          <w:tcPr>
            <w:tcW w:w="1271" w:type="dxa"/>
            <w:tcBorders>
              <w:top w:val="single" w:sz="4" w:space="0" w:color="auto"/>
              <w:left w:val="single" w:sz="4" w:space="0" w:color="auto"/>
              <w:bottom w:val="single" w:sz="4" w:space="0" w:color="auto"/>
              <w:right w:val="single" w:sz="4" w:space="0" w:color="auto"/>
            </w:tcBorders>
          </w:tcPr>
          <w:p w14:paraId="2A7C92E5" w14:textId="77777777" w:rsidR="001324E4" w:rsidRPr="000D756E" w:rsidRDefault="001324E4" w:rsidP="001324E4">
            <w:pPr>
              <w:jc w:val="right"/>
              <w:rPr>
                <w:rFonts w:ascii="Arial" w:hAnsi="Arial" w:cs="Arial"/>
                <w:sz w:val="24"/>
                <w:szCs w:val="24"/>
              </w:rPr>
            </w:pPr>
          </w:p>
          <w:p w14:paraId="081C169D" w14:textId="77777777" w:rsidR="001324E4" w:rsidRPr="000D756E" w:rsidRDefault="001324E4" w:rsidP="001324E4">
            <w:pPr>
              <w:rPr>
                <w:rFonts w:ascii="Arial" w:hAnsi="Arial" w:cs="Arial"/>
                <w:sz w:val="24"/>
                <w:szCs w:val="24"/>
              </w:rPr>
            </w:pPr>
          </w:p>
          <w:p w14:paraId="79DF35BF" w14:textId="389C3A16" w:rsidR="001324E4" w:rsidRPr="000D756E" w:rsidRDefault="001324E4" w:rsidP="001324E4">
            <w:pPr>
              <w:jc w:val="right"/>
              <w:rPr>
                <w:rFonts w:ascii="Arial" w:hAnsi="Arial" w:cs="Arial"/>
                <w:sz w:val="24"/>
                <w:szCs w:val="24"/>
              </w:rPr>
            </w:pPr>
            <w:r w:rsidRPr="000D756E">
              <w:rPr>
                <w:rFonts w:ascii="Arial" w:hAnsi="Arial" w:cs="Arial"/>
                <w:sz w:val="24"/>
                <w:szCs w:val="24"/>
              </w:rPr>
              <w:t>-5,494</w:t>
            </w:r>
          </w:p>
        </w:tc>
        <w:tc>
          <w:tcPr>
            <w:tcW w:w="992" w:type="dxa"/>
            <w:tcBorders>
              <w:top w:val="single" w:sz="4" w:space="0" w:color="auto"/>
              <w:left w:val="single" w:sz="4" w:space="0" w:color="auto"/>
              <w:bottom w:val="single" w:sz="4" w:space="0" w:color="auto"/>
              <w:right w:val="single" w:sz="4" w:space="0" w:color="auto"/>
            </w:tcBorders>
          </w:tcPr>
          <w:p w14:paraId="62B9526E" w14:textId="77777777" w:rsidR="001324E4" w:rsidRPr="000D756E" w:rsidRDefault="001324E4" w:rsidP="001324E4">
            <w:pPr>
              <w:jc w:val="right"/>
              <w:rPr>
                <w:rFonts w:ascii="Arial" w:hAnsi="Arial" w:cs="Arial"/>
                <w:sz w:val="24"/>
                <w:szCs w:val="24"/>
              </w:rPr>
            </w:pPr>
          </w:p>
          <w:p w14:paraId="7A9C426A" w14:textId="77777777" w:rsidR="001324E4" w:rsidRPr="000D756E" w:rsidRDefault="001324E4" w:rsidP="001324E4">
            <w:pPr>
              <w:rPr>
                <w:rFonts w:ascii="Arial" w:hAnsi="Arial" w:cs="Arial"/>
                <w:sz w:val="24"/>
                <w:szCs w:val="24"/>
              </w:rPr>
            </w:pPr>
          </w:p>
          <w:p w14:paraId="57ACD165" w14:textId="77777777" w:rsidR="001324E4" w:rsidRPr="000D756E" w:rsidRDefault="001324E4" w:rsidP="001324E4">
            <w:pPr>
              <w:jc w:val="right"/>
              <w:rPr>
                <w:rFonts w:ascii="Arial" w:hAnsi="Arial" w:cs="Arial"/>
                <w:sz w:val="24"/>
                <w:szCs w:val="24"/>
              </w:rPr>
            </w:pPr>
            <w:r w:rsidRPr="000D756E">
              <w:rPr>
                <w:rFonts w:ascii="Arial" w:hAnsi="Arial" w:cs="Arial"/>
                <w:sz w:val="24"/>
                <w:szCs w:val="24"/>
              </w:rPr>
              <w:t>-2,241</w:t>
            </w:r>
          </w:p>
          <w:p w14:paraId="1BE9F752" w14:textId="77777777" w:rsidR="001324E4" w:rsidRPr="000D756E" w:rsidRDefault="001324E4" w:rsidP="001324E4">
            <w:pPr>
              <w:jc w:val="right"/>
              <w:rPr>
                <w:rFonts w:ascii="Arial" w:hAnsi="Arial" w:cs="Arial"/>
                <w:sz w:val="24"/>
                <w:szCs w:val="24"/>
              </w:rPr>
            </w:pPr>
          </w:p>
          <w:p w14:paraId="031DE1A4" w14:textId="79C1C047" w:rsidR="001324E4" w:rsidRPr="000D756E" w:rsidRDefault="001324E4" w:rsidP="001324E4">
            <w:pPr>
              <w:jc w:val="right"/>
              <w:rPr>
                <w:rFonts w:ascii="Arial" w:hAnsi="Arial" w:cs="Arial"/>
                <w:sz w:val="24"/>
                <w:szCs w:val="24"/>
              </w:rPr>
            </w:pPr>
            <w:r w:rsidRPr="000D756E">
              <w:rPr>
                <w:rFonts w:ascii="Arial" w:hAnsi="Arial" w:cs="Arial"/>
                <w:sz w:val="24"/>
                <w:szCs w:val="24"/>
              </w:rPr>
              <w:t>330</w:t>
            </w:r>
          </w:p>
        </w:tc>
        <w:tc>
          <w:tcPr>
            <w:tcW w:w="1276" w:type="dxa"/>
            <w:tcBorders>
              <w:top w:val="single" w:sz="4" w:space="0" w:color="auto"/>
              <w:left w:val="single" w:sz="4" w:space="0" w:color="auto"/>
              <w:bottom w:val="single" w:sz="4" w:space="0" w:color="auto"/>
              <w:right w:val="single" w:sz="4" w:space="0" w:color="auto"/>
            </w:tcBorders>
          </w:tcPr>
          <w:p w14:paraId="5A22B0A4" w14:textId="77777777" w:rsidR="001324E4" w:rsidRPr="000D756E" w:rsidRDefault="001324E4" w:rsidP="001324E4">
            <w:pPr>
              <w:rPr>
                <w:rFonts w:ascii="Arial" w:hAnsi="Arial" w:cs="Arial"/>
                <w:sz w:val="24"/>
                <w:szCs w:val="24"/>
              </w:rPr>
            </w:pPr>
          </w:p>
          <w:p w14:paraId="7FDF5A7E" w14:textId="77777777" w:rsidR="001324E4" w:rsidRPr="000D756E" w:rsidRDefault="001324E4" w:rsidP="001324E4">
            <w:pPr>
              <w:jc w:val="right"/>
              <w:rPr>
                <w:rFonts w:ascii="Arial" w:hAnsi="Arial" w:cs="Arial"/>
                <w:sz w:val="24"/>
                <w:szCs w:val="24"/>
              </w:rPr>
            </w:pPr>
          </w:p>
          <w:p w14:paraId="369F8896" w14:textId="77777777" w:rsidR="001324E4" w:rsidRPr="000D756E" w:rsidRDefault="001324E4" w:rsidP="001324E4">
            <w:pPr>
              <w:jc w:val="right"/>
              <w:rPr>
                <w:rFonts w:ascii="Arial" w:hAnsi="Arial" w:cs="Arial"/>
                <w:sz w:val="24"/>
                <w:szCs w:val="24"/>
              </w:rPr>
            </w:pPr>
            <w:r w:rsidRPr="000D756E">
              <w:rPr>
                <w:rFonts w:ascii="Arial" w:hAnsi="Arial" w:cs="Arial"/>
                <w:sz w:val="24"/>
                <w:szCs w:val="24"/>
              </w:rPr>
              <w:t>-7,735</w:t>
            </w:r>
          </w:p>
          <w:p w14:paraId="2147C33A" w14:textId="77777777" w:rsidR="001324E4" w:rsidRPr="000D756E" w:rsidRDefault="001324E4" w:rsidP="001324E4">
            <w:pPr>
              <w:jc w:val="right"/>
              <w:rPr>
                <w:rFonts w:ascii="Arial" w:hAnsi="Arial" w:cs="Arial"/>
                <w:sz w:val="24"/>
                <w:szCs w:val="24"/>
              </w:rPr>
            </w:pPr>
          </w:p>
          <w:p w14:paraId="2C6610CB" w14:textId="59194EA7" w:rsidR="001324E4" w:rsidRPr="000D756E" w:rsidRDefault="001324E4" w:rsidP="001324E4">
            <w:pPr>
              <w:jc w:val="right"/>
              <w:rPr>
                <w:rFonts w:ascii="Arial" w:hAnsi="Arial" w:cs="Arial"/>
                <w:sz w:val="24"/>
                <w:szCs w:val="24"/>
              </w:rPr>
            </w:pPr>
            <w:r w:rsidRPr="000D756E">
              <w:rPr>
                <w:rFonts w:ascii="Arial" w:hAnsi="Arial" w:cs="Arial"/>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7FBD8BB2" w14:textId="77777777" w:rsidR="001324E4" w:rsidRPr="000D756E" w:rsidRDefault="001324E4" w:rsidP="001324E4">
            <w:pPr>
              <w:rPr>
                <w:rFonts w:ascii="Arial" w:hAnsi="Arial" w:cs="Arial"/>
                <w:sz w:val="24"/>
                <w:szCs w:val="24"/>
              </w:rPr>
            </w:pPr>
            <w:r w:rsidRPr="000D756E">
              <w:rPr>
                <w:rFonts w:ascii="Arial" w:hAnsi="Arial" w:cs="Arial"/>
                <w:sz w:val="24"/>
                <w:szCs w:val="24"/>
              </w:rPr>
              <w:t>Actuarial gains or losses on pensions assets and liabilities</w:t>
            </w:r>
          </w:p>
          <w:p w14:paraId="629F08C6" w14:textId="1516E3C9" w:rsidR="001324E4" w:rsidRPr="000D756E" w:rsidRDefault="001324E4" w:rsidP="001324E4">
            <w:pPr>
              <w:rPr>
                <w:rFonts w:ascii="Arial" w:hAnsi="Arial" w:cs="Arial"/>
                <w:sz w:val="24"/>
                <w:szCs w:val="24"/>
              </w:rPr>
            </w:pPr>
            <w:r w:rsidRPr="000D756E">
              <w:rPr>
                <w:rFonts w:ascii="Arial" w:hAnsi="Arial" w:cs="Arial"/>
                <w:sz w:val="24"/>
                <w:szCs w:val="24"/>
              </w:rPr>
              <w:t>Impact of asset ceiling</w:t>
            </w:r>
          </w:p>
        </w:tc>
        <w:tc>
          <w:tcPr>
            <w:tcW w:w="1276" w:type="dxa"/>
            <w:tcBorders>
              <w:top w:val="single" w:sz="4" w:space="0" w:color="auto"/>
              <w:left w:val="single" w:sz="4" w:space="0" w:color="auto"/>
              <w:bottom w:val="single" w:sz="4" w:space="0" w:color="auto"/>
              <w:right w:val="single" w:sz="4" w:space="0" w:color="auto"/>
            </w:tcBorders>
          </w:tcPr>
          <w:p w14:paraId="5E72C996" w14:textId="77777777" w:rsidR="001324E4" w:rsidRDefault="001324E4" w:rsidP="001324E4">
            <w:pPr>
              <w:jc w:val="right"/>
              <w:rPr>
                <w:rFonts w:ascii="Arial" w:hAnsi="Arial" w:cs="Arial"/>
                <w:sz w:val="24"/>
                <w:szCs w:val="24"/>
              </w:rPr>
            </w:pPr>
          </w:p>
          <w:p w14:paraId="158F6529" w14:textId="77777777" w:rsidR="00FE5F34" w:rsidRDefault="00FE5F34" w:rsidP="001324E4">
            <w:pPr>
              <w:jc w:val="right"/>
              <w:rPr>
                <w:rFonts w:ascii="Arial" w:hAnsi="Arial" w:cs="Arial"/>
                <w:sz w:val="24"/>
                <w:szCs w:val="24"/>
              </w:rPr>
            </w:pPr>
          </w:p>
          <w:p w14:paraId="12EEBC38" w14:textId="5BEA7B5F" w:rsidR="00FE5F34" w:rsidRDefault="00891392" w:rsidP="001324E4">
            <w:pPr>
              <w:jc w:val="right"/>
              <w:rPr>
                <w:rFonts w:ascii="Arial" w:hAnsi="Arial" w:cs="Arial"/>
                <w:sz w:val="24"/>
                <w:szCs w:val="24"/>
              </w:rPr>
            </w:pPr>
            <w:r>
              <w:rPr>
                <w:rFonts w:ascii="Arial" w:hAnsi="Arial" w:cs="Arial"/>
                <w:sz w:val="24"/>
                <w:szCs w:val="24"/>
              </w:rPr>
              <w:t>-26,762</w:t>
            </w:r>
          </w:p>
          <w:p w14:paraId="0A207A49" w14:textId="5BF27887" w:rsidR="00FE5F34" w:rsidRPr="000D756E" w:rsidRDefault="00FE5F34" w:rsidP="00FE5F34">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5AE5A3" w14:textId="77777777" w:rsidR="001324E4" w:rsidRDefault="001324E4" w:rsidP="001324E4">
            <w:pPr>
              <w:jc w:val="right"/>
              <w:rPr>
                <w:rFonts w:ascii="Arial" w:hAnsi="Arial" w:cs="Arial"/>
                <w:sz w:val="24"/>
                <w:szCs w:val="24"/>
              </w:rPr>
            </w:pPr>
          </w:p>
          <w:p w14:paraId="7D96BEB4" w14:textId="77777777" w:rsidR="00891392" w:rsidRDefault="00891392" w:rsidP="001324E4">
            <w:pPr>
              <w:jc w:val="right"/>
              <w:rPr>
                <w:rFonts w:ascii="Arial" w:hAnsi="Arial" w:cs="Arial"/>
                <w:sz w:val="24"/>
                <w:szCs w:val="24"/>
              </w:rPr>
            </w:pPr>
          </w:p>
          <w:p w14:paraId="3B935284" w14:textId="77777777" w:rsidR="00891392" w:rsidRDefault="00A36202" w:rsidP="001324E4">
            <w:pPr>
              <w:jc w:val="right"/>
              <w:rPr>
                <w:rFonts w:ascii="Arial" w:hAnsi="Arial" w:cs="Arial"/>
                <w:sz w:val="24"/>
                <w:szCs w:val="24"/>
              </w:rPr>
            </w:pPr>
            <w:r>
              <w:rPr>
                <w:rFonts w:ascii="Arial" w:hAnsi="Arial" w:cs="Arial"/>
                <w:sz w:val="24"/>
                <w:szCs w:val="24"/>
              </w:rPr>
              <w:t>-3,467</w:t>
            </w:r>
          </w:p>
          <w:p w14:paraId="07E747FD" w14:textId="77777777" w:rsidR="002939BB" w:rsidRDefault="002939BB" w:rsidP="001324E4">
            <w:pPr>
              <w:jc w:val="right"/>
              <w:rPr>
                <w:rFonts w:ascii="Arial" w:hAnsi="Arial" w:cs="Arial"/>
                <w:sz w:val="24"/>
                <w:szCs w:val="24"/>
              </w:rPr>
            </w:pPr>
          </w:p>
          <w:p w14:paraId="1AFFFAA5" w14:textId="7823F757" w:rsidR="002939BB" w:rsidRPr="000D756E" w:rsidRDefault="002939BB" w:rsidP="001324E4">
            <w:pPr>
              <w:jc w:val="right"/>
              <w:rPr>
                <w:rFonts w:ascii="Arial" w:hAnsi="Arial" w:cs="Arial"/>
                <w:sz w:val="24"/>
                <w:szCs w:val="24"/>
              </w:rPr>
            </w:pPr>
            <w:r>
              <w:rPr>
                <w:rFonts w:ascii="Arial" w:hAnsi="Arial" w:cs="Arial"/>
                <w:sz w:val="24"/>
                <w:szCs w:val="24"/>
              </w:rPr>
              <w:t>3,519</w:t>
            </w:r>
          </w:p>
        </w:tc>
        <w:tc>
          <w:tcPr>
            <w:tcW w:w="1134" w:type="dxa"/>
            <w:tcBorders>
              <w:top w:val="single" w:sz="4" w:space="0" w:color="auto"/>
              <w:left w:val="single" w:sz="4" w:space="0" w:color="auto"/>
              <w:bottom w:val="single" w:sz="4" w:space="0" w:color="auto"/>
              <w:right w:val="single" w:sz="4" w:space="0" w:color="auto"/>
            </w:tcBorders>
          </w:tcPr>
          <w:p w14:paraId="06156B35" w14:textId="77777777" w:rsidR="001324E4" w:rsidRDefault="001324E4" w:rsidP="001324E4">
            <w:pPr>
              <w:jc w:val="right"/>
              <w:rPr>
                <w:rFonts w:ascii="Arial" w:hAnsi="Arial" w:cs="Arial"/>
                <w:sz w:val="24"/>
                <w:szCs w:val="24"/>
              </w:rPr>
            </w:pPr>
          </w:p>
          <w:p w14:paraId="6EF2C18A" w14:textId="77777777" w:rsidR="00A36202" w:rsidRDefault="00A36202" w:rsidP="001324E4">
            <w:pPr>
              <w:jc w:val="right"/>
              <w:rPr>
                <w:rFonts w:ascii="Arial" w:hAnsi="Arial" w:cs="Arial"/>
                <w:sz w:val="24"/>
                <w:szCs w:val="24"/>
              </w:rPr>
            </w:pPr>
          </w:p>
          <w:p w14:paraId="6AA56926" w14:textId="77777777" w:rsidR="00A36202" w:rsidRDefault="00A36202" w:rsidP="001324E4">
            <w:pPr>
              <w:jc w:val="right"/>
              <w:rPr>
                <w:rFonts w:ascii="Arial" w:hAnsi="Arial" w:cs="Arial"/>
                <w:sz w:val="24"/>
                <w:szCs w:val="24"/>
              </w:rPr>
            </w:pPr>
            <w:r>
              <w:rPr>
                <w:rFonts w:ascii="Arial" w:hAnsi="Arial" w:cs="Arial"/>
                <w:sz w:val="24"/>
                <w:szCs w:val="24"/>
              </w:rPr>
              <w:t>-30,229</w:t>
            </w:r>
          </w:p>
          <w:p w14:paraId="674F48EA" w14:textId="77777777" w:rsidR="002939BB" w:rsidRDefault="002939BB" w:rsidP="001324E4">
            <w:pPr>
              <w:jc w:val="right"/>
              <w:rPr>
                <w:rFonts w:ascii="Arial" w:hAnsi="Arial" w:cs="Arial"/>
                <w:sz w:val="24"/>
                <w:szCs w:val="24"/>
              </w:rPr>
            </w:pPr>
          </w:p>
          <w:p w14:paraId="693F414A" w14:textId="2D9374C7" w:rsidR="002939BB" w:rsidRPr="000D756E" w:rsidRDefault="002939BB" w:rsidP="001324E4">
            <w:pPr>
              <w:jc w:val="right"/>
              <w:rPr>
                <w:rFonts w:ascii="Arial" w:hAnsi="Arial" w:cs="Arial"/>
                <w:sz w:val="24"/>
                <w:szCs w:val="24"/>
              </w:rPr>
            </w:pPr>
            <w:r>
              <w:rPr>
                <w:rFonts w:ascii="Arial" w:hAnsi="Arial" w:cs="Arial"/>
                <w:sz w:val="24"/>
                <w:szCs w:val="24"/>
              </w:rPr>
              <w:t>3,519</w:t>
            </w:r>
          </w:p>
        </w:tc>
      </w:tr>
      <w:tr w:rsidR="001324E4" w:rsidRPr="000D756E" w14:paraId="3CF7CBCF" w14:textId="77777777" w:rsidTr="00267C64">
        <w:trPr>
          <w:trHeight w:val="428"/>
        </w:trPr>
        <w:tc>
          <w:tcPr>
            <w:tcW w:w="1271" w:type="dxa"/>
            <w:tcBorders>
              <w:top w:val="single" w:sz="4" w:space="0" w:color="auto"/>
              <w:left w:val="single" w:sz="4" w:space="0" w:color="auto"/>
              <w:bottom w:val="single" w:sz="4" w:space="0" w:color="auto"/>
              <w:right w:val="single" w:sz="4" w:space="0" w:color="auto"/>
            </w:tcBorders>
            <w:vAlign w:val="center"/>
          </w:tcPr>
          <w:p w14:paraId="5704AE27" w14:textId="6D3223EA" w:rsidR="001324E4" w:rsidRPr="000D756E" w:rsidRDefault="001324E4" w:rsidP="001324E4">
            <w:pPr>
              <w:jc w:val="right"/>
              <w:rPr>
                <w:rFonts w:ascii="Arial" w:hAnsi="Arial" w:cs="Arial"/>
                <w:sz w:val="24"/>
                <w:szCs w:val="24"/>
              </w:rPr>
            </w:pPr>
            <w:r w:rsidRPr="000D756E">
              <w:rPr>
                <w:rFonts w:ascii="Arial" w:hAnsi="Arial" w:cs="Arial"/>
                <w:sz w:val="24"/>
                <w:szCs w:val="24"/>
              </w:rPr>
              <w:t>11,136</w:t>
            </w:r>
          </w:p>
        </w:tc>
        <w:tc>
          <w:tcPr>
            <w:tcW w:w="992" w:type="dxa"/>
            <w:tcBorders>
              <w:top w:val="single" w:sz="4" w:space="0" w:color="auto"/>
              <w:left w:val="single" w:sz="4" w:space="0" w:color="auto"/>
              <w:bottom w:val="single" w:sz="4" w:space="0" w:color="auto"/>
              <w:right w:val="single" w:sz="4" w:space="0" w:color="auto"/>
            </w:tcBorders>
            <w:vAlign w:val="center"/>
          </w:tcPr>
          <w:p w14:paraId="6999E5C2" w14:textId="7699C729" w:rsidR="001324E4" w:rsidRPr="000D756E" w:rsidRDefault="001324E4" w:rsidP="001324E4">
            <w:pPr>
              <w:jc w:val="right"/>
              <w:rPr>
                <w:rFonts w:ascii="Arial" w:hAnsi="Arial" w:cs="Arial"/>
                <w:sz w:val="24"/>
                <w:szCs w:val="24"/>
              </w:rPr>
            </w:pPr>
            <w:r w:rsidRPr="000D756E">
              <w:rPr>
                <w:rFonts w:ascii="Arial" w:hAnsi="Arial" w:cs="Arial"/>
                <w:sz w:val="24"/>
                <w:szCs w:val="24"/>
              </w:rPr>
              <w:t>685</w:t>
            </w:r>
          </w:p>
        </w:tc>
        <w:tc>
          <w:tcPr>
            <w:tcW w:w="1276" w:type="dxa"/>
            <w:tcBorders>
              <w:top w:val="single" w:sz="4" w:space="0" w:color="auto"/>
              <w:left w:val="single" w:sz="4" w:space="0" w:color="auto"/>
              <w:bottom w:val="single" w:sz="4" w:space="0" w:color="auto"/>
              <w:right w:val="single" w:sz="4" w:space="0" w:color="auto"/>
            </w:tcBorders>
            <w:vAlign w:val="center"/>
          </w:tcPr>
          <w:p w14:paraId="50102A47" w14:textId="67596A58" w:rsidR="001324E4" w:rsidRPr="000D756E" w:rsidRDefault="001324E4" w:rsidP="001324E4">
            <w:pPr>
              <w:jc w:val="right"/>
              <w:rPr>
                <w:rFonts w:ascii="Arial" w:hAnsi="Arial" w:cs="Arial"/>
                <w:sz w:val="24"/>
                <w:szCs w:val="24"/>
              </w:rPr>
            </w:pPr>
            <w:r w:rsidRPr="000D756E">
              <w:rPr>
                <w:rFonts w:ascii="Arial" w:hAnsi="Arial" w:cs="Arial"/>
                <w:sz w:val="24"/>
                <w:szCs w:val="24"/>
              </w:rPr>
              <w:t>11,821</w:t>
            </w:r>
          </w:p>
        </w:tc>
        <w:tc>
          <w:tcPr>
            <w:tcW w:w="2268" w:type="dxa"/>
            <w:tcBorders>
              <w:top w:val="single" w:sz="4" w:space="0" w:color="auto"/>
              <w:left w:val="single" w:sz="4" w:space="0" w:color="auto"/>
              <w:bottom w:val="single" w:sz="4" w:space="0" w:color="auto"/>
              <w:right w:val="single" w:sz="4" w:space="0" w:color="auto"/>
            </w:tcBorders>
            <w:vAlign w:val="center"/>
          </w:tcPr>
          <w:p w14:paraId="1732C7BA" w14:textId="77777777" w:rsidR="001324E4" w:rsidRPr="000D756E" w:rsidRDefault="001324E4" w:rsidP="001324E4">
            <w:pPr>
              <w:rPr>
                <w:rFonts w:ascii="Arial" w:hAnsi="Arial" w:cs="Arial"/>
                <w:sz w:val="24"/>
                <w:szCs w:val="24"/>
              </w:rPr>
            </w:pPr>
            <w:r w:rsidRPr="000D756E">
              <w:rPr>
                <w:rFonts w:ascii="Arial" w:hAnsi="Arial" w:cs="Arial"/>
                <w:sz w:val="24"/>
                <w:szCs w:val="24"/>
              </w:rPr>
              <w:t>Reversal of items relating to retirement benefits debited or credited to the Surplus or Deficit on the Provision of Services in the Comprehensive Income and Expenditure Statement</w:t>
            </w:r>
          </w:p>
        </w:tc>
        <w:tc>
          <w:tcPr>
            <w:tcW w:w="1276" w:type="dxa"/>
            <w:tcBorders>
              <w:top w:val="single" w:sz="4" w:space="0" w:color="auto"/>
              <w:left w:val="single" w:sz="4" w:space="0" w:color="auto"/>
              <w:bottom w:val="single" w:sz="4" w:space="0" w:color="auto"/>
              <w:right w:val="single" w:sz="4" w:space="0" w:color="auto"/>
            </w:tcBorders>
            <w:vAlign w:val="center"/>
          </w:tcPr>
          <w:p w14:paraId="1224ED8F" w14:textId="22565C9B" w:rsidR="001324E4" w:rsidRPr="000D756E" w:rsidRDefault="00A36202" w:rsidP="001324E4">
            <w:pPr>
              <w:jc w:val="right"/>
              <w:rPr>
                <w:rFonts w:ascii="Arial" w:hAnsi="Arial" w:cs="Arial"/>
                <w:sz w:val="24"/>
                <w:szCs w:val="24"/>
              </w:rPr>
            </w:pPr>
            <w:r>
              <w:rPr>
                <w:rFonts w:ascii="Arial" w:hAnsi="Arial" w:cs="Arial"/>
                <w:sz w:val="24"/>
                <w:szCs w:val="24"/>
              </w:rPr>
              <w:t>11,988</w:t>
            </w:r>
          </w:p>
        </w:tc>
        <w:tc>
          <w:tcPr>
            <w:tcW w:w="1276" w:type="dxa"/>
            <w:tcBorders>
              <w:top w:val="single" w:sz="4" w:space="0" w:color="auto"/>
              <w:left w:val="single" w:sz="4" w:space="0" w:color="auto"/>
              <w:bottom w:val="single" w:sz="4" w:space="0" w:color="auto"/>
              <w:right w:val="single" w:sz="4" w:space="0" w:color="auto"/>
            </w:tcBorders>
            <w:vAlign w:val="center"/>
          </w:tcPr>
          <w:p w14:paraId="2DBA4943" w14:textId="4AEAC876" w:rsidR="001324E4" w:rsidRPr="000D756E" w:rsidRDefault="00E23FFC" w:rsidP="001324E4">
            <w:pPr>
              <w:jc w:val="right"/>
              <w:rPr>
                <w:rFonts w:ascii="Arial" w:hAnsi="Arial" w:cs="Arial"/>
                <w:sz w:val="24"/>
                <w:szCs w:val="24"/>
              </w:rPr>
            </w:pPr>
            <w:r>
              <w:rPr>
                <w:rFonts w:ascii="Arial" w:hAnsi="Arial" w:cs="Arial"/>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14:paraId="5E995FA9" w14:textId="138F551D" w:rsidR="001324E4" w:rsidRPr="000D756E" w:rsidRDefault="00E23FFC" w:rsidP="001324E4">
            <w:pPr>
              <w:jc w:val="right"/>
              <w:rPr>
                <w:rFonts w:ascii="Arial" w:hAnsi="Arial" w:cs="Arial"/>
                <w:sz w:val="24"/>
                <w:szCs w:val="24"/>
              </w:rPr>
            </w:pPr>
            <w:r>
              <w:rPr>
                <w:rFonts w:ascii="Arial" w:hAnsi="Arial" w:cs="Arial"/>
                <w:sz w:val="24"/>
                <w:szCs w:val="24"/>
              </w:rPr>
              <w:t>12,577</w:t>
            </w:r>
          </w:p>
        </w:tc>
      </w:tr>
      <w:tr w:rsidR="001324E4" w:rsidRPr="000D756E" w14:paraId="50E98FC2" w14:textId="77777777" w:rsidTr="00267C64">
        <w:trPr>
          <w:trHeight w:val="703"/>
        </w:trPr>
        <w:tc>
          <w:tcPr>
            <w:tcW w:w="1271" w:type="dxa"/>
            <w:tcBorders>
              <w:top w:val="single" w:sz="4" w:space="0" w:color="auto"/>
              <w:left w:val="single" w:sz="4" w:space="0" w:color="auto"/>
              <w:bottom w:val="single" w:sz="4" w:space="0" w:color="auto"/>
              <w:right w:val="single" w:sz="4" w:space="0" w:color="auto"/>
            </w:tcBorders>
            <w:vAlign w:val="center"/>
          </w:tcPr>
          <w:p w14:paraId="09528FE1" w14:textId="1089E912" w:rsidR="001324E4" w:rsidRPr="000D756E" w:rsidRDefault="001324E4" w:rsidP="001324E4">
            <w:pPr>
              <w:jc w:val="right"/>
              <w:rPr>
                <w:rFonts w:ascii="Arial" w:hAnsi="Arial" w:cs="Arial"/>
                <w:sz w:val="24"/>
                <w:szCs w:val="24"/>
              </w:rPr>
            </w:pPr>
            <w:r w:rsidRPr="000D756E">
              <w:rPr>
                <w:rFonts w:ascii="Arial" w:hAnsi="Arial" w:cs="Arial"/>
                <w:sz w:val="24"/>
                <w:szCs w:val="24"/>
              </w:rPr>
              <w:t>-6,390</w:t>
            </w:r>
          </w:p>
        </w:tc>
        <w:tc>
          <w:tcPr>
            <w:tcW w:w="992" w:type="dxa"/>
            <w:tcBorders>
              <w:top w:val="single" w:sz="4" w:space="0" w:color="auto"/>
              <w:left w:val="single" w:sz="4" w:space="0" w:color="auto"/>
              <w:bottom w:val="single" w:sz="4" w:space="0" w:color="auto"/>
              <w:right w:val="single" w:sz="4" w:space="0" w:color="auto"/>
            </w:tcBorders>
            <w:vAlign w:val="center"/>
          </w:tcPr>
          <w:p w14:paraId="3F666FBF" w14:textId="5F219296" w:rsidR="001324E4" w:rsidRPr="000D756E" w:rsidRDefault="001324E4" w:rsidP="001324E4">
            <w:pPr>
              <w:jc w:val="right"/>
              <w:rPr>
                <w:rFonts w:ascii="Arial" w:hAnsi="Arial" w:cs="Arial"/>
                <w:sz w:val="24"/>
                <w:szCs w:val="24"/>
              </w:rPr>
            </w:pPr>
            <w:r w:rsidRPr="000D756E">
              <w:rPr>
                <w:rFonts w:ascii="Arial" w:hAnsi="Arial" w:cs="Arial"/>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57D9D764" w14:textId="20109796" w:rsidR="001324E4" w:rsidRPr="000D756E" w:rsidRDefault="001324E4" w:rsidP="001324E4">
            <w:pPr>
              <w:jc w:val="right"/>
              <w:rPr>
                <w:rFonts w:ascii="Arial" w:hAnsi="Arial" w:cs="Arial"/>
                <w:sz w:val="24"/>
                <w:szCs w:val="24"/>
              </w:rPr>
            </w:pPr>
            <w:r w:rsidRPr="000D756E">
              <w:rPr>
                <w:rFonts w:ascii="Arial" w:hAnsi="Arial" w:cs="Arial"/>
                <w:sz w:val="24"/>
                <w:szCs w:val="24"/>
              </w:rPr>
              <w:t>-6,990</w:t>
            </w:r>
          </w:p>
        </w:tc>
        <w:tc>
          <w:tcPr>
            <w:tcW w:w="2268" w:type="dxa"/>
            <w:tcBorders>
              <w:top w:val="single" w:sz="4" w:space="0" w:color="auto"/>
              <w:left w:val="single" w:sz="4" w:space="0" w:color="auto"/>
              <w:bottom w:val="single" w:sz="4" w:space="0" w:color="auto"/>
              <w:right w:val="single" w:sz="4" w:space="0" w:color="auto"/>
            </w:tcBorders>
            <w:vAlign w:val="center"/>
          </w:tcPr>
          <w:p w14:paraId="5B28EB79" w14:textId="77777777" w:rsidR="001324E4" w:rsidRPr="000D756E" w:rsidRDefault="001324E4" w:rsidP="001324E4">
            <w:pPr>
              <w:rPr>
                <w:rFonts w:ascii="Arial" w:hAnsi="Arial" w:cs="Arial"/>
                <w:sz w:val="24"/>
                <w:szCs w:val="24"/>
              </w:rPr>
            </w:pPr>
            <w:r w:rsidRPr="000D756E">
              <w:rPr>
                <w:rFonts w:ascii="Arial" w:hAnsi="Arial" w:cs="Arial"/>
                <w:sz w:val="24"/>
                <w:szCs w:val="24"/>
              </w:rPr>
              <w:t>Employer’s pension contributions and direct payments to pensioners payable in the year</w:t>
            </w:r>
          </w:p>
        </w:tc>
        <w:tc>
          <w:tcPr>
            <w:tcW w:w="1276" w:type="dxa"/>
            <w:tcBorders>
              <w:top w:val="single" w:sz="4" w:space="0" w:color="auto"/>
              <w:left w:val="single" w:sz="4" w:space="0" w:color="auto"/>
              <w:bottom w:val="single" w:sz="4" w:space="0" w:color="auto"/>
              <w:right w:val="single" w:sz="4" w:space="0" w:color="auto"/>
            </w:tcBorders>
            <w:vAlign w:val="center"/>
          </w:tcPr>
          <w:p w14:paraId="4BDE5A1F" w14:textId="1A910E81" w:rsidR="001324E4" w:rsidRPr="000D756E" w:rsidRDefault="00E23FFC" w:rsidP="001324E4">
            <w:pPr>
              <w:jc w:val="right"/>
              <w:rPr>
                <w:rFonts w:ascii="Arial" w:hAnsi="Arial" w:cs="Arial"/>
                <w:sz w:val="24"/>
                <w:szCs w:val="24"/>
              </w:rPr>
            </w:pPr>
            <w:r>
              <w:rPr>
                <w:rFonts w:ascii="Arial" w:hAnsi="Arial" w:cs="Arial"/>
                <w:sz w:val="24"/>
                <w:szCs w:val="24"/>
              </w:rPr>
              <w:t>-6,708</w:t>
            </w:r>
          </w:p>
        </w:tc>
        <w:tc>
          <w:tcPr>
            <w:tcW w:w="1276" w:type="dxa"/>
            <w:tcBorders>
              <w:top w:val="single" w:sz="4" w:space="0" w:color="auto"/>
              <w:left w:val="single" w:sz="4" w:space="0" w:color="auto"/>
              <w:bottom w:val="single" w:sz="4" w:space="0" w:color="auto"/>
              <w:right w:val="single" w:sz="4" w:space="0" w:color="auto"/>
            </w:tcBorders>
            <w:vAlign w:val="center"/>
          </w:tcPr>
          <w:p w14:paraId="2C3436F2" w14:textId="20D1D1DD" w:rsidR="001324E4" w:rsidRPr="000D756E" w:rsidRDefault="00E23FFC" w:rsidP="001324E4">
            <w:pPr>
              <w:jc w:val="right"/>
              <w:rPr>
                <w:rFonts w:ascii="Arial" w:hAnsi="Arial" w:cs="Arial"/>
                <w:sz w:val="24"/>
                <w:szCs w:val="24"/>
              </w:rPr>
            </w:pPr>
            <w:r>
              <w:rPr>
                <w:rFonts w:ascii="Arial" w:hAnsi="Arial" w:cs="Arial"/>
                <w:sz w:val="24"/>
                <w:szCs w:val="24"/>
              </w:rPr>
              <w:t>-641</w:t>
            </w:r>
          </w:p>
        </w:tc>
        <w:tc>
          <w:tcPr>
            <w:tcW w:w="1134" w:type="dxa"/>
            <w:tcBorders>
              <w:top w:val="single" w:sz="4" w:space="0" w:color="auto"/>
              <w:left w:val="single" w:sz="4" w:space="0" w:color="auto"/>
              <w:bottom w:val="single" w:sz="4" w:space="0" w:color="auto"/>
              <w:right w:val="single" w:sz="4" w:space="0" w:color="auto"/>
            </w:tcBorders>
            <w:vAlign w:val="center"/>
          </w:tcPr>
          <w:p w14:paraId="6A2CBA07" w14:textId="3E0669FD" w:rsidR="001324E4" w:rsidRPr="000D756E" w:rsidRDefault="00FC2D27" w:rsidP="001324E4">
            <w:pPr>
              <w:jc w:val="right"/>
              <w:rPr>
                <w:rFonts w:ascii="Arial" w:hAnsi="Arial" w:cs="Arial"/>
                <w:sz w:val="24"/>
                <w:szCs w:val="24"/>
              </w:rPr>
            </w:pPr>
            <w:r>
              <w:rPr>
                <w:rFonts w:ascii="Arial" w:hAnsi="Arial" w:cs="Arial"/>
                <w:sz w:val="24"/>
                <w:szCs w:val="24"/>
              </w:rPr>
              <w:t>-7,349</w:t>
            </w:r>
          </w:p>
        </w:tc>
      </w:tr>
      <w:tr w:rsidR="001324E4" w:rsidRPr="000D756E" w14:paraId="37BC3AFB" w14:textId="77777777" w:rsidTr="00267C64">
        <w:trPr>
          <w:trHeight w:val="687"/>
        </w:trPr>
        <w:tc>
          <w:tcPr>
            <w:tcW w:w="1271" w:type="dxa"/>
            <w:tcBorders>
              <w:top w:val="single" w:sz="4" w:space="0" w:color="auto"/>
              <w:left w:val="single" w:sz="4" w:space="0" w:color="auto"/>
              <w:bottom w:val="single" w:sz="4" w:space="0" w:color="auto"/>
              <w:right w:val="single" w:sz="4" w:space="0" w:color="auto"/>
            </w:tcBorders>
            <w:vAlign w:val="center"/>
          </w:tcPr>
          <w:p w14:paraId="2B3CF0ED" w14:textId="44BBA8AE" w:rsidR="001324E4" w:rsidRPr="000D756E" w:rsidRDefault="001324E4" w:rsidP="001324E4">
            <w:pPr>
              <w:jc w:val="right"/>
              <w:rPr>
                <w:rFonts w:ascii="Arial" w:hAnsi="Arial" w:cs="Arial"/>
                <w:b/>
                <w:sz w:val="24"/>
                <w:szCs w:val="24"/>
              </w:rPr>
            </w:pPr>
            <w:r w:rsidRPr="000D756E">
              <w:rPr>
                <w:rFonts w:ascii="Arial" w:hAnsi="Arial" w:cs="Arial"/>
                <w:b/>
                <w:sz w:val="24"/>
                <w:szCs w:val="24"/>
              </w:rPr>
              <w:t>182,587</w:t>
            </w:r>
          </w:p>
        </w:tc>
        <w:tc>
          <w:tcPr>
            <w:tcW w:w="992" w:type="dxa"/>
            <w:tcBorders>
              <w:top w:val="single" w:sz="4" w:space="0" w:color="auto"/>
              <w:left w:val="single" w:sz="4" w:space="0" w:color="auto"/>
              <w:bottom w:val="single" w:sz="4" w:space="0" w:color="auto"/>
              <w:right w:val="single" w:sz="4" w:space="0" w:color="auto"/>
            </w:tcBorders>
            <w:vAlign w:val="center"/>
          </w:tcPr>
          <w:p w14:paraId="5BF379B4" w14:textId="1A2740BE" w:rsidR="001324E4" w:rsidRPr="000D756E" w:rsidRDefault="001324E4" w:rsidP="001324E4">
            <w:pPr>
              <w:jc w:val="right"/>
              <w:rPr>
                <w:rFonts w:ascii="Arial" w:hAnsi="Arial" w:cs="Arial"/>
                <w:b/>
                <w:sz w:val="24"/>
                <w:szCs w:val="24"/>
              </w:rPr>
            </w:pPr>
            <w:r w:rsidRPr="000D756E">
              <w:rPr>
                <w:rFonts w:ascii="Arial" w:hAnsi="Arial" w:cs="Arial"/>
                <w:b/>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2690E4C7" w14:textId="596633E5" w:rsidR="001324E4" w:rsidRPr="000D756E" w:rsidRDefault="001324E4" w:rsidP="001324E4">
            <w:pPr>
              <w:jc w:val="right"/>
              <w:rPr>
                <w:rFonts w:ascii="Arial" w:hAnsi="Arial" w:cs="Arial"/>
                <w:b/>
                <w:sz w:val="24"/>
                <w:szCs w:val="24"/>
              </w:rPr>
            </w:pPr>
            <w:r w:rsidRPr="000D756E">
              <w:rPr>
                <w:rFonts w:ascii="Arial" w:hAnsi="Arial" w:cs="Arial"/>
                <w:b/>
                <w:sz w:val="24"/>
                <w:szCs w:val="24"/>
              </w:rPr>
              <w:t>182,587</w:t>
            </w:r>
          </w:p>
        </w:tc>
        <w:tc>
          <w:tcPr>
            <w:tcW w:w="2268" w:type="dxa"/>
            <w:tcBorders>
              <w:top w:val="single" w:sz="4" w:space="0" w:color="auto"/>
              <w:left w:val="single" w:sz="4" w:space="0" w:color="auto"/>
              <w:bottom w:val="single" w:sz="4" w:space="0" w:color="auto"/>
              <w:right w:val="single" w:sz="4" w:space="0" w:color="auto"/>
            </w:tcBorders>
            <w:vAlign w:val="center"/>
          </w:tcPr>
          <w:p w14:paraId="1FA57FD6" w14:textId="77777777" w:rsidR="001324E4" w:rsidRPr="000D756E" w:rsidRDefault="001324E4" w:rsidP="001324E4">
            <w:pPr>
              <w:rPr>
                <w:rFonts w:ascii="Arial" w:hAnsi="Arial" w:cs="Arial"/>
                <w:b/>
                <w:sz w:val="24"/>
                <w:szCs w:val="24"/>
              </w:rPr>
            </w:pPr>
            <w:r w:rsidRPr="000D756E">
              <w:rPr>
                <w:rFonts w:ascii="Arial" w:hAnsi="Arial" w:cs="Arial"/>
                <w:b/>
                <w:sz w:val="24"/>
                <w:szCs w:val="24"/>
              </w:rPr>
              <w:t>Balance at 31 March</w:t>
            </w:r>
          </w:p>
        </w:tc>
        <w:tc>
          <w:tcPr>
            <w:tcW w:w="1276" w:type="dxa"/>
            <w:tcBorders>
              <w:top w:val="single" w:sz="4" w:space="0" w:color="auto"/>
              <w:left w:val="single" w:sz="4" w:space="0" w:color="auto"/>
              <w:bottom w:val="single" w:sz="4" w:space="0" w:color="auto"/>
              <w:right w:val="single" w:sz="4" w:space="0" w:color="auto"/>
            </w:tcBorders>
            <w:vAlign w:val="center"/>
          </w:tcPr>
          <w:p w14:paraId="2B25EA8B" w14:textId="55BE9014" w:rsidR="001324E4" w:rsidRPr="000D756E" w:rsidRDefault="002939BB" w:rsidP="001324E4">
            <w:pPr>
              <w:jc w:val="right"/>
              <w:rPr>
                <w:rFonts w:ascii="Arial" w:hAnsi="Arial" w:cs="Arial"/>
                <w:b/>
                <w:sz w:val="24"/>
                <w:szCs w:val="24"/>
              </w:rPr>
            </w:pPr>
            <w:r>
              <w:rPr>
                <w:rFonts w:ascii="Arial" w:hAnsi="Arial" w:cs="Arial"/>
                <w:b/>
                <w:sz w:val="24"/>
                <w:szCs w:val="24"/>
              </w:rPr>
              <w:t>161,105</w:t>
            </w:r>
          </w:p>
        </w:tc>
        <w:tc>
          <w:tcPr>
            <w:tcW w:w="1276" w:type="dxa"/>
            <w:tcBorders>
              <w:top w:val="single" w:sz="4" w:space="0" w:color="auto"/>
              <w:left w:val="single" w:sz="4" w:space="0" w:color="auto"/>
              <w:bottom w:val="single" w:sz="4" w:space="0" w:color="auto"/>
              <w:right w:val="single" w:sz="4" w:space="0" w:color="auto"/>
            </w:tcBorders>
            <w:vAlign w:val="center"/>
          </w:tcPr>
          <w:p w14:paraId="68A39A01" w14:textId="16D4CDCD" w:rsidR="001324E4" w:rsidRPr="000D756E" w:rsidRDefault="002939BB" w:rsidP="001324E4">
            <w:pPr>
              <w:jc w:val="right"/>
              <w:rPr>
                <w:rFonts w:ascii="Arial" w:hAnsi="Arial" w:cs="Arial"/>
                <w:b/>
                <w:sz w:val="24"/>
                <w:szCs w:val="24"/>
              </w:rPr>
            </w:pPr>
            <w:r>
              <w:rPr>
                <w:rFonts w:ascii="Arial" w:hAnsi="Arial" w:cs="Arial"/>
                <w:b/>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67580B73" w14:textId="6CBBBE7C" w:rsidR="001324E4" w:rsidRPr="000D756E" w:rsidRDefault="002939BB" w:rsidP="001324E4">
            <w:pPr>
              <w:jc w:val="right"/>
              <w:rPr>
                <w:rFonts w:ascii="Arial" w:hAnsi="Arial" w:cs="Arial"/>
                <w:b/>
                <w:sz w:val="24"/>
                <w:szCs w:val="24"/>
              </w:rPr>
            </w:pPr>
            <w:r>
              <w:rPr>
                <w:rFonts w:ascii="Arial" w:hAnsi="Arial" w:cs="Arial"/>
                <w:b/>
                <w:sz w:val="24"/>
                <w:szCs w:val="24"/>
              </w:rPr>
              <w:t>161,105</w:t>
            </w:r>
          </w:p>
        </w:tc>
      </w:tr>
    </w:tbl>
    <w:p w14:paraId="2BD5B5D6" w14:textId="77777777" w:rsidR="00A4446C" w:rsidRPr="000D756E" w:rsidRDefault="00A4446C" w:rsidP="002A7C01">
      <w:pPr>
        <w:rPr>
          <w:rFonts w:ascii="Arial" w:hAnsi="Arial" w:cs="Arial"/>
          <w:b/>
          <w:sz w:val="24"/>
          <w:szCs w:val="24"/>
        </w:rPr>
      </w:pPr>
    </w:p>
    <w:p w14:paraId="5BCF7A80" w14:textId="77777777" w:rsidR="002544DF" w:rsidRPr="000D756E" w:rsidRDefault="002544DF" w:rsidP="002A7C01">
      <w:pPr>
        <w:rPr>
          <w:rFonts w:ascii="Arial" w:hAnsi="Arial" w:cs="Arial"/>
          <w:b/>
          <w:sz w:val="24"/>
          <w:szCs w:val="24"/>
        </w:rPr>
      </w:pPr>
      <w:r w:rsidRPr="000D756E">
        <w:rPr>
          <w:rFonts w:ascii="Arial" w:hAnsi="Arial" w:cs="Arial"/>
          <w:b/>
          <w:sz w:val="24"/>
          <w:szCs w:val="24"/>
        </w:rPr>
        <w:t>Collection Fund Adjustment Account</w:t>
      </w:r>
    </w:p>
    <w:p w14:paraId="419B729E" w14:textId="77777777" w:rsidR="002544DF" w:rsidRPr="000D756E" w:rsidRDefault="002544DF" w:rsidP="002A7C01">
      <w:pPr>
        <w:rPr>
          <w:rFonts w:ascii="Arial" w:hAnsi="Arial" w:cs="Arial"/>
          <w:sz w:val="24"/>
          <w:szCs w:val="24"/>
        </w:rPr>
      </w:pPr>
    </w:p>
    <w:p w14:paraId="0388E361" w14:textId="77777777" w:rsidR="002544DF" w:rsidRPr="000D756E" w:rsidRDefault="002544DF" w:rsidP="002A7C01">
      <w:pPr>
        <w:rPr>
          <w:rFonts w:ascii="Arial" w:hAnsi="Arial" w:cs="Arial"/>
          <w:sz w:val="24"/>
          <w:szCs w:val="24"/>
        </w:rPr>
      </w:pPr>
      <w:r w:rsidRPr="000D756E">
        <w:rPr>
          <w:rFonts w:ascii="Arial" w:hAnsi="Arial" w:cs="Arial"/>
          <w:sz w:val="24"/>
          <w:szCs w:val="24"/>
        </w:rPr>
        <w:t xml:space="preserve">The Collection Fund Adjustment Account manages the differences arising from the recognition of council tax </w:t>
      </w:r>
      <w:r w:rsidR="00375F1C" w:rsidRPr="000D756E">
        <w:rPr>
          <w:rFonts w:ascii="Arial" w:hAnsi="Arial" w:cs="Arial"/>
          <w:sz w:val="24"/>
          <w:szCs w:val="24"/>
        </w:rPr>
        <w:t xml:space="preserve">and non domestic rates </w:t>
      </w:r>
      <w:r w:rsidRPr="000D756E">
        <w:rPr>
          <w:rFonts w:ascii="Arial" w:hAnsi="Arial" w:cs="Arial"/>
          <w:sz w:val="24"/>
          <w:szCs w:val="24"/>
        </w:rPr>
        <w:t>income in the Comprehensive Income and Expenditure Statement as it falls due from council tax payers compared with the statutory arrangements for paying across amounts to the General Fund from the Collection Fund.</w:t>
      </w:r>
    </w:p>
    <w:p w14:paraId="3587BAC2" w14:textId="77777777" w:rsidR="002544DF" w:rsidRPr="000D756E" w:rsidRDefault="002544DF"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5755"/>
        <w:gridCol w:w="1650"/>
      </w:tblGrid>
      <w:tr w:rsidR="006329E6" w:rsidRPr="000D756E" w14:paraId="58C8E330" w14:textId="77777777" w:rsidTr="000339DE">
        <w:tc>
          <w:tcPr>
            <w:tcW w:w="1614" w:type="dxa"/>
          </w:tcPr>
          <w:p w14:paraId="331478FF" w14:textId="5A37D94C" w:rsidR="002544DF" w:rsidRPr="000D756E" w:rsidRDefault="002544DF" w:rsidP="00A9206F">
            <w:pPr>
              <w:jc w:val="right"/>
              <w:rPr>
                <w:rFonts w:ascii="Arial" w:hAnsi="Arial" w:cs="Arial"/>
                <w:b/>
                <w:sz w:val="24"/>
                <w:szCs w:val="24"/>
              </w:rPr>
            </w:pPr>
            <w:r w:rsidRPr="000D756E">
              <w:rPr>
                <w:rFonts w:ascii="Arial" w:hAnsi="Arial" w:cs="Arial"/>
                <w:b/>
                <w:sz w:val="24"/>
                <w:szCs w:val="24"/>
              </w:rPr>
              <w:t>20</w:t>
            </w:r>
            <w:r w:rsidR="000D78EE" w:rsidRPr="000D756E">
              <w:rPr>
                <w:rFonts w:ascii="Arial" w:hAnsi="Arial" w:cs="Arial"/>
                <w:b/>
                <w:sz w:val="24"/>
                <w:szCs w:val="24"/>
              </w:rPr>
              <w:t>2</w:t>
            </w:r>
            <w:r w:rsidR="00031437">
              <w:rPr>
                <w:rFonts w:ascii="Arial" w:hAnsi="Arial" w:cs="Arial"/>
                <w:b/>
                <w:sz w:val="24"/>
                <w:szCs w:val="24"/>
              </w:rPr>
              <w:t>3/24</w:t>
            </w:r>
          </w:p>
          <w:p w14:paraId="3372A448" w14:textId="77777777" w:rsidR="002544DF" w:rsidRPr="000D756E" w:rsidRDefault="002544DF" w:rsidP="00A9206F">
            <w:pPr>
              <w:jc w:val="right"/>
              <w:rPr>
                <w:rFonts w:ascii="Arial" w:hAnsi="Arial" w:cs="Arial"/>
                <w:b/>
                <w:sz w:val="24"/>
                <w:szCs w:val="24"/>
              </w:rPr>
            </w:pPr>
            <w:r w:rsidRPr="000D756E">
              <w:rPr>
                <w:rFonts w:ascii="Arial" w:hAnsi="Arial" w:cs="Arial"/>
                <w:b/>
                <w:sz w:val="24"/>
                <w:szCs w:val="24"/>
              </w:rPr>
              <w:t>£’000</w:t>
            </w:r>
          </w:p>
          <w:p w14:paraId="5015293C" w14:textId="77777777" w:rsidR="002544DF" w:rsidRPr="000D756E" w:rsidRDefault="002544DF" w:rsidP="00A9206F">
            <w:pPr>
              <w:jc w:val="right"/>
              <w:rPr>
                <w:rFonts w:ascii="Arial" w:hAnsi="Arial" w:cs="Arial"/>
                <w:b/>
                <w:sz w:val="24"/>
                <w:szCs w:val="24"/>
              </w:rPr>
            </w:pPr>
          </w:p>
        </w:tc>
        <w:tc>
          <w:tcPr>
            <w:tcW w:w="5755" w:type="dxa"/>
          </w:tcPr>
          <w:p w14:paraId="56DBBCC9" w14:textId="77777777" w:rsidR="002544DF" w:rsidRPr="000D756E" w:rsidRDefault="002544DF" w:rsidP="002A7C01">
            <w:pPr>
              <w:rPr>
                <w:rFonts w:ascii="Arial" w:hAnsi="Arial" w:cs="Arial"/>
                <w:b/>
                <w:sz w:val="24"/>
                <w:szCs w:val="24"/>
              </w:rPr>
            </w:pPr>
          </w:p>
        </w:tc>
        <w:tc>
          <w:tcPr>
            <w:tcW w:w="1650" w:type="dxa"/>
          </w:tcPr>
          <w:p w14:paraId="46E64AA1" w14:textId="411E1227" w:rsidR="002544DF" w:rsidRPr="000D756E" w:rsidRDefault="002544DF" w:rsidP="00A9206F">
            <w:pPr>
              <w:jc w:val="right"/>
              <w:rPr>
                <w:rFonts w:ascii="Arial" w:hAnsi="Arial" w:cs="Arial"/>
                <w:b/>
                <w:sz w:val="24"/>
                <w:szCs w:val="24"/>
              </w:rPr>
            </w:pPr>
            <w:r w:rsidRPr="000D756E">
              <w:rPr>
                <w:rFonts w:ascii="Arial" w:hAnsi="Arial" w:cs="Arial"/>
                <w:b/>
                <w:sz w:val="24"/>
                <w:szCs w:val="24"/>
              </w:rPr>
              <w:t>20</w:t>
            </w:r>
            <w:r w:rsidR="00927C37" w:rsidRPr="000D756E">
              <w:rPr>
                <w:rFonts w:ascii="Arial" w:hAnsi="Arial" w:cs="Arial"/>
                <w:b/>
                <w:sz w:val="24"/>
                <w:szCs w:val="24"/>
              </w:rPr>
              <w:t>2</w:t>
            </w:r>
            <w:r w:rsidR="00031437">
              <w:rPr>
                <w:rFonts w:ascii="Arial" w:hAnsi="Arial" w:cs="Arial"/>
                <w:b/>
                <w:sz w:val="24"/>
                <w:szCs w:val="24"/>
              </w:rPr>
              <w:t>4/25</w:t>
            </w:r>
          </w:p>
          <w:p w14:paraId="0BC9D3A4" w14:textId="77777777" w:rsidR="002544DF" w:rsidRPr="000D756E" w:rsidRDefault="002544DF" w:rsidP="00A9206F">
            <w:pPr>
              <w:jc w:val="right"/>
              <w:rPr>
                <w:rFonts w:ascii="Arial" w:hAnsi="Arial" w:cs="Arial"/>
                <w:b/>
                <w:sz w:val="24"/>
                <w:szCs w:val="24"/>
              </w:rPr>
            </w:pPr>
            <w:r w:rsidRPr="000D756E">
              <w:rPr>
                <w:rFonts w:ascii="Arial" w:hAnsi="Arial" w:cs="Arial"/>
                <w:b/>
                <w:sz w:val="24"/>
                <w:szCs w:val="24"/>
              </w:rPr>
              <w:t>£’000</w:t>
            </w:r>
          </w:p>
        </w:tc>
      </w:tr>
      <w:tr w:rsidR="00031437" w:rsidRPr="000D756E" w14:paraId="4BCC4D9F" w14:textId="77777777" w:rsidTr="000339DE">
        <w:trPr>
          <w:trHeight w:val="373"/>
        </w:trPr>
        <w:tc>
          <w:tcPr>
            <w:tcW w:w="1614" w:type="dxa"/>
          </w:tcPr>
          <w:p w14:paraId="2DC09383" w14:textId="3C32E975" w:rsidR="00031437" w:rsidRPr="000D756E" w:rsidRDefault="00031437" w:rsidP="00031437">
            <w:pPr>
              <w:jc w:val="right"/>
              <w:rPr>
                <w:rFonts w:ascii="Arial" w:hAnsi="Arial" w:cs="Arial"/>
                <w:sz w:val="24"/>
                <w:szCs w:val="24"/>
              </w:rPr>
            </w:pPr>
            <w:r w:rsidRPr="000D756E">
              <w:rPr>
                <w:rFonts w:ascii="Arial" w:hAnsi="Arial" w:cs="Arial"/>
                <w:sz w:val="24"/>
                <w:szCs w:val="24"/>
              </w:rPr>
              <w:t>170</w:t>
            </w:r>
          </w:p>
        </w:tc>
        <w:tc>
          <w:tcPr>
            <w:tcW w:w="5755" w:type="dxa"/>
          </w:tcPr>
          <w:p w14:paraId="4FE7D1B8" w14:textId="77777777" w:rsidR="00031437" w:rsidRPr="000D756E" w:rsidRDefault="00031437" w:rsidP="00031437">
            <w:pPr>
              <w:rPr>
                <w:rFonts w:ascii="Arial" w:hAnsi="Arial" w:cs="Arial"/>
                <w:b/>
                <w:sz w:val="24"/>
                <w:szCs w:val="24"/>
              </w:rPr>
            </w:pPr>
            <w:r w:rsidRPr="000D756E">
              <w:rPr>
                <w:rFonts w:ascii="Arial" w:hAnsi="Arial" w:cs="Arial"/>
                <w:b/>
                <w:sz w:val="24"/>
                <w:szCs w:val="24"/>
              </w:rPr>
              <w:t>Balance at 1 April</w:t>
            </w:r>
          </w:p>
        </w:tc>
        <w:tc>
          <w:tcPr>
            <w:tcW w:w="1650" w:type="dxa"/>
          </w:tcPr>
          <w:p w14:paraId="0B65647A" w14:textId="52F99C67" w:rsidR="00031437" w:rsidRPr="000D756E" w:rsidRDefault="00031437" w:rsidP="00031437">
            <w:pPr>
              <w:jc w:val="right"/>
              <w:rPr>
                <w:rFonts w:ascii="Arial" w:hAnsi="Arial" w:cs="Arial"/>
                <w:sz w:val="24"/>
                <w:szCs w:val="24"/>
              </w:rPr>
            </w:pPr>
            <w:r>
              <w:rPr>
                <w:rFonts w:ascii="Arial" w:hAnsi="Arial" w:cs="Arial"/>
                <w:sz w:val="24"/>
                <w:szCs w:val="24"/>
              </w:rPr>
              <w:t>61</w:t>
            </w:r>
          </w:p>
        </w:tc>
      </w:tr>
      <w:tr w:rsidR="00031437" w:rsidRPr="000D756E" w14:paraId="692E1093" w14:textId="77777777" w:rsidTr="000339DE">
        <w:trPr>
          <w:trHeight w:val="1261"/>
        </w:trPr>
        <w:tc>
          <w:tcPr>
            <w:tcW w:w="1614" w:type="dxa"/>
            <w:vAlign w:val="center"/>
          </w:tcPr>
          <w:p w14:paraId="77CABA87" w14:textId="271DFE9E" w:rsidR="00031437" w:rsidRPr="000D756E" w:rsidRDefault="00031437" w:rsidP="00031437">
            <w:pPr>
              <w:jc w:val="right"/>
              <w:rPr>
                <w:rFonts w:ascii="Arial" w:hAnsi="Arial" w:cs="Arial"/>
                <w:sz w:val="24"/>
                <w:szCs w:val="24"/>
              </w:rPr>
            </w:pPr>
            <w:r w:rsidRPr="000D756E">
              <w:rPr>
                <w:rFonts w:ascii="Arial" w:hAnsi="Arial" w:cs="Arial"/>
                <w:sz w:val="24"/>
                <w:szCs w:val="24"/>
              </w:rPr>
              <w:t>-109</w:t>
            </w:r>
          </w:p>
        </w:tc>
        <w:tc>
          <w:tcPr>
            <w:tcW w:w="5755" w:type="dxa"/>
          </w:tcPr>
          <w:p w14:paraId="3762D138" w14:textId="77777777" w:rsidR="00031437" w:rsidRPr="000D756E" w:rsidRDefault="00031437" w:rsidP="00031437">
            <w:pPr>
              <w:rPr>
                <w:rFonts w:ascii="Arial" w:hAnsi="Arial" w:cs="Arial"/>
                <w:sz w:val="24"/>
                <w:szCs w:val="24"/>
              </w:rPr>
            </w:pPr>
            <w:r w:rsidRPr="000D756E">
              <w:rPr>
                <w:rFonts w:ascii="Arial" w:hAnsi="Arial" w:cs="Arial"/>
                <w:sz w:val="24"/>
                <w:szCs w:val="24"/>
              </w:rPr>
              <w:t>Amount by which council tax income credited to the Comprehensive Income and Expenditure Statement is different from council tax and business rates income calculated for the year in accordance with statutory requirements</w:t>
            </w:r>
          </w:p>
          <w:p w14:paraId="650114B4" w14:textId="77777777" w:rsidR="00031437" w:rsidRPr="000D756E" w:rsidRDefault="00031437" w:rsidP="00031437">
            <w:pPr>
              <w:rPr>
                <w:rFonts w:ascii="Arial" w:hAnsi="Arial" w:cs="Arial"/>
                <w:sz w:val="24"/>
                <w:szCs w:val="24"/>
              </w:rPr>
            </w:pPr>
          </w:p>
        </w:tc>
        <w:tc>
          <w:tcPr>
            <w:tcW w:w="1650" w:type="dxa"/>
            <w:vAlign w:val="center"/>
          </w:tcPr>
          <w:p w14:paraId="7584228A" w14:textId="50AA6A5C" w:rsidR="00031437" w:rsidRPr="000D756E" w:rsidRDefault="00FE7ADE" w:rsidP="00031437">
            <w:pPr>
              <w:jc w:val="right"/>
              <w:rPr>
                <w:rFonts w:ascii="Arial" w:hAnsi="Arial" w:cs="Arial"/>
                <w:sz w:val="24"/>
                <w:szCs w:val="24"/>
              </w:rPr>
            </w:pPr>
            <w:r>
              <w:rPr>
                <w:rFonts w:ascii="Arial" w:hAnsi="Arial" w:cs="Arial"/>
                <w:sz w:val="24"/>
                <w:szCs w:val="24"/>
              </w:rPr>
              <w:t>26</w:t>
            </w:r>
            <w:r w:rsidR="00F34471">
              <w:rPr>
                <w:rFonts w:ascii="Arial" w:hAnsi="Arial" w:cs="Arial"/>
                <w:sz w:val="24"/>
                <w:szCs w:val="24"/>
              </w:rPr>
              <w:t>7</w:t>
            </w:r>
          </w:p>
        </w:tc>
      </w:tr>
      <w:tr w:rsidR="00031437" w:rsidRPr="000D756E" w14:paraId="266C91B4" w14:textId="77777777" w:rsidTr="000339DE">
        <w:trPr>
          <w:trHeight w:val="444"/>
        </w:trPr>
        <w:tc>
          <w:tcPr>
            <w:tcW w:w="1614" w:type="dxa"/>
          </w:tcPr>
          <w:p w14:paraId="273ECEC4" w14:textId="40019422" w:rsidR="00031437" w:rsidRPr="000D756E" w:rsidRDefault="00031437" w:rsidP="00031437">
            <w:pPr>
              <w:jc w:val="right"/>
              <w:rPr>
                <w:rFonts w:ascii="Arial" w:hAnsi="Arial" w:cs="Arial"/>
                <w:b/>
                <w:sz w:val="24"/>
                <w:szCs w:val="24"/>
              </w:rPr>
            </w:pPr>
            <w:r w:rsidRPr="000D756E">
              <w:rPr>
                <w:rFonts w:ascii="Arial" w:hAnsi="Arial" w:cs="Arial"/>
                <w:b/>
                <w:sz w:val="24"/>
                <w:szCs w:val="24"/>
              </w:rPr>
              <w:t>61</w:t>
            </w:r>
          </w:p>
        </w:tc>
        <w:tc>
          <w:tcPr>
            <w:tcW w:w="5755" w:type="dxa"/>
          </w:tcPr>
          <w:p w14:paraId="2F8EF63E" w14:textId="77777777" w:rsidR="00031437" w:rsidRPr="000D756E" w:rsidRDefault="00031437" w:rsidP="00031437">
            <w:pPr>
              <w:rPr>
                <w:rFonts w:ascii="Arial" w:hAnsi="Arial" w:cs="Arial"/>
                <w:b/>
                <w:sz w:val="24"/>
                <w:szCs w:val="24"/>
              </w:rPr>
            </w:pPr>
            <w:r w:rsidRPr="000D756E">
              <w:rPr>
                <w:rFonts w:ascii="Arial" w:hAnsi="Arial" w:cs="Arial"/>
                <w:b/>
                <w:sz w:val="24"/>
                <w:szCs w:val="24"/>
              </w:rPr>
              <w:t>Balance at 31 March</w:t>
            </w:r>
          </w:p>
        </w:tc>
        <w:tc>
          <w:tcPr>
            <w:tcW w:w="1650" w:type="dxa"/>
          </w:tcPr>
          <w:p w14:paraId="1A89757A" w14:textId="27246910" w:rsidR="00031437" w:rsidRPr="000D756E" w:rsidRDefault="003A6BBA" w:rsidP="00031437">
            <w:pPr>
              <w:jc w:val="right"/>
              <w:rPr>
                <w:rFonts w:ascii="Arial" w:hAnsi="Arial" w:cs="Arial"/>
                <w:b/>
                <w:sz w:val="24"/>
                <w:szCs w:val="24"/>
              </w:rPr>
            </w:pPr>
            <w:r>
              <w:rPr>
                <w:rFonts w:ascii="Arial" w:hAnsi="Arial" w:cs="Arial"/>
                <w:b/>
                <w:sz w:val="24"/>
                <w:szCs w:val="24"/>
              </w:rPr>
              <w:t>32</w:t>
            </w:r>
            <w:r w:rsidR="00F34471">
              <w:rPr>
                <w:rFonts w:ascii="Arial" w:hAnsi="Arial" w:cs="Arial"/>
                <w:b/>
                <w:sz w:val="24"/>
                <w:szCs w:val="24"/>
              </w:rPr>
              <w:t>8</w:t>
            </w:r>
          </w:p>
        </w:tc>
      </w:tr>
    </w:tbl>
    <w:p w14:paraId="2E1E6BB3" w14:textId="77777777" w:rsidR="002A572B" w:rsidRPr="000D756E" w:rsidRDefault="002A572B" w:rsidP="002A7C01">
      <w:pPr>
        <w:rPr>
          <w:rFonts w:ascii="Arial" w:hAnsi="Arial" w:cs="Arial"/>
          <w:sz w:val="24"/>
          <w:szCs w:val="24"/>
        </w:rPr>
      </w:pPr>
    </w:p>
    <w:p w14:paraId="60168C8A" w14:textId="77777777" w:rsidR="0048415F" w:rsidRPr="000D756E" w:rsidRDefault="0048415F" w:rsidP="002A7C01">
      <w:pPr>
        <w:rPr>
          <w:rFonts w:ascii="Arial" w:hAnsi="Arial" w:cs="Arial"/>
          <w:sz w:val="24"/>
          <w:szCs w:val="24"/>
        </w:rPr>
      </w:pPr>
    </w:p>
    <w:p w14:paraId="5C1A7428" w14:textId="77777777" w:rsidR="002544DF" w:rsidRPr="000D756E" w:rsidRDefault="002544DF" w:rsidP="002A7C01">
      <w:pPr>
        <w:rPr>
          <w:rFonts w:ascii="Arial" w:hAnsi="Arial" w:cs="Arial"/>
          <w:b/>
          <w:sz w:val="24"/>
          <w:szCs w:val="24"/>
        </w:rPr>
      </w:pPr>
      <w:r w:rsidRPr="000D756E">
        <w:rPr>
          <w:rFonts w:ascii="Arial" w:hAnsi="Arial" w:cs="Arial"/>
          <w:b/>
          <w:sz w:val="24"/>
          <w:szCs w:val="24"/>
        </w:rPr>
        <w:t>Accumulated Absences Account</w:t>
      </w:r>
    </w:p>
    <w:p w14:paraId="7DE6FD31" w14:textId="77777777" w:rsidR="002544DF" w:rsidRPr="000D756E" w:rsidRDefault="002544DF" w:rsidP="002A7C01">
      <w:pPr>
        <w:rPr>
          <w:rFonts w:ascii="Arial" w:hAnsi="Arial" w:cs="Arial"/>
          <w:b/>
          <w:sz w:val="24"/>
          <w:szCs w:val="24"/>
        </w:rPr>
      </w:pPr>
    </w:p>
    <w:p w14:paraId="218C38C3" w14:textId="77777777" w:rsidR="002544DF" w:rsidRPr="000D756E" w:rsidRDefault="002544DF" w:rsidP="002A7C01">
      <w:pPr>
        <w:rPr>
          <w:rFonts w:ascii="Arial" w:hAnsi="Arial" w:cs="Arial"/>
          <w:sz w:val="24"/>
          <w:szCs w:val="24"/>
        </w:rPr>
      </w:pPr>
      <w:r w:rsidRPr="000D756E">
        <w:rPr>
          <w:rFonts w:ascii="Arial" w:hAnsi="Arial" w:cs="Arial"/>
          <w:sz w:val="24"/>
          <w:szCs w:val="24"/>
        </w:rPr>
        <w:t>The Accumulated Absences Account absorbs the differences that would otherwise arise on the General Fund balance from accruing for compensated absences earned but not taken in the year, ie annual leave entitlement carried forward at 31 March. Statutory arrangements require that the impact on the General Fund balance is neutralised by transfers to or from the Account.</w:t>
      </w:r>
    </w:p>
    <w:p w14:paraId="1B6A6357" w14:textId="77777777" w:rsidR="002544DF" w:rsidRPr="000D756E" w:rsidRDefault="002544DF" w:rsidP="002A7C01">
      <w:pPr>
        <w:rPr>
          <w:rFonts w:ascii="Arial" w:hAnsi="Arial" w:cs="Arial"/>
          <w:sz w:val="24"/>
          <w:szCs w:val="24"/>
        </w:rPr>
      </w:pPr>
    </w:p>
    <w:tbl>
      <w:tblPr>
        <w:tblW w:w="0" w:type="auto"/>
        <w:tblLook w:val="01E0" w:firstRow="1" w:lastRow="1" w:firstColumn="1" w:lastColumn="1" w:noHBand="0" w:noVBand="0"/>
      </w:tblPr>
      <w:tblGrid>
        <w:gridCol w:w="1614"/>
        <w:gridCol w:w="5755"/>
        <w:gridCol w:w="1650"/>
      </w:tblGrid>
      <w:tr w:rsidR="006329E6" w:rsidRPr="000D756E" w14:paraId="69966D37" w14:textId="77777777" w:rsidTr="000339DE">
        <w:tc>
          <w:tcPr>
            <w:tcW w:w="1614" w:type="dxa"/>
            <w:tcBorders>
              <w:top w:val="single" w:sz="4" w:space="0" w:color="auto"/>
              <w:left w:val="single" w:sz="4" w:space="0" w:color="auto"/>
              <w:bottom w:val="single" w:sz="4" w:space="0" w:color="auto"/>
              <w:right w:val="single" w:sz="4" w:space="0" w:color="auto"/>
            </w:tcBorders>
          </w:tcPr>
          <w:p w14:paraId="5B71B38E" w14:textId="1764FA0B" w:rsidR="002544DF" w:rsidRPr="000D756E" w:rsidRDefault="002544DF" w:rsidP="00A9206F">
            <w:pPr>
              <w:jc w:val="right"/>
              <w:rPr>
                <w:rFonts w:ascii="Arial" w:hAnsi="Arial" w:cs="Arial"/>
                <w:b/>
                <w:sz w:val="24"/>
                <w:szCs w:val="24"/>
              </w:rPr>
            </w:pPr>
            <w:r w:rsidRPr="000D756E">
              <w:rPr>
                <w:rFonts w:ascii="Arial" w:hAnsi="Arial" w:cs="Arial"/>
                <w:b/>
                <w:sz w:val="24"/>
                <w:szCs w:val="24"/>
              </w:rPr>
              <w:t>20</w:t>
            </w:r>
            <w:r w:rsidR="000D78EE" w:rsidRPr="000D756E">
              <w:rPr>
                <w:rFonts w:ascii="Arial" w:hAnsi="Arial" w:cs="Arial"/>
                <w:b/>
                <w:sz w:val="24"/>
                <w:szCs w:val="24"/>
              </w:rPr>
              <w:t>2</w:t>
            </w:r>
            <w:r w:rsidR="00031437">
              <w:rPr>
                <w:rFonts w:ascii="Arial" w:hAnsi="Arial" w:cs="Arial"/>
                <w:b/>
                <w:sz w:val="24"/>
                <w:szCs w:val="24"/>
              </w:rPr>
              <w:t>3/24</w:t>
            </w:r>
          </w:p>
          <w:p w14:paraId="34023C35" w14:textId="77777777" w:rsidR="002544DF" w:rsidRPr="000D756E" w:rsidRDefault="002544DF" w:rsidP="00A9206F">
            <w:pPr>
              <w:jc w:val="right"/>
              <w:rPr>
                <w:rFonts w:ascii="Arial" w:hAnsi="Arial" w:cs="Arial"/>
                <w:b/>
                <w:sz w:val="24"/>
                <w:szCs w:val="24"/>
              </w:rPr>
            </w:pPr>
            <w:r w:rsidRPr="000D756E">
              <w:rPr>
                <w:rFonts w:ascii="Arial" w:hAnsi="Arial" w:cs="Arial"/>
                <w:b/>
                <w:sz w:val="24"/>
                <w:szCs w:val="24"/>
              </w:rPr>
              <w:t>£’000</w:t>
            </w:r>
          </w:p>
          <w:p w14:paraId="54CC8D20" w14:textId="77777777" w:rsidR="002544DF" w:rsidRPr="000D756E" w:rsidRDefault="002544DF" w:rsidP="00A9206F">
            <w:pPr>
              <w:jc w:val="right"/>
              <w:rPr>
                <w:rFonts w:ascii="Arial" w:hAnsi="Arial" w:cs="Arial"/>
                <w:b/>
                <w:sz w:val="24"/>
                <w:szCs w:val="24"/>
              </w:rPr>
            </w:pPr>
          </w:p>
        </w:tc>
        <w:tc>
          <w:tcPr>
            <w:tcW w:w="5755" w:type="dxa"/>
            <w:tcBorders>
              <w:top w:val="single" w:sz="4" w:space="0" w:color="auto"/>
              <w:left w:val="single" w:sz="4" w:space="0" w:color="auto"/>
              <w:bottom w:val="single" w:sz="4" w:space="0" w:color="auto"/>
              <w:right w:val="single" w:sz="4" w:space="0" w:color="auto"/>
            </w:tcBorders>
          </w:tcPr>
          <w:p w14:paraId="464EF697" w14:textId="77777777" w:rsidR="002544DF" w:rsidRPr="000D756E" w:rsidRDefault="002544DF" w:rsidP="002A7C01">
            <w:pPr>
              <w:rPr>
                <w:rFonts w:ascii="Arial" w:hAnsi="Arial" w:cs="Arial"/>
                <w:b/>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E56E342" w14:textId="0B5F692A" w:rsidR="002544DF" w:rsidRPr="000D756E" w:rsidRDefault="009120B3" w:rsidP="00A9206F">
            <w:pPr>
              <w:jc w:val="right"/>
              <w:rPr>
                <w:rFonts w:ascii="Arial" w:hAnsi="Arial" w:cs="Arial"/>
                <w:b/>
                <w:sz w:val="24"/>
                <w:szCs w:val="24"/>
              </w:rPr>
            </w:pPr>
            <w:r w:rsidRPr="000D756E">
              <w:rPr>
                <w:rFonts w:ascii="Arial" w:hAnsi="Arial" w:cs="Arial"/>
                <w:b/>
                <w:sz w:val="24"/>
                <w:szCs w:val="24"/>
              </w:rPr>
              <w:t>20</w:t>
            </w:r>
            <w:r w:rsidR="00927C37" w:rsidRPr="000D756E">
              <w:rPr>
                <w:rFonts w:ascii="Arial" w:hAnsi="Arial" w:cs="Arial"/>
                <w:b/>
                <w:sz w:val="24"/>
                <w:szCs w:val="24"/>
              </w:rPr>
              <w:t>2</w:t>
            </w:r>
            <w:r w:rsidR="00031437">
              <w:rPr>
                <w:rFonts w:ascii="Arial" w:hAnsi="Arial" w:cs="Arial"/>
                <w:b/>
                <w:sz w:val="24"/>
                <w:szCs w:val="24"/>
              </w:rPr>
              <w:t>4/25</w:t>
            </w:r>
          </w:p>
          <w:p w14:paraId="4659441A" w14:textId="77777777" w:rsidR="002544DF" w:rsidRPr="000D756E" w:rsidRDefault="002544DF" w:rsidP="00A9206F">
            <w:pPr>
              <w:jc w:val="right"/>
              <w:rPr>
                <w:rFonts w:ascii="Arial" w:hAnsi="Arial" w:cs="Arial"/>
                <w:b/>
                <w:sz w:val="24"/>
                <w:szCs w:val="24"/>
              </w:rPr>
            </w:pPr>
            <w:r w:rsidRPr="000D756E">
              <w:rPr>
                <w:rFonts w:ascii="Arial" w:hAnsi="Arial" w:cs="Arial"/>
                <w:b/>
                <w:sz w:val="24"/>
                <w:szCs w:val="24"/>
              </w:rPr>
              <w:t>£’000</w:t>
            </w:r>
          </w:p>
        </w:tc>
      </w:tr>
      <w:tr w:rsidR="00031437" w:rsidRPr="000D756E" w14:paraId="2946A769" w14:textId="77777777" w:rsidTr="000339DE">
        <w:trPr>
          <w:trHeight w:val="389"/>
        </w:trPr>
        <w:tc>
          <w:tcPr>
            <w:tcW w:w="1614" w:type="dxa"/>
            <w:tcBorders>
              <w:top w:val="single" w:sz="4" w:space="0" w:color="auto"/>
              <w:left w:val="single" w:sz="4" w:space="0" w:color="auto"/>
              <w:bottom w:val="single" w:sz="4" w:space="0" w:color="auto"/>
              <w:right w:val="single" w:sz="4" w:space="0" w:color="auto"/>
            </w:tcBorders>
          </w:tcPr>
          <w:p w14:paraId="4AE8B3AB" w14:textId="2FBEFFFC" w:rsidR="00031437" w:rsidRPr="000D756E" w:rsidRDefault="00031437" w:rsidP="00031437">
            <w:pPr>
              <w:jc w:val="right"/>
              <w:rPr>
                <w:rFonts w:ascii="Arial" w:hAnsi="Arial" w:cs="Arial"/>
                <w:sz w:val="24"/>
                <w:szCs w:val="24"/>
              </w:rPr>
            </w:pPr>
            <w:r w:rsidRPr="000D756E">
              <w:rPr>
                <w:rFonts w:ascii="Arial" w:hAnsi="Arial" w:cs="Arial"/>
                <w:sz w:val="24"/>
                <w:szCs w:val="24"/>
              </w:rPr>
              <w:t>-170</w:t>
            </w:r>
          </w:p>
        </w:tc>
        <w:tc>
          <w:tcPr>
            <w:tcW w:w="5755" w:type="dxa"/>
            <w:tcBorders>
              <w:top w:val="single" w:sz="4" w:space="0" w:color="auto"/>
              <w:left w:val="single" w:sz="4" w:space="0" w:color="auto"/>
              <w:bottom w:val="single" w:sz="4" w:space="0" w:color="auto"/>
              <w:right w:val="single" w:sz="4" w:space="0" w:color="auto"/>
            </w:tcBorders>
          </w:tcPr>
          <w:p w14:paraId="5C41750C" w14:textId="77777777" w:rsidR="00031437" w:rsidRPr="000D756E" w:rsidRDefault="00031437" w:rsidP="00031437">
            <w:pPr>
              <w:rPr>
                <w:rFonts w:ascii="Arial" w:hAnsi="Arial" w:cs="Arial"/>
                <w:sz w:val="24"/>
                <w:szCs w:val="24"/>
              </w:rPr>
            </w:pPr>
            <w:r w:rsidRPr="000D756E">
              <w:rPr>
                <w:rFonts w:ascii="Arial" w:hAnsi="Arial" w:cs="Arial"/>
                <w:sz w:val="24"/>
                <w:szCs w:val="24"/>
              </w:rPr>
              <w:t>Balance at 1 April</w:t>
            </w:r>
          </w:p>
        </w:tc>
        <w:tc>
          <w:tcPr>
            <w:tcW w:w="1650" w:type="dxa"/>
            <w:tcBorders>
              <w:top w:val="single" w:sz="4" w:space="0" w:color="auto"/>
              <w:left w:val="single" w:sz="4" w:space="0" w:color="auto"/>
              <w:bottom w:val="single" w:sz="4" w:space="0" w:color="auto"/>
              <w:right w:val="single" w:sz="4" w:space="0" w:color="auto"/>
            </w:tcBorders>
          </w:tcPr>
          <w:p w14:paraId="5634239A" w14:textId="3464475A" w:rsidR="00031437" w:rsidRPr="000D756E" w:rsidRDefault="00031437" w:rsidP="00031437">
            <w:pPr>
              <w:jc w:val="right"/>
              <w:rPr>
                <w:rFonts w:ascii="Arial" w:hAnsi="Arial" w:cs="Arial"/>
                <w:sz w:val="24"/>
                <w:szCs w:val="24"/>
              </w:rPr>
            </w:pPr>
            <w:r w:rsidRPr="000D756E">
              <w:rPr>
                <w:rFonts w:ascii="Arial" w:hAnsi="Arial" w:cs="Arial"/>
                <w:sz w:val="24"/>
                <w:szCs w:val="24"/>
              </w:rPr>
              <w:t>-1</w:t>
            </w:r>
            <w:r>
              <w:rPr>
                <w:rFonts w:ascii="Arial" w:hAnsi="Arial" w:cs="Arial"/>
                <w:sz w:val="24"/>
                <w:szCs w:val="24"/>
              </w:rPr>
              <w:t>92</w:t>
            </w:r>
          </w:p>
        </w:tc>
      </w:tr>
      <w:tr w:rsidR="00031437" w:rsidRPr="000D756E" w14:paraId="7CEB27B5" w14:textId="77777777" w:rsidTr="000339DE">
        <w:trPr>
          <w:trHeight w:val="706"/>
        </w:trPr>
        <w:tc>
          <w:tcPr>
            <w:tcW w:w="1614" w:type="dxa"/>
            <w:tcBorders>
              <w:top w:val="single" w:sz="4" w:space="0" w:color="auto"/>
              <w:left w:val="single" w:sz="4" w:space="0" w:color="auto"/>
              <w:bottom w:val="single" w:sz="4" w:space="0" w:color="auto"/>
              <w:right w:val="single" w:sz="4" w:space="0" w:color="auto"/>
            </w:tcBorders>
            <w:vAlign w:val="center"/>
          </w:tcPr>
          <w:p w14:paraId="1691202B" w14:textId="3C9C0EF4" w:rsidR="00031437" w:rsidRPr="000D756E" w:rsidRDefault="00031437" w:rsidP="00031437">
            <w:pPr>
              <w:jc w:val="right"/>
              <w:rPr>
                <w:rFonts w:ascii="Arial" w:hAnsi="Arial" w:cs="Arial"/>
                <w:sz w:val="24"/>
                <w:szCs w:val="24"/>
              </w:rPr>
            </w:pPr>
            <w:r w:rsidRPr="000D756E">
              <w:rPr>
                <w:rFonts w:ascii="Arial" w:hAnsi="Arial" w:cs="Arial"/>
                <w:sz w:val="24"/>
                <w:szCs w:val="24"/>
              </w:rPr>
              <w:t>170</w:t>
            </w:r>
          </w:p>
        </w:tc>
        <w:tc>
          <w:tcPr>
            <w:tcW w:w="5755" w:type="dxa"/>
            <w:tcBorders>
              <w:top w:val="single" w:sz="4" w:space="0" w:color="auto"/>
              <w:left w:val="single" w:sz="4" w:space="0" w:color="auto"/>
              <w:bottom w:val="single" w:sz="4" w:space="0" w:color="auto"/>
              <w:right w:val="single" w:sz="4" w:space="0" w:color="auto"/>
            </w:tcBorders>
          </w:tcPr>
          <w:p w14:paraId="588BCDDD" w14:textId="77777777" w:rsidR="00031437" w:rsidRPr="000D756E" w:rsidRDefault="00031437" w:rsidP="00031437">
            <w:pPr>
              <w:rPr>
                <w:rFonts w:ascii="Arial" w:hAnsi="Arial" w:cs="Arial"/>
                <w:sz w:val="24"/>
                <w:szCs w:val="24"/>
              </w:rPr>
            </w:pPr>
            <w:r w:rsidRPr="000D756E">
              <w:rPr>
                <w:rFonts w:ascii="Arial" w:hAnsi="Arial" w:cs="Arial"/>
                <w:sz w:val="24"/>
                <w:szCs w:val="24"/>
              </w:rPr>
              <w:t>Settlement or cancellation of accrual made at the end of the preceding year</w:t>
            </w:r>
          </w:p>
        </w:tc>
        <w:tc>
          <w:tcPr>
            <w:tcW w:w="1650" w:type="dxa"/>
            <w:tcBorders>
              <w:top w:val="single" w:sz="4" w:space="0" w:color="auto"/>
              <w:left w:val="single" w:sz="4" w:space="0" w:color="auto"/>
              <w:bottom w:val="single" w:sz="4" w:space="0" w:color="auto"/>
              <w:right w:val="single" w:sz="4" w:space="0" w:color="auto"/>
            </w:tcBorders>
            <w:vAlign w:val="center"/>
          </w:tcPr>
          <w:p w14:paraId="066572A0" w14:textId="4BCB0604" w:rsidR="00031437" w:rsidRPr="000D756E" w:rsidRDefault="00E4637C" w:rsidP="00031437">
            <w:pPr>
              <w:jc w:val="right"/>
              <w:rPr>
                <w:rFonts w:ascii="Arial" w:hAnsi="Arial" w:cs="Arial"/>
                <w:sz w:val="24"/>
                <w:szCs w:val="24"/>
              </w:rPr>
            </w:pPr>
            <w:r>
              <w:rPr>
                <w:rFonts w:ascii="Arial" w:hAnsi="Arial" w:cs="Arial"/>
                <w:sz w:val="24"/>
                <w:szCs w:val="24"/>
              </w:rPr>
              <w:t>192</w:t>
            </w:r>
          </w:p>
        </w:tc>
      </w:tr>
      <w:tr w:rsidR="00031437" w:rsidRPr="000D756E" w14:paraId="625CD3A6" w14:textId="77777777" w:rsidTr="000339DE">
        <w:trPr>
          <w:trHeight w:val="404"/>
        </w:trPr>
        <w:tc>
          <w:tcPr>
            <w:tcW w:w="1614" w:type="dxa"/>
            <w:tcBorders>
              <w:top w:val="single" w:sz="4" w:space="0" w:color="auto"/>
              <w:left w:val="single" w:sz="4" w:space="0" w:color="auto"/>
              <w:bottom w:val="single" w:sz="4" w:space="0" w:color="auto"/>
              <w:right w:val="single" w:sz="4" w:space="0" w:color="auto"/>
            </w:tcBorders>
            <w:vAlign w:val="center"/>
          </w:tcPr>
          <w:p w14:paraId="645F44CF" w14:textId="0EA097E5" w:rsidR="00031437" w:rsidRPr="000D756E" w:rsidRDefault="00031437" w:rsidP="00031437">
            <w:pPr>
              <w:jc w:val="right"/>
              <w:rPr>
                <w:rFonts w:ascii="Arial" w:hAnsi="Arial" w:cs="Arial"/>
                <w:sz w:val="24"/>
                <w:szCs w:val="24"/>
              </w:rPr>
            </w:pPr>
            <w:r w:rsidRPr="000D756E">
              <w:rPr>
                <w:rFonts w:ascii="Arial" w:hAnsi="Arial" w:cs="Arial"/>
                <w:sz w:val="24"/>
                <w:szCs w:val="24"/>
              </w:rPr>
              <w:t>0</w:t>
            </w:r>
          </w:p>
        </w:tc>
        <w:tc>
          <w:tcPr>
            <w:tcW w:w="5755" w:type="dxa"/>
            <w:tcBorders>
              <w:top w:val="single" w:sz="4" w:space="0" w:color="auto"/>
              <w:left w:val="single" w:sz="4" w:space="0" w:color="auto"/>
              <w:bottom w:val="single" w:sz="4" w:space="0" w:color="auto"/>
              <w:right w:val="single" w:sz="4" w:space="0" w:color="auto"/>
            </w:tcBorders>
          </w:tcPr>
          <w:p w14:paraId="35DFB55B" w14:textId="77777777" w:rsidR="00031437" w:rsidRPr="000D756E" w:rsidRDefault="00031437" w:rsidP="00031437">
            <w:pPr>
              <w:rPr>
                <w:rFonts w:ascii="Arial" w:hAnsi="Arial" w:cs="Arial"/>
                <w:sz w:val="24"/>
                <w:szCs w:val="24"/>
              </w:rPr>
            </w:pPr>
            <w:r w:rsidRPr="000D756E">
              <w:rPr>
                <w:rFonts w:ascii="Arial" w:hAnsi="Arial" w:cs="Arial"/>
                <w:sz w:val="24"/>
                <w:szCs w:val="24"/>
              </w:rPr>
              <w:t>Amount accrued at the end of the current year</w:t>
            </w:r>
          </w:p>
        </w:tc>
        <w:tc>
          <w:tcPr>
            <w:tcW w:w="1650" w:type="dxa"/>
            <w:tcBorders>
              <w:top w:val="single" w:sz="4" w:space="0" w:color="auto"/>
              <w:left w:val="single" w:sz="4" w:space="0" w:color="auto"/>
              <w:bottom w:val="single" w:sz="4" w:space="0" w:color="auto"/>
              <w:right w:val="single" w:sz="4" w:space="0" w:color="auto"/>
            </w:tcBorders>
            <w:vAlign w:val="center"/>
          </w:tcPr>
          <w:p w14:paraId="623D3D12" w14:textId="46B2A20B" w:rsidR="00031437" w:rsidRPr="000D756E" w:rsidRDefault="00E4637C" w:rsidP="00031437">
            <w:pPr>
              <w:jc w:val="right"/>
              <w:rPr>
                <w:rFonts w:ascii="Arial" w:hAnsi="Arial" w:cs="Arial"/>
                <w:sz w:val="24"/>
                <w:szCs w:val="24"/>
              </w:rPr>
            </w:pPr>
            <w:r>
              <w:rPr>
                <w:rFonts w:ascii="Arial" w:hAnsi="Arial" w:cs="Arial"/>
                <w:sz w:val="24"/>
                <w:szCs w:val="24"/>
              </w:rPr>
              <w:t>0</w:t>
            </w:r>
          </w:p>
        </w:tc>
      </w:tr>
      <w:tr w:rsidR="00031437" w:rsidRPr="000D756E" w14:paraId="25724AF7" w14:textId="77777777" w:rsidTr="000339DE">
        <w:trPr>
          <w:trHeight w:val="1545"/>
        </w:trPr>
        <w:tc>
          <w:tcPr>
            <w:tcW w:w="1614" w:type="dxa"/>
            <w:tcBorders>
              <w:top w:val="single" w:sz="4" w:space="0" w:color="auto"/>
              <w:left w:val="single" w:sz="4" w:space="0" w:color="auto"/>
              <w:bottom w:val="single" w:sz="4" w:space="0" w:color="auto"/>
              <w:right w:val="single" w:sz="4" w:space="0" w:color="auto"/>
            </w:tcBorders>
            <w:vAlign w:val="center"/>
          </w:tcPr>
          <w:p w14:paraId="1E3067AA" w14:textId="2D7DD11A" w:rsidR="00031437" w:rsidRPr="000D756E" w:rsidRDefault="00031437" w:rsidP="00031437">
            <w:pPr>
              <w:jc w:val="right"/>
              <w:rPr>
                <w:rFonts w:ascii="Arial" w:hAnsi="Arial" w:cs="Arial"/>
                <w:sz w:val="24"/>
                <w:szCs w:val="24"/>
              </w:rPr>
            </w:pPr>
            <w:r w:rsidRPr="000D756E">
              <w:rPr>
                <w:rFonts w:ascii="Arial" w:hAnsi="Arial" w:cs="Arial"/>
                <w:sz w:val="24"/>
                <w:szCs w:val="24"/>
              </w:rPr>
              <w:t>-192</w:t>
            </w:r>
          </w:p>
        </w:tc>
        <w:tc>
          <w:tcPr>
            <w:tcW w:w="5755" w:type="dxa"/>
            <w:tcBorders>
              <w:top w:val="single" w:sz="4" w:space="0" w:color="auto"/>
              <w:left w:val="single" w:sz="4" w:space="0" w:color="auto"/>
              <w:bottom w:val="single" w:sz="4" w:space="0" w:color="auto"/>
              <w:right w:val="single" w:sz="4" w:space="0" w:color="auto"/>
            </w:tcBorders>
          </w:tcPr>
          <w:p w14:paraId="4205AEDD" w14:textId="77777777" w:rsidR="00031437" w:rsidRPr="000D756E" w:rsidRDefault="00031437" w:rsidP="00031437">
            <w:pPr>
              <w:rPr>
                <w:rFonts w:ascii="Arial" w:hAnsi="Arial" w:cs="Arial"/>
                <w:sz w:val="24"/>
                <w:szCs w:val="24"/>
              </w:rPr>
            </w:pPr>
            <w:r w:rsidRPr="000D756E">
              <w:rPr>
                <w:rFonts w:ascii="Arial" w:hAnsi="Arial" w:cs="Arial"/>
                <w:sz w:val="24"/>
                <w:szCs w:val="24"/>
              </w:rPr>
              <w:t>Amount by which officer remuneration charged to the Comprehensive Income and Expenditure Statement on an accruals basis is different from remuneration chargeable in the year in accordance with statutory requirements</w:t>
            </w:r>
          </w:p>
        </w:tc>
        <w:tc>
          <w:tcPr>
            <w:tcW w:w="1650" w:type="dxa"/>
            <w:tcBorders>
              <w:top w:val="single" w:sz="4" w:space="0" w:color="auto"/>
              <w:left w:val="single" w:sz="4" w:space="0" w:color="auto"/>
              <w:bottom w:val="single" w:sz="4" w:space="0" w:color="auto"/>
              <w:right w:val="single" w:sz="4" w:space="0" w:color="auto"/>
            </w:tcBorders>
            <w:vAlign w:val="center"/>
          </w:tcPr>
          <w:p w14:paraId="6F122069" w14:textId="15183A1E" w:rsidR="00031437" w:rsidRPr="000D756E" w:rsidRDefault="00E4637C" w:rsidP="00031437">
            <w:pPr>
              <w:jc w:val="right"/>
              <w:rPr>
                <w:rFonts w:ascii="Arial" w:hAnsi="Arial" w:cs="Arial"/>
                <w:sz w:val="24"/>
                <w:szCs w:val="24"/>
              </w:rPr>
            </w:pPr>
            <w:r>
              <w:rPr>
                <w:rFonts w:ascii="Arial" w:hAnsi="Arial" w:cs="Arial"/>
                <w:sz w:val="24"/>
                <w:szCs w:val="24"/>
              </w:rPr>
              <w:t>-204</w:t>
            </w:r>
          </w:p>
        </w:tc>
      </w:tr>
      <w:tr w:rsidR="00031437" w:rsidRPr="000D756E" w14:paraId="4702A4F4" w14:textId="77777777" w:rsidTr="000339DE">
        <w:trPr>
          <w:trHeight w:val="425"/>
        </w:trPr>
        <w:tc>
          <w:tcPr>
            <w:tcW w:w="1614" w:type="dxa"/>
            <w:tcBorders>
              <w:top w:val="single" w:sz="4" w:space="0" w:color="auto"/>
              <w:left w:val="single" w:sz="4" w:space="0" w:color="auto"/>
              <w:bottom w:val="single" w:sz="4" w:space="0" w:color="auto"/>
              <w:right w:val="single" w:sz="4" w:space="0" w:color="auto"/>
            </w:tcBorders>
          </w:tcPr>
          <w:p w14:paraId="2CB2B215" w14:textId="72D1A9E7" w:rsidR="00031437" w:rsidRPr="000D756E" w:rsidRDefault="00031437" w:rsidP="00031437">
            <w:pPr>
              <w:jc w:val="right"/>
              <w:rPr>
                <w:rFonts w:ascii="Arial" w:hAnsi="Arial" w:cs="Arial"/>
                <w:b/>
                <w:sz w:val="24"/>
                <w:szCs w:val="24"/>
              </w:rPr>
            </w:pPr>
            <w:r w:rsidRPr="000D756E">
              <w:rPr>
                <w:rFonts w:ascii="Arial" w:hAnsi="Arial" w:cs="Arial"/>
                <w:b/>
                <w:sz w:val="24"/>
                <w:szCs w:val="24"/>
              </w:rPr>
              <w:t>-192</w:t>
            </w:r>
          </w:p>
        </w:tc>
        <w:tc>
          <w:tcPr>
            <w:tcW w:w="5755" w:type="dxa"/>
            <w:tcBorders>
              <w:top w:val="single" w:sz="4" w:space="0" w:color="auto"/>
              <w:left w:val="single" w:sz="4" w:space="0" w:color="auto"/>
              <w:bottom w:val="single" w:sz="4" w:space="0" w:color="auto"/>
              <w:right w:val="single" w:sz="4" w:space="0" w:color="auto"/>
            </w:tcBorders>
          </w:tcPr>
          <w:p w14:paraId="5E66ACFD" w14:textId="77777777" w:rsidR="00031437" w:rsidRPr="000D756E" w:rsidRDefault="00031437" w:rsidP="00031437">
            <w:pPr>
              <w:rPr>
                <w:rFonts w:ascii="Arial" w:hAnsi="Arial" w:cs="Arial"/>
                <w:b/>
                <w:sz w:val="24"/>
                <w:szCs w:val="24"/>
              </w:rPr>
            </w:pPr>
            <w:r w:rsidRPr="000D756E">
              <w:rPr>
                <w:rFonts w:ascii="Arial" w:hAnsi="Arial" w:cs="Arial"/>
                <w:b/>
                <w:sz w:val="24"/>
                <w:szCs w:val="24"/>
              </w:rPr>
              <w:t>Balance at 31 March</w:t>
            </w:r>
          </w:p>
        </w:tc>
        <w:tc>
          <w:tcPr>
            <w:tcW w:w="1650" w:type="dxa"/>
            <w:tcBorders>
              <w:top w:val="single" w:sz="4" w:space="0" w:color="auto"/>
              <w:left w:val="single" w:sz="4" w:space="0" w:color="auto"/>
              <w:bottom w:val="single" w:sz="4" w:space="0" w:color="auto"/>
              <w:right w:val="single" w:sz="4" w:space="0" w:color="auto"/>
            </w:tcBorders>
          </w:tcPr>
          <w:p w14:paraId="24074C30" w14:textId="57D76DDC" w:rsidR="00031437" w:rsidRPr="000D756E" w:rsidRDefault="00E4637C" w:rsidP="00031437">
            <w:pPr>
              <w:jc w:val="right"/>
              <w:rPr>
                <w:rFonts w:ascii="Arial" w:hAnsi="Arial" w:cs="Arial"/>
                <w:b/>
                <w:sz w:val="24"/>
                <w:szCs w:val="24"/>
              </w:rPr>
            </w:pPr>
            <w:r>
              <w:rPr>
                <w:rFonts w:ascii="Arial" w:hAnsi="Arial" w:cs="Arial"/>
                <w:b/>
                <w:sz w:val="24"/>
                <w:szCs w:val="24"/>
              </w:rPr>
              <w:t>-204</w:t>
            </w:r>
          </w:p>
        </w:tc>
      </w:tr>
    </w:tbl>
    <w:p w14:paraId="4B7F0479" w14:textId="77777777" w:rsidR="007637DC" w:rsidRPr="000D756E" w:rsidRDefault="007637DC" w:rsidP="002A7C01">
      <w:pPr>
        <w:rPr>
          <w:rFonts w:ascii="Arial" w:hAnsi="Arial" w:cs="Arial"/>
          <w:b/>
          <w:sz w:val="24"/>
          <w:szCs w:val="24"/>
        </w:rPr>
      </w:pPr>
    </w:p>
    <w:p w14:paraId="62DB7C02" w14:textId="77777777" w:rsidR="00282DF6" w:rsidRPr="000D756E" w:rsidRDefault="00282DF6" w:rsidP="002A7C01">
      <w:pPr>
        <w:rPr>
          <w:rFonts w:ascii="Arial" w:hAnsi="Arial" w:cs="Arial"/>
          <w:b/>
          <w:sz w:val="24"/>
          <w:szCs w:val="24"/>
        </w:rPr>
      </w:pPr>
      <w:r w:rsidRPr="000D756E">
        <w:rPr>
          <w:rFonts w:ascii="Arial" w:hAnsi="Arial" w:cs="Arial"/>
          <w:b/>
          <w:sz w:val="24"/>
          <w:szCs w:val="24"/>
        </w:rPr>
        <w:br w:type="page"/>
      </w:r>
    </w:p>
    <w:p w14:paraId="193141B4" w14:textId="69A22AE6" w:rsidR="00282DF6" w:rsidRPr="00A73810" w:rsidRDefault="00282DF6" w:rsidP="001C227A">
      <w:pPr>
        <w:numPr>
          <w:ilvl w:val="0"/>
          <w:numId w:val="15"/>
        </w:numPr>
        <w:rPr>
          <w:rFonts w:ascii="Arial" w:hAnsi="Arial" w:cs="Arial"/>
          <w:b/>
          <w:sz w:val="24"/>
          <w:szCs w:val="24"/>
        </w:rPr>
      </w:pPr>
      <w:r w:rsidRPr="00A73810">
        <w:rPr>
          <w:rFonts w:ascii="Arial" w:hAnsi="Arial" w:cs="Arial"/>
          <w:b/>
          <w:sz w:val="24"/>
          <w:szCs w:val="24"/>
        </w:rPr>
        <w:lastRenderedPageBreak/>
        <w:t>USABLE RESERVES</w:t>
      </w:r>
      <w:r w:rsidR="00BD4E44" w:rsidRPr="00A73810">
        <w:rPr>
          <w:rFonts w:ascii="Arial" w:hAnsi="Arial" w:cs="Arial"/>
          <w:b/>
          <w:sz w:val="24"/>
          <w:szCs w:val="24"/>
        </w:rPr>
        <w:t xml:space="preserve"> </w:t>
      </w:r>
      <w:r w:rsidR="00227647" w:rsidRPr="00A73810">
        <w:rPr>
          <w:rFonts w:ascii="Arial" w:hAnsi="Arial" w:cs="Arial"/>
          <w:b/>
          <w:sz w:val="24"/>
          <w:szCs w:val="24"/>
        </w:rPr>
        <w:t xml:space="preserve">  </w:t>
      </w:r>
    </w:p>
    <w:p w14:paraId="11B25C3A" w14:textId="77777777" w:rsidR="00282DF6" w:rsidRPr="000D756E" w:rsidRDefault="00282DF6" w:rsidP="00282DF6">
      <w:pPr>
        <w:rPr>
          <w:rFonts w:ascii="Arial" w:hAnsi="Arial" w:cs="Arial"/>
          <w:b/>
          <w:sz w:val="24"/>
          <w:szCs w:val="24"/>
        </w:rPr>
      </w:pPr>
    </w:p>
    <w:p w14:paraId="0288DBA4" w14:textId="77777777" w:rsidR="00282DF6" w:rsidRPr="000D756E" w:rsidRDefault="00282DF6" w:rsidP="00282DF6">
      <w:pPr>
        <w:rPr>
          <w:rFonts w:ascii="Arial" w:hAnsi="Arial" w:cs="Arial"/>
          <w:sz w:val="24"/>
          <w:szCs w:val="24"/>
        </w:rPr>
      </w:pPr>
      <w:r w:rsidRPr="000D756E">
        <w:rPr>
          <w:rFonts w:ascii="Arial" w:hAnsi="Arial" w:cs="Arial"/>
          <w:sz w:val="24"/>
          <w:szCs w:val="24"/>
        </w:rPr>
        <w:t xml:space="preserve">The Fire Authority sets aside specific amounts as reserves for future policy purposes or to cover contingencies. Reserves are created by appropriating amounts out of the General Fund Balance in the Movement in Reserves Statement. </w:t>
      </w:r>
    </w:p>
    <w:p w14:paraId="575EC964" w14:textId="77777777" w:rsidR="00282DF6" w:rsidRPr="000D756E" w:rsidRDefault="00282DF6" w:rsidP="00282DF6">
      <w:pPr>
        <w:rPr>
          <w:rFonts w:ascii="Arial" w:hAnsi="Arial" w:cs="Arial"/>
          <w:sz w:val="24"/>
          <w:szCs w:val="24"/>
        </w:rPr>
      </w:pPr>
      <w:r w:rsidRPr="000D756E">
        <w:rPr>
          <w:rFonts w:ascii="Arial" w:hAnsi="Arial" w:cs="Arial"/>
          <w:sz w:val="24"/>
          <w:szCs w:val="24"/>
        </w:rPr>
        <w:t>Movements in the Authority’s usable reserves are detailed in the Movement in Reserve</w:t>
      </w:r>
      <w:r w:rsidR="00535E16" w:rsidRPr="000D756E">
        <w:rPr>
          <w:rFonts w:ascii="Arial" w:hAnsi="Arial" w:cs="Arial"/>
          <w:sz w:val="24"/>
          <w:szCs w:val="24"/>
        </w:rPr>
        <w:t>s</w:t>
      </w:r>
      <w:r w:rsidRPr="000D756E">
        <w:rPr>
          <w:rFonts w:ascii="Arial" w:hAnsi="Arial" w:cs="Arial"/>
          <w:sz w:val="24"/>
          <w:szCs w:val="24"/>
        </w:rPr>
        <w:t xml:space="preserve"> Statement.</w:t>
      </w:r>
    </w:p>
    <w:p w14:paraId="6A60DE9D" w14:textId="77777777" w:rsidR="00282DF6" w:rsidRPr="000D756E" w:rsidRDefault="00282DF6" w:rsidP="00282DF6">
      <w:pPr>
        <w:rPr>
          <w:rFonts w:ascii="Arial" w:hAnsi="Arial" w:cs="Arial"/>
          <w:b/>
          <w:sz w:val="24"/>
          <w:szCs w:val="24"/>
        </w:rPr>
      </w:pPr>
    </w:p>
    <w:p w14:paraId="21492359" w14:textId="77777777" w:rsidR="00BD1EE7" w:rsidRPr="000D756E" w:rsidRDefault="00282DF6" w:rsidP="00282DF6">
      <w:pPr>
        <w:rPr>
          <w:rFonts w:ascii="Arial" w:hAnsi="Arial" w:cs="Arial"/>
          <w:b/>
          <w:sz w:val="24"/>
          <w:szCs w:val="24"/>
        </w:rPr>
      </w:pPr>
      <w:r w:rsidRPr="000D756E">
        <w:rPr>
          <w:rFonts w:ascii="Arial" w:hAnsi="Arial" w:cs="Arial"/>
          <w:b/>
          <w:sz w:val="24"/>
          <w:szCs w:val="24"/>
        </w:rPr>
        <w:t xml:space="preserve">Transfers To / From Earmarked Reserves </w:t>
      </w:r>
    </w:p>
    <w:p w14:paraId="0DDDDFE8" w14:textId="77777777" w:rsidR="00534027" w:rsidRPr="000D756E" w:rsidRDefault="00C16FCC" w:rsidP="002A7C01">
      <w:pPr>
        <w:ind w:left="360"/>
        <w:rPr>
          <w:rFonts w:ascii="Arial" w:hAnsi="Arial" w:cs="Arial"/>
          <w:b/>
          <w:sz w:val="24"/>
          <w:szCs w:val="24"/>
        </w:rPr>
      </w:pPr>
      <w:r w:rsidRPr="000D756E">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84"/>
        <w:gridCol w:w="1128"/>
        <w:gridCol w:w="1128"/>
        <w:gridCol w:w="984"/>
        <w:gridCol w:w="1128"/>
        <w:gridCol w:w="1128"/>
        <w:gridCol w:w="984"/>
      </w:tblGrid>
      <w:tr w:rsidR="006329E6" w:rsidRPr="000D756E" w14:paraId="3FFAEAAA" w14:textId="77777777" w:rsidTr="00FA6905">
        <w:tc>
          <w:tcPr>
            <w:tcW w:w="1555" w:type="dxa"/>
            <w:tcBorders>
              <w:top w:val="single" w:sz="4" w:space="0" w:color="auto"/>
              <w:left w:val="single" w:sz="4" w:space="0" w:color="auto"/>
              <w:bottom w:val="single" w:sz="4" w:space="0" w:color="auto"/>
              <w:right w:val="single" w:sz="4" w:space="0" w:color="auto"/>
            </w:tcBorders>
          </w:tcPr>
          <w:p w14:paraId="13E38134" w14:textId="77777777" w:rsidR="00A933F9" w:rsidRPr="000D756E" w:rsidRDefault="00A933F9" w:rsidP="00A933F9">
            <w:pPr>
              <w:rPr>
                <w:rFonts w:ascii="Arial" w:hAnsi="Arial" w:cs="Arial"/>
                <w:b/>
                <w:sz w:val="22"/>
              </w:rPr>
            </w:pPr>
          </w:p>
        </w:tc>
        <w:tc>
          <w:tcPr>
            <w:tcW w:w="984" w:type="dxa"/>
            <w:tcBorders>
              <w:top w:val="single" w:sz="4" w:space="0" w:color="auto"/>
              <w:left w:val="single" w:sz="4" w:space="0" w:color="auto"/>
              <w:bottom w:val="single" w:sz="4" w:space="0" w:color="auto"/>
              <w:right w:val="single" w:sz="4" w:space="0" w:color="auto"/>
            </w:tcBorders>
          </w:tcPr>
          <w:p w14:paraId="19E06B07" w14:textId="77777777" w:rsidR="00A933F9" w:rsidRPr="000D756E" w:rsidRDefault="00A933F9" w:rsidP="00A933F9">
            <w:pPr>
              <w:jc w:val="right"/>
              <w:rPr>
                <w:rFonts w:ascii="Arial" w:hAnsi="Arial" w:cs="Arial"/>
                <w:b/>
              </w:rPr>
            </w:pPr>
          </w:p>
          <w:p w14:paraId="5176BBCA" w14:textId="77777777" w:rsidR="00A933F9" w:rsidRPr="000D756E" w:rsidRDefault="00A933F9" w:rsidP="00A933F9">
            <w:pPr>
              <w:jc w:val="right"/>
              <w:rPr>
                <w:rFonts w:ascii="Arial" w:hAnsi="Arial" w:cs="Arial"/>
                <w:b/>
              </w:rPr>
            </w:pPr>
            <w:r w:rsidRPr="000D756E">
              <w:rPr>
                <w:rFonts w:ascii="Arial" w:hAnsi="Arial" w:cs="Arial"/>
                <w:b/>
              </w:rPr>
              <w:t xml:space="preserve">Balance </w:t>
            </w:r>
          </w:p>
          <w:p w14:paraId="530F22D4" w14:textId="6EA475C3" w:rsidR="00A933F9" w:rsidRPr="000D756E" w:rsidRDefault="00A933F9" w:rsidP="00A933F9">
            <w:pPr>
              <w:jc w:val="right"/>
              <w:rPr>
                <w:rFonts w:ascii="Arial" w:hAnsi="Arial" w:cs="Arial"/>
                <w:b/>
              </w:rPr>
            </w:pPr>
            <w:r w:rsidRPr="000D756E">
              <w:rPr>
                <w:rFonts w:ascii="Arial" w:hAnsi="Arial" w:cs="Arial"/>
                <w:b/>
              </w:rPr>
              <w:t>31 Mar 20</w:t>
            </w:r>
            <w:r w:rsidR="00E67167" w:rsidRPr="000D756E">
              <w:rPr>
                <w:rFonts w:ascii="Arial" w:hAnsi="Arial" w:cs="Arial"/>
                <w:b/>
              </w:rPr>
              <w:t>2</w:t>
            </w:r>
            <w:r w:rsidR="00AC0A91">
              <w:rPr>
                <w:rFonts w:ascii="Arial" w:hAnsi="Arial" w:cs="Arial"/>
                <w:b/>
              </w:rPr>
              <w:t>3</w:t>
            </w:r>
          </w:p>
          <w:p w14:paraId="06B7EED1" w14:textId="77777777" w:rsidR="00A933F9" w:rsidRPr="000D756E" w:rsidRDefault="00A933F9" w:rsidP="00A933F9">
            <w:pPr>
              <w:jc w:val="right"/>
              <w:rPr>
                <w:rFonts w:ascii="Arial" w:hAnsi="Arial" w:cs="Arial"/>
                <w:b/>
              </w:rPr>
            </w:pPr>
            <w:r w:rsidRPr="000D756E">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14:paraId="59518C8F" w14:textId="77777777" w:rsidR="00A933F9" w:rsidRPr="000D756E" w:rsidRDefault="00A933F9" w:rsidP="00A933F9">
            <w:pPr>
              <w:jc w:val="right"/>
              <w:rPr>
                <w:rFonts w:ascii="Arial" w:hAnsi="Arial" w:cs="Arial"/>
                <w:b/>
              </w:rPr>
            </w:pPr>
          </w:p>
          <w:p w14:paraId="288A327A" w14:textId="4378FBCB" w:rsidR="00A933F9" w:rsidRPr="000D756E" w:rsidRDefault="00A933F9" w:rsidP="00A933F9">
            <w:pPr>
              <w:jc w:val="right"/>
              <w:rPr>
                <w:rFonts w:ascii="Arial" w:hAnsi="Arial" w:cs="Arial"/>
                <w:b/>
              </w:rPr>
            </w:pPr>
            <w:r w:rsidRPr="000D756E">
              <w:rPr>
                <w:rFonts w:ascii="Arial" w:hAnsi="Arial" w:cs="Arial"/>
                <w:b/>
              </w:rPr>
              <w:t>Transfers Out 20</w:t>
            </w:r>
            <w:r w:rsidR="00E67167" w:rsidRPr="000D756E">
              <w:rPr>
                <w:rFonts w:ascii="Arial" w:hAnsi="Arial" w:cs="Arial"/>
                <w:b/>
              </w:rPr>
              <w:t>2</w:t>
            </w:r>
            <w:r w:rsidR="00AC0A91">
              <w:rPr>
                <w:rFonts w:ascii="Arial" w:hAnsi="Arial" w:cs="Arial"/>
                <w:b/>
              </w:rPr>
              <w:t>3/24</w:t>
            </w:r>
          </w:p>
          <w:p w14:paraId="58BF34B5" w14:textId="77777777" w:rsidR="00A933F9" w:rsidRPr="000D756E" w:rsidRDefault="00A933F9" w:rsidP="00A933F9">
            <w:pPr>
              <w:jc w:val="right"/>
              <w:rPr>
                <w:rFonts w:ascii="Arial" w:hAnsi="Arial" w:cs="Arial"/>
                <w:b/>
              </w:rPr>
            </w:pPr>
            <w:r w:rsidRPr="000D756E">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14:paraId="3A55DB0C" w14:textId="77777777" w:rsidR="00A933F9" w:rsidRPr="000D756E" w:rsidRDefault="00A933F9" w:rsidP="00A933F9">
            <w:pPr>
              <w:jc w:val="right"/>
              <w:rPr>
                <w:rFonts w:ascii="Arial" w:hAnsi="Arial" w:cs="Arial"/>
                <w:b/>
              </w:rPr>
            </w:pPr>
          </w:p>
          <w:p w14:paraId="0AC1264B" w14:textId="429DB0D1" w:rsidR="00A933F9" w:rsidRPr="000D756E" w:rsidRDefault="00A933F9" w:rsidP="00A933F9">
            <w:pPr>
              <w:jc w:val="right"/>
              <w:rPr>
                <w:rFonts w:ascii="Arial" w:hAnsi="Arial" w:cs="Arial"/>
                <w:b/>
              </w:rPr>
            </w:pPr>
            <w:r w:rsidRPr="000D756E">
              <w:rPr>
                <w:rFonts w:ascii="Arial" w:hAnsi="Arial" w:cs="Arial"/>
                <w:b/>
              </w:rPr>
              <w:t>Transfers In 20</w:t>
            </w:r>
            <w:r w:rsidR="00E67167" w:rsidRPr="000D756E">
              <w:rPr>
                <w:rFonts w:ascii="Arial" w:hAnsi="Arial" w:cs="Arial"/>
                <w:b/>
              </w:rPr>
              <w:t>2</w:t>
            </w:r>
            <w:r w:rsidR="00AC0A91">
              <w:rPr>
                <w:rFonts w:ascii="Arial" w:hAnsi="Arial" w:cs="Arial"/>
                <w:b/>
              </w:rPr>
              <w:t>3/24</w:t>
            </w:r>
          </w:p>
          <w:p w14:paraId="2EE6B0F0" w14:textId="77777777" w:rsidR="00A933F9" w:rsidRPr="000D756E" w:rsidRDefault="00A933F9" w:rsidP="00A933F9">
            <w:pPr>
              <w:jc w:val="right"/>
              <w:rPr>
                <w:rFonts w:ascii="Arial" w:hAnsi="Arial" w:cs="Arial"/>
                <w:b/>
              </w:rPr>
            </w:pPr>
            <w:r w:rsidRPr="000D756E">
              <w:rPr>
                <w:rFonts w:ascii="Arial" w:hAnsi="Arial" w:cs="Arial"/>
                <w:b/>
              </w:rPr>
              <w:t>£’000</w:t>
            </w:r>
          </w:p>
        </w:tc>
        <w:tc>
          <w:tcPr>
            <w:tcW w:w="984" w:type="dxa"/>
            <w:tcBorders>
              <w:top w:val="single" w:sz="4" w:space="0" w:color="auto"/>
              <w:left w:val="single" w:sz="4" w:space="0" w:color="auto"/>
              <w:bottom w:val="single" w:sz="4" w:space="0" w:color="auto"/>
              <w:right w:val="single" w:sz="4" w:space="0" w:color="auto"/>
            </w:tcBorders>
          </w:tcPr>
          <w:p w14:paraId="631EA8AC" w14:textId="77777777" w:rsidR="00A933F9" w:rsidRPr="000D756E" w:rsidRDefault="00A933F9" w:rsidP="00A933F9">
            <w:pPr>
              <w:jc w:val="right"/>
              <w:rPr>
                <w:rFonts w:ascii="Arial" w:hAnsi="Arial" w:cs="Arial"/>
                <w:b/>
              </w:rPr>
            </w:pPr>
          </w:p>
          <w:p w14:paraId="2A39C53F" w14:textId="77777777" w:rsidR="00A933F9" w:rsidRPr="000D756E" w:rsidRDefault="00A933F9" w:rsidP="00A933F9">
            <w:pPr>
              <w:jc w:val="right"/>
              <w:rPr>
                <w:rFonts w:ascii="Arial" w:hAnsi="Arial" w:cs="Arial"/>
                <w:b/>
              </w:rPr>
            </w:pPr>
            <w:r w:rsidRPr="000D756E">
              <w:rPr>
                <w:rFonts w:ascii="Arial" w:hAnsi="Arial" w:cs="Arial"/>
                <w:b/>
              </w:rPr>
              <w:t xml:space="preserve">Balance </w:t>
            </w:r>
          </w:p>
          <w:p w14:paraId="0550D7E9" w14:textId="0FB91280" w:rsidR="00A933F9" w:rsidRPr="000D756E" w:rsidRDefault="00A933F9" w:rsidP="00A933F9">
            <w:pPr>
              <w:jc w:val="right"/>
              <w:rPr>
                <w:rFonts w:ascii="Arial" w:hAnsi="Arial" w:cs="Arial"/>
                <w:b/>
              </w:rPr>
            </w:pPr>
            <w:r w:rsidRPr="000D756E">
              <w:rPr>
                <w:rFonts w:ascii="Arial" w:hAnsi="Arial" w:cs="Arial"/>
                <w:b/>
              </w:rPr>
              <w:t>31 Mar 20</w:t>
            </w:r>
            <w:r w:rsidR="00C754EF" w:rsidRPr="000D756E">
              <w:rPr>
                <w:rFonts w:ascii="Arial" w:hAnsi="Arial" w:cs="Arial"/>
                <w:b/>
              </w:rPr>
              <w:t>2</w:t>
            </w:r>
            <w:r w:rsidR="00AC0A91">
              <w:rPr>
                <w:rFonts w:ascii="Arial" w:hAnsi="Arial" w:cs="Arial"/>
                <w:b/>
              </w:rPr>
              <w:t>4</w:t>
            </w:r>
          </w:p>
          <w:p w14:paraId="0977A6D7" w14:textId="77777777" w:rsidR="00A933F9" w:rsidRPr="000D756E" w:rsidRDefault="00A933F9" w:rsidP="00A933F9">
            <w:pPr>
              <w:jc w:val="right"/>
              <w:rPr>
                <w:rFonts w:ascii="Arial" w:hAnsi="Arial" w:cs="Arial"/>
                <w:b/>
              </w:rPr>
            </w:pPr>
            <w:r w:rsidRPr="000D756E">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14:paraId="4E484B7D" w14:textId="77777777" w:rsidR="00A933F9" w:rsidRPr="000D756E" w:rsidRDefault="00A933F9" w:rsidP="00A933F9">
            <w:pPr>
              <w:jc w:val="right"/>
              <w:rPr>
                <w:rFonts w:ascii="Arial" w:hAnsi="Arial" w:cs="Arial"/>
                <w:b/>
              </w:rPr>
            </w:pPr>
          </w:p>
          <w:p w14:paraId="4684DBE4" w14:textId="5A323EEB" w:rsidR="00A933F9" w:rsidRPr="000D756E" w:rsidRDefault="00A933F9" w:rsidP="00A933F9">
            <w:pPr>
              <w:jc w:val="right"/>
              <w:rPr>
                <w:rFonts w:ascii="Arial" w:hAnsi="Arial" w:cs="Arial"/>
                <w:b/>
              </w:rPr>
            </w:pPr>
            <w:r w:rsidRPr="000D756E">
              <w:rPr>
                <w:rFonts w:ascii="Arial" w:hAnsi="Arial" w:cs="Arial"/>
                <w:b/>
              </w:rPr>
              <w:t>Transfers Out 20</w:t>
            </w:r>
            <w:r w:rsidR="00C754EF" w:rsidRPr="000D756E">
              <w:rPr>
                <w:rFonts w:ascii="Arial" w:hAnsi="Arial" w:cs="Arial"/>
                <w:b/>
              </w:rPr>
              <w:t>2</w:t>
            </w:r>
            <w:r w:rsidR="00AC0A91">
              <w:rPr>
                <w:rFonts w:ascii="Arial" w:hAnsi="Arial" w:cs="Arial"/>
                <w:b/>
              </w:rPr>
              <w:t>4/25</w:t>
            </w:r>
          </w:p>
          <w:p w14:paraId="71F49FBA" w14:textId="77777777" w:rsidR="00A933F9" w:rsidRPr="000D756E" w:rsidRDefault="00A933F9" w:rsidP="00A933F9">
            <w:pPr>
              <w:jc w:val="right"/>
              <w:rPr>
                <w:rFonts w:ascii="Arial" w:hAnsi="Arial" w:cs="Arial"/>
                <w:b/>
              </w:rPr>
            </w:pPr>
            <w:r w:rsidRPr="000D756E">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14:paraId="50A0A3F9" w14:textId="77777777" w:rsidR="00A933F9" w:rsidRPr="000D756E" w:rsidRDefault="00A933F9" w:rsidP="00A933F9">
            <w:pPr>
              <w:jc w:val="right"/>
              <w:rPr>
                <w:rFonts w:ascii="Arial" w:hAnsi="Arial" w:cs="Arial"/>
                <w:b/>
              </w:rPr>
            </w:pPr>
          </w:p>
          <w:p w14:paraId="3DBF559C" w14:textId="528456A2" w:rsidR="00A933F9" w:rsidRPr="000D756E" w:rsidRDefault="00A933F9" w:rsidP="00A933F9">
            <w:pPr>
              <w:jc w:val="right"/>
              <w:rPr>
                <w:rFonts w:ascii="Arial" w:hAnsi="Arial" w:cs="Arial"/>
                <w:b/>
              </w:rPr>
            </w:pPr>
            <w:r w:rsidRPr="000D756E">
              <w:rPr>
                <w:rFonts w:ascii="Arial" w:hAnsi="Arial" w:cs="Arial"/>
                <w:b/>
              </w:rPr>
              <w:t>Transfers In 20</w:t>
            </w:r>
            <w:r w:rsidR="00C754EF" w:rsidRPr="000D756E">
              <w:rPr>
                <w:rFonts w:ascii="Arial" w:hAnsi="Arial" w:cs="Arial"/>
                <w:b/>
              </w:rPr>
              <w:t>2</w:t>
            </w:r>
            <w:r w:rsidR="00AC0A91">
              <w:rPr>
                <w:rFonts w:ascii="Arial" w:hAnsi="Arial" w:cs="Arial"/>
                <w:b/>
              </w:rPr>
              <w:t>4/25</w:t>
            </w:r>
          </w:p>
          <w:p w14:paraId="70440674" w14:textId="77777777" w:rsidR="00A933F9" w:rsidRPr="000D756E" w:rsidRDefault="00A933F9" w:rsidP="00A933F9">
            <w:pPr>
              <w:jc w:val="right"/>
              <w:rPr>
                <w:rFonts w:ascii="Arial" w:hAnsi="Arial" w:cs="Arial"/>
                <w:b/>
              </w:rPr>
            </w:pPr>
            <w:r w:rsidRPr="000D756E">
              <w:rPr>
                <w:rFonts w:ascii="Arial" w:hAnsi="Arial" w:cs="Arial"/>
                <w:b/>
              </w:rPr>
              <w:t>£’000</w:t>
            </w:r>
          </w:p>
        </w:tc>
        <w:tc>
          <w:tcPr>
            <w:tcW w:w="984" w:type="dxa"/>
            <w:tcBorders>
              <w:top w:val="single" w:sz="4" w:space="0" w:color="auto"/>
              <w:left w:val="single" w:sz="4" w:space="0" w:color="auto"/>
              <w:bottom w:val="single" w:sz="4" w:space="0" w:color="auto"/>
              <w:right w:val="single" w:sz="4" w:space="0" w:color="auto"/>
            </w:tcBorders>
          </w:tcPr>
          <w:p w14:paraId="7CB88699" w14:textId="77777777" w:rsidR="00A933F9" w:rsidRPr="000D756E" w:rsidRDefault="00A933F9" w:rsidP="00A933F9">
            <w:pPr>
              <w:jc w:val="right"/>
              <w:rPr>
                <w:rFonts w:ascii="Arial" w:hAnsi="Arial" w:cs="Arial"/>
                <w:b/>
              </w:rPr>
            </w:pPr>
          </w:p>
          <w:p w14:paraId="4E10A287" w14:textId="77777777" w:rsidR="00A933F9" w:rsidRPr="000D756E" w:rsidRDefault="00A933F9" w:rsidP="00A933F9">
            <w:pPr>
              <w:jc w:val="right"/>
              <w:rPr>
                <w:rFonts w:ascii="Arial" w:hAnsi="Arial" w:cs="Arial"/>
                <w:b/>
              </w:rPr>
            </w:pPr>
            <w:r w:rsidRPr="000D756E">
              <w:rPr>
                <w:rFonts w:ascii="Arial" w:hAnsi="Arial" w:cs="Arial"/>
                <w:b/>
              </w:rPr>
              <w:t xml:space="preserve">Balance </w:t>
            </w:r>
          </w:p>
          <w:p w14:paraId="6F37F420" w14:textId="20AA0AE8" w:rsidR="00A933F9" w:rsidRPr="000D756E" w:rsidRDefault="00A933F9" w:rsidP="00A933F9">
            <w:pPr>
              <w:jc w:val="right"/>
              <w:rPr>
                <w:rFonts w:ascii="Arial" w:hAnsi="Arial" w:cs="Arial"/>
                <w:b/>
              </w:rPr>
            </w:pPr>
            <w:r w:rsidRPr="000D756E">
              <w:rPr>
                <w:rFonts w:ascii="Arial" w:hAnsi="Arial" w:cs="Arial"/>
                <w:b/>
              </w:rPr>
              <w:t>31 Mar 20</w:t>
            </w:r>
            <w:r w:rsidR="00FA6905" w:rsidRPr="000D756E">
              <w:rPr>
                <w:rFonts w:ascii="Arial" w:hAnsi="Arial" w:cs="Arial"/>
                <w:b/>
              </w:rPr>
              <w:t>2</w:t>
            </w:r>
            <w:r w:rsidR="00AC0A91">
              <w:rPr>
                <w:rFonts w:ascii="Arial" w:hAnsi="Arial" w:cs="Arial"/>
                <w:b/>
              </w:rPr>
              <w:t>5</w:t>
            </w:r>
          </w:p>
          <w:p w14:paraId="509D5CB8" w14:textId="77777777" w:rsidR="00A933F9" w:rsidRPr="000D756E" w:rsidRDefault="00A933F9" w:rsidP="00A933F9">
            <w:pPr>
              <w:jc w:val="right"/>
              <w:rPr>
                <w:rFonts w:ascii="Arial" w:hAnsi="Arial" w:cs="Arial"/>
                <w:b/>
              </w:rPr>
            </w:pPr>
            <w:r w:rsidRPr="000D756E">
              <w:rPr>
                <w:rFonts w:ascii="Arial" w:hAnsi="Arial" w:cs="Arial"/>
                <w:b/>
              </w:rPr>
              <w:t>£’000</w:t>
            </w:r>
          </w:p>
        </w:tc>
      </w:tr>
      <w:tr w:rsidR="00745901" w:rsidRPr="000D756E" w14:paraId="4AB79398" w14:textId="77777777" w:rsidTr="00FA6905">
        <w:tc>
          <w:tcPr>
            <w:tcW w:w="1555" w:type="dxa"/>
            <w:tcBorders>
              <w:top w:val="single" w:sz="4" w:space="0" w:color="auto"/>
              <w:left w:val="single" w:sz="4" w:space="0" w:color="auto"/>
              <w:bottom w:val="single" w:sz="4" w:space="0" w:color="auto"/>
              <w:right w:val="single" w:sz="4" w:space="0" w:color="auto"/>
            </w:tcBorders>
          </w:tcPr>
          <w:p w14:paraId="18096436" w14:textId="77777777" w:rsidR="00745901" w:rsidRPr="000D756E" w:rsidRDefault="00745901" w:rsidP="00745901">
            <w:pPr>
              <w:rPr>
                <w:rFonts w:ascii="Arial" w:hAnsi="Arial" w:cs="Arial"/>
              </w:rPr>
            </w:pPr>
            <w:r w:rsidRPr="000D756E">
              <w:rPr>
                <w:rFonts w:ascii="Arial" w:hAnsi="Arial" w:cs="Arial"/>
              </w:rPr>
              <w:t>General Fund Balance</w:t>
            </w:r>
          </w:p>
        </w:tc>
        <w:tc>
          <w:tcPr>
            <w:tcW w:w="984" w:type="dxa"/>
            <w:tcBorders>
              <w:top w:val="single" w:sz="4" w:space="0" w:color="auto"/>
              <w:left w:val="single" w:sz="4" w:space="0" w:color="auto"/>
              <w:bottom w:val="single" w:sz="4" w:space="0" w:color="auto"/>
              <w:right w:val="single" w:sz="4" w:space="0" w:color="auto"/>
            </w:tcBorders>
            <w:vAlign w:val="center"/>
          </w:tcPr>
          <w:p w14:paraId="3B562709" w14:textId="28A2F59A" w:rsidR="00745901" w:rsidRPr="000D756E" w:rsidRDefault="00745901" w:rsidP="00745901">
            <w:pPr>
              <w:jc w:val="right"/>
              <w:rPr>
                <w:rFonts w:ascii="Arial" w:hAnsi="Arial" w:cs="Arial"/>
                <w:b/>
                <w:sz w:val="22"/>
              </w:rPr>
            </w:pPr>
            <w:r w:rsidRPr="000D756E">
              <w:rPr>
                <w:rFonts w:ascii="Arial" w:hAnsi="Arial" w:cs="Arial"/>
                <w:b/>
                <w:sz w:val="22"/>
              </w:rPr>
              <w:t>1,723</w:t>
            </w:r>
          </w:p>
        </w:tc>
        <w:tc>
          <w:tcPr>
            <w:tcW w:w="1128" w:type="dxa"/>
            <w:tcBorders>
              <w:top w:val="single" w:sz="4" w:space="0" w:color="auto"/>
              <w:left w:val="single" w:sz="4" w:space="0" w:color="auto"/>
              <w:bottom w:val="single" w:sz="4" w:space="0" w:color="auto"/>
              <w:right w:val="single" w:sz="4" w:space="0" w:color="auto"/>
            </w:tcBorders>
            <w:vAlign w:val="center"/>
          </w:tcPr>
          <w:p w14:paraId="73245FAE" w14:textId="4ABE4EC8" w:rsidR="00745901" w:rsidRPr="000D756E" w:rsidRDefault="00745901" w:rsidP="00745901">
            <w:pPr>
              <w:jc w:val="right"/>
              <w:rPr>
                <w:rFonts w:ascii="Arial" w:hAnsi="Arial" w:cs="Arial"/>
                <w:sz w:val="22"/>
              </w:rPr>
            </w:pPr>
            <w:r w:rsidRPr="000D756E">
              <w:rPr>
                <w:rFonts w:ascii="Arial" w:hAnsi="Arial" w:cs="Arial"/>
                <w:sz w:val="22"/>
              </w:rPr>
              <w:t>-1,723</w:t>
            </w:r>
          </w:p>
        </w:tc>
        <w:tc>
          <w:tcPr>
            <w:tcW w:w="1128" w:type="dxa"/>
            <w:tcBorders>
              <w:top w:val="single" w:sz="4" w:space="0" w:color="auto"/>
              <w:left w:val="single" w:sz="4" w:space="0" w:color="auto"/>
              <w:bottom w:val="single" w:sz="4" w:space="0" w:color="auto"/>
              <w:right w:val="single" w:sz="4" w:space="0" w:color="auto"/>
            </w:tcBorders>
            <w:vAlign w:val="center"/>
          </w:tcPr>
          <w:p w14:paraId="55778720" w14:textId="3784CEAB" w:rsidR="00745901" w:rsidRPr="000D756E" w:rsidRDefault="00745901" w:rsidP="00745901">
            <w:pPr>
              <w:jc w:val="right"/>
              <w:rPr>
                <w:rFonts w:ascii="Arial" w:hAnsi="Arial" w:cs="Arial"/>
                <w:sz w:val="22"/>
              </w:rPr>
            </w:pPr>
            <w:r w:rsidRPr="000D756E">
              <w:rPr>
                <w:rFonts w:ascii="Arial" w:hAnsi="Arial" w:cs="Arial"/>
                <w:sz w:val="22"/>
              </w:rPr>
              <w:t>2,433</w:t>
            </w:r>
          </w:p>
        </w:tc>
        <w:tc>
          <w:tcPr>
            <w:tcW w:w="984" w:type="dxa"/>
            <w:tcBorders>
              <w:top w:val="single" w:sz="4" w:space="0" w:color="auto"/>
              <w:left w:val="single" w:sz="4" w:space="0" w:color="auto"/>
              <w:bottom w:val="single" w:sz="4" w:space="0" w:color="auto"/>
              <w:right w:val="single" w:sz="4" w:space="0" w:color="auto"/>
            </w:tcBorders>
            <w:vAlign w:val="center"/>
          </w:tcPr>
          <w:p w14:paraId="6587CCA3" w14:textId="0401B319" w:rsidR="00745901" w:rsidRPr="000D756E" w:rsidRDefault="00745901" w:rsidP="00745901">
            <w:pPr>
              <w:jc w:val="right"/>
              <w:rPr>
                <w:rFonts w:ascii="Arial" w:hAnsi="Arial" w:cs="Arial"/>
                <w:b/>
                <w:sz w:val="22"/>
              </w:rPr>
            </w:pPr>
            <w:r w:rsidRPr="000D756E">
              <w:rPr>
                <w:rFonts w:ascii="Arial" w:hAnsi="Arial" w:cs="Arial"/>
                <w:b/>
                <w:sz w:val="22"/>
              </w:rPr>
              <w:t>2,433</w:t>
            </w:r>
          </w:p>
        </w:tc>
        <w:tc>
          <w:tcPr>
            <w:tcW w:w="1128" w:type="dxa"/>
            <w:tcBorders>
              <w:top w:val="single" w:sz="4" w:space="0" w:color="auto"/>
              <w:left w:val="single" w:sz="4" w:space="0" w:color="auto"/>
              <w:bottom w:val="single" w:sz="4" w:space="0" w:color="auto"/>
              <w:right w:val="single" w:sz="4" w:space="0" w:color="auto"/>
            </w:tcBorders>
            <w:vAlign w:val="center"/>
          </w:tcPr>
          <w:p w14:paraId="25C26647" w14:textId="5598494E" w:rsidR="00745901" w:rsidRPr="000D756E" w:rsidRDefault="00C9768A" w:rsidP="00745901">
            <w:pPr>
              <w:jc w:val="right"/>
              <w:rPr>
                <w:rFonts w:ascii="Arial" w:hAnsi="Arial" w:cs="Arial"/>
                <w:sz w:val="22"/>
              </w:rPr>
            </w:pPr>
            <w:r>
              <w:rPr>
                <w:rFonts w:ascii="Arial" w:hAnsi="Arial" w:cs="Arial"/>
                <w:sz w:val="22"/>
              </w:rPr>
              <w:t>-2,433</w:t>
            </w:r>
          </w:p>
        </w:tc>
        <w:tc>
          <w:tcPr>
            <w:tcW w:w="1128" w:type="dxa"/>
            <w:tcBorders>
              <w:top w:val="single" w:sz="4" w:space="0" w:color="auto"/>
              <w:left w:val="single" w:sz="4" w:space="0" w:color="auto"/>
              <w:bottom w:val="single" w:sz="4" w:space="0" w:color="auto"/>
              <w:right w:val="single" w:sz="4" w:space="0" w:color="auto"/>
            </w:tcBorders>
            <w:vAlign w:val="center"/>
          </w:tcPr>
          <w:p w14:paraId="2DDA7C33" w14:textId="17F9D43B" w:rsidR="00745901" w:rsidRPr="000D756E" w:rsidRDefault="00C9768A" w:rsidP="00745901">
            <w:pPr>
              <w:jc w:val="right"/>
              <w:rPr>
                <w:rFonts w:ascii="Arial" w:hAnsi="Arial" w:cs="Arial"/>
                <w:sz w:val="22"/>
              </w:rPr>
            </w:pPr>
            <w:r>
              <w:rPr>
                <w:rFonts w:ascii="Arial" w:hAnsi="Arial" w:cs="Arial"/>
                <w:sz w:val="22"/>
              </w:rPr>
              <w:t>700</w:t>
            </w:r>
          </w:p>
        </w:tc>
        <w:tc>
          <w:tcPr>
            <w:tcW w:w="984" w:type="dxa"/>
            <w:tcBorders>
              <w:top w:val="single" w:sz="4" w:space="0" w:color="auto"/>
              <w:left w:val="single" w:sz="4" w:space="0" w:color="auto"/>
              <w:bottom w:val="single" w:sz="4" w:space="0" w:color="auto"/>
              <w:right w:val="single" w:sz="4" w:space="0" w:color="auto"/>
            </w:tcBorders>
            <w:vAlign w:val="center"/>
          </w:tcPr>
          <w:p w14:paraId="31DB722A" w14:textId="5967E7A1" w:rsidR="00745901" w:rsidRPr="000D756E" w:rsidRDefault="00DB5C4E" w:rsidP="00745901">
            <w:pPr>
              <w:jc w:val="right"/>
              <w:rPr>
                <w:rFonts w:ascii="Arial" w:hAnsi="Arial" w:cs="Arial"/>
                <w:b/>
                <w:sz w:val="22"/>
              </w:rPr>
            </w:pPr>
            <w:r>
              <w:rPr>
                <w:rFonts w:ascii="Arial" w:hAnsi="Arial" w:cs="Arial"/>
                <w:b/>
                <w:sz w:val="22"/>
              </w:rPr>
              <w:t>700</w:t>
            </w:r>
          </w:p>
        </w:tc>
      </w:tr>
      <w:tr w:rsidR="00745901" w:rsidRPr="000D756E" w14:paraId="1321B891" w14:textId="77777777" w:rsidTr="00FA6905">
        <w:tc>
          <w:tcPr>
            <w:tcW w:w="1555" w:type="dxa"/>
            <w:tcBorders>
              <w:top w:val="single" w:sz="4" w:space="0" w:color="auto"/>
              <w:left w:val="single" w:sz="4" w:space="0" w:color="auto"/>
              <w:bottom w:val="single" w:sz="4" w:space="0" w:color="auto"/>
              <w:right w:val="single" w:sz="4" w:space="0" w:color="auto"/>
            </w:tcBorders>
          </w:tcPr>
          <w:p w14:paraId="7FA5FBFE" w14:textId="77777777" w:rsidR="00745901" w:rsidRPr="000D756E" w:rsidRDefault="00745901" w:rsidP="00745901">
            <w:pPr>
              <w:rPr>
                <w:rFonts w:ascii="Arial" w:hAnsi="Arial" w:cs="Arial"/>
              </w:rPr>
            </w:pPr>
            <w:r w:rsidRPr="000D756E">
              <w:rPr>
                <w:rFonts w:ascii="Arial" w:hAnsi="Arial" w:cs="Arial"/>
              </w:rPr>
              <w:t>General Reserve</w:t>
            </w:r>
          </w:p>
        </w:tc>
        <w:tc>
          <w:tcPr>
            <w:tcW w:w="984" w:type="dxa"/>
            <w:tcBorders>
              <w:top w:val="single" w:sz="4" w:space="0" w:color="auto"/>
              <w:left w:val="single" w:sz="4" w:space="0" w:color="auto"/>
              <w:bottom w:val="single" w:sz="4" w:space="0" w:color="auto"/>
              <w:right w:val="single" w:sz="4" w:space="0" w:color="auto"/>
            </w:tcBorders>
            <w:vAlign w:val="center"/>
          </w:tcPr>
          <w:p w14:paraId="1DC12DF2" w14:textId="53704109" w:rsidR="00745901" w:rsidRPr="000D756E" w:rsidRDefault="00745901" w:rsidP="00745901">
            <w:pPr>
              <w:jc w:val="right"/>
              <w:rPr>
                <w:rFonts w:ascii="Arial" w:hAnsi="Arial" w:cs="Arial"/>
                <w:b/>
                <w:sz w:val="22"/>
              </w:rPr>
            </w:pPr>
            <w:r w:rsidRPr="000D756E">
              <w:rPr>
                <w:rFonts w:ascii="Arial" w:hAnsi="Arial" w:cs="Arial"/>
                <w:b/>
                <w:sz w:val="22"/>
              </w:rPr>
              <w:t>577</w:t>
            </w:r>
          </w:p>
        </w:tc>
        <w:tc>
          <w:tcPr>
            <w:tcW w:w="1128" w:type="dxa"/>
            <w:tcBorders>
              <w:top w:val="single" w:sz="4" w:space="0" w:color="auto"/>
              <w:left w:val="single" w:sz="4" w:space="0" w:color="auto"/>
              <w:bottom w:val="single" w:sz="4" w:space="0" w:color="auto"/>
              <w:right w:val="single" w:sz="4" w:space="0" w:color="auto"/>
            </w:tcBorders>
            <w:vAlign w:val="center"/>
          </w:tcPr>
          <w:p w14:paraId="170C5B55" w14:textId="6EA63FED" w:rsidR="00745901" w:rsidRPr="000D756E" w:rsidRDefault="00745901" w:rsidP="00745901">
            <w:pPr>
              <w:jc w:val="right"/>
              <w:rPr>
                <w:rFonts w:ascii="Arial" w:hAnsi="Arial" w:cs="Arial"/>
                <w:sz w:val="22"/>
              </w:rPr>
            </w:pPr>
            <w:r w:rsidRPr="000D756E">
              <w:rPr>
                <w:rFonts w:ascii="Arial" w:hAnsi="Arial" w:cs="Arial"/>
                <w:sz w:val="22"/>
              </w:rPr>
              <w:t>-121</w:t>
            </w:r>
          </w:p>
        </w:tc>
        <w:tc>
          <w:tcPr>
            <w:tcW w:w="1128" w:type="dxa"/>
            <w:tcBorders>
              <w:top w:val="single" w:sz="4" w:space="0" w:color="auto"/>
              <w:left w:val="single" w:sz="4" w:space="0" w:color="auto"/>
              <w:bottom w:val="single" w:sz="4" w:space="0" w:color="auto"/>
              <w:right w:val="single" w:sz="4" w:space="0" w:color="auto"/>
            </w:tcBorders>
            <w:vAlign w:val="center"/>
          </w:tcPr>
          <w:p w14:paraId="50188B1E" w14:textId="4A2A6B73" w:rsidR="00745901" w:rsidRPr="000D756E" w:rsidRDefault="00745901" w:rsidP="00745901">
            <w:pPr>
              <w:jc w:val="right"/>
              <w:rPr>
                <w:rFonts w:ascii="Arial" w:hAnsi="Arial" w:cs="Arial"/>
                <w:sz w:val="22"/>
              </w:rPr>
            </w:pPr>
            <w:r w:rsidRPr="000D756E">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589DE36D" w14:textId="4BA5B848" w:rsidR="00745901" w:rsidRPr="000D756E" w:rsidRDefault="00745901" w:rsidP="00745901">
            <w:pPr>
              <w:jc w:val="right"/>
              <w:rPr>
                <w:rFonts w:ascii="Arial" w:hAnsi="Arial" w:cs="Arial"/>
                <w:b/>
                <w:sz w:val="22"/>
              </w:rPr>
            </w:pPr>
            <w:r w:rsidRPr="000D756E">
              <w:rPr>
                <w:rFonts w:ascii="Arial" w:hAnsi="Arial" w:cs="Arial"/>
                <w:b/>
                <w:sz w:val="22"/>
              </w:rPr>
              <w:t>456</w:t>
            </w:r>
          </w:p>
        </w:tc>
        <w:tc>
          <w:tcPr>
            <w:tcW w:w="1128" w:type="dxa"/>
            <w:tcBorders>
              <w:top w:val="single" w:sz="4" w:space="0" w:color="auto"/>
              <w:left w:val="single" w:sz="4" w:space="0" w:color="auto"/>
              <w:bottom w:val="single" w:sz="4" w:space="0" w:color="auto"/>
              <w:right w:val="single" w:sz="4" w:space="0" w:color="auto"/>
            </w:tcBorders>
            <w:vAlign w:val="center"/>
          </w:tcPr>
          <w:p w14:paraId="3C2AAB28" w14:textId="022DFAD6" w:rsidR="00745901" w:rsidRPr="000D756E" w:rsidRDefault="00DB5C4E" w:rsidP="00745901">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4BF50036" w14:textId="1A02727C" w:rsidR="00745901" w:rsidRPr="000D756E" w:rsidRDefault="00DB5C4E" w:rsidP="00745901">
            <w:pPr>
              <w:jc w:val="right"/>
              <w:rPr>
                <w:rFonts w:ascii="Arial" w:hAnsi="Arial" w:cs="Arial"/>
                <w:sz w:val="22"/>
              </w:rPr>
            </w:pPr>
            <w:r>
              <w:rPr>
                <w:rFonts w:ascii="Arial" w:hAnsi="Arial" w:cs="Arial"/>
                <w:sz w:val="22"/>
              </w:rPr>
              <w:t>121</w:t>
            </w:r>
          </w:p>
        </w:tc>
        <w:tc>
          <w:tcPr>
            <w:tcW w:w="984" w:type="dxa"/>
            <w:tcBorders>
              <w:top w:val="single" w:sz="4" w:space="0" w:color="auto"/>
              <w:left w:val="single" w:sz="4" w:space="0" w:color="auto"/>
              <w:bottom w:val="single" w:sz="4" w:space="0" w:color="auto"/>
              <w:right w:val="single" w:sz="4" w:space="0" w:color="auto"/>
            </w:tcBorders>
            <w:vAlign w:val="center"/>
          </w:tcPr>
          <w:p w14:paraId="1115F9ED" w14:textId="56EC8A4C" w:rsidR="00745901" w:rsidRPr="000D756E" w:rsidRDefault="00DB5C4E" w:rsidP="00745901">
            <w:pPr>
              <w:jc w:val="right"/>
              <w:rPr>
                <w:rFonts w:ascii="Arial" w:hAnsi="Arial" w:cs="Arial"/>
                <w:b/>
                <w:sz w:val="22"/>
              </w:rPr>
            </w:pPr>
            <w:r>
              <w:rPr>
                <w:rFonts w:ascii="Arial" w:hAnsi="Arial" w:cs="Arial"/>
                <w:b/>
                <w:sz w:val="22"/>
              </w:rPr>
              <w:t>577</w:t>
            </w:r>
          </w:p>
        </w:tc>
      </w:tr>
      <w:tr w:rsidR="00745901" w:rsidRPr="000D756E" w14:paraId="00F7AC86" w14:textId="77777777" w:rsidTr="00FA6905">
        <w:trPr>
          <w:trHeight w:val="778"/>
        </w:trPr>
        <w:tc>
          <w:tcPr>
            <w:tcW w:w="1555" w:type="dxa"/>
            <w:tcBorders>
              <w:top w:val="single" w:sz="4" w:space="0" w:color="auto"/>
              <w:left w:val="single" w:sz="4" w:space="0" w:color="auto"/>
              <w:bottom w:val="single" w:sz="4" w:space="0" w:color="auto"/>
              <w:right w:val="single" w:sz="4" w:space="0" w:color="auto"/>
            </w:tcBorders>
          </w:tcPr>
          <w:p w14:paraId="0FB24063" w14:textId="77777777" w:rsidR="00745901" w:rsidRPr="000D756E" w:rsidRDefault="00745901" w:rsidP="00745901">
            <w:pPr>
              <w:rPr>
                <w:rFonts w:ascii="Arial" w:hAnsi="Arial" w:cs="Arial"/>
              </w:rPr>
            </w:pPr>
            <w:r w:rsidRPr="000D756E">
              <w:rPr>
                <w:rFonts w:ascii="Arial" w:hAnsi="Arial" w:cs="Arial"/>
              </w:rPr>
              <w:t>Major Projects Capital Reserve</w:t>
            </w:r>
          </w:p>
        </w:tc>
        <w:tc>
          <w:tcPr>
            <w:tcW w:w="984" w:type="dxa"/>
            <w:tcBorders>
              <w:top w:val="single" w:sz="4" w:space="0" w:color="auto"/>
              <w:left w:val="single" w:sz="4" w:space="0" w:color="auto"/>
              <w:bottom w:val="single" w:sz="4" w:space="0" w:color="auto"/>
              <w:right w:val="single" w:sz="4" w:space="0" w:color="auto"/>
            </w:tcBorders>
            <w:vAlign w:val="center"/>
          </w:tcPr>
          <w:p w14:paraId="445CC1CC" w14:textId="78AC116E" w:rsidR="00745901" w:rsidRPr="000D756E" w:rsidRDefault="00745901" w:rsidP="00745901">
            <w:pPr>
              <w:jc w:val="right"/>
              <w:rPr>
                <w:rFonts w:ascii="Arial" w:hAnsi="Arial" w:cs="Arial"/>
                <w:b/>
                <w:sz w:val="22"/>
              </w:rPr>
            </w:pPr>
            <w:r w:rsidRPr="000D756E">
              <w:rPr>
                <w:rFonts w:ascii="Arial" w:hAnsi="Arial" w:cs="Arial"/>
                <w:b/>
                <w:sz w:val="22"/>
              </w:rPr>
              <w:t>6,634</w:t>
            </w:r>
          </w:p>
        </w:tc>
        <w:tc>
          <w:tcPr>
            <w:tcW w:w="1128" w:type="dxa"/>
            <w:tcBorders>
              <w:top w:val="single" w:sz="4" w:space="0" w:color="auto"/>
              <w:left w:val="single" w:sz="4" w:space="0" w:color="auto"/>
              <w:bottom w:val="single" w:sz="4" w:space="0" w:color="auto"/>
              <w:right w:val="single" w:sz="4" w:space="0" w:color="auto"/>
            </w:tcBorders>
            <w:vAlign w:val="center"/>
          </w:tcPr>
          <w:p w14:paraId="358392EA" w14:textId="4A0B96B2" w:rsidR="00745901" w:rsidRPr="000D756E" w:rsidRDefault="00745901" w:rsidP="00745901">
            <w:pPr>
              <w:jc w:val="right"/>
              <w:rPr>
                <w:rFonts w:ascii="Arial" w:hAnsi="Arial" w:cs="Arial"/>
                <w:sz w:val="22"/>
              </w:rPr>
            </w:pPr>
            <w:r w:rsidRPr="000D756E">
              <w:rPr>
                <w:rFonts w:ascii="Arial" w:hAnsi="Arial" w:cs="Arial"/>
                <w:sz w:val="22"/>
              </w:rPr>
              <w:t>-975</w:t>
            </w:r>
          </w:p>
        </w:tc>
        <w:tc>
          <w:tcPr>
            <w:tcW w:w="1128" w:type="dxa"/>
            <w:tcBorders>
              <w:top w:val="single" w:sz="4" w:space="0" w:color="auto"/>
              <w:left w:val="single" w:sz="4" w:space="0" w:color="auto"/>
              <w:bottom w:val="single" w:sz="4" w:space="0" w:color="auto"/>
              <w:right w:val="single" w:sz="4" w:space="0" w:color="auto"/>
            </w:tcBorders>
            <w:vAlign w:val="center"/>
          </w:tcPr>
          <w:p w14:paraId="13A7F2C0" w14:textId="734782BD" w:rsidR="00745901" w:rsidRPr="000D756E" w:rsidRDefault="00745901" w:rsidP="00745901">
            <w:pPr>
              <w:jc w:val="right"/>
              <w:rPr>
                <w:rFonts w:ascii="Arial" w:hAnsi="Arial" w:cs="Arial"/>
                <w:sz w:val="22"/>
              </w:rPr>
            </w:pPr>
            <w:r w:rsidRPr="000D756E">
              <w:rPr>
                <w:rFonts w:ascii="Arial" w:hAnsi="Arial" w:cs="Arial"/>
                <w:sz w:val="22"/>
              </w:rPr>
              <w:t>1,154</w:t>
            </w:r>
          </w:p>
        </w:tc>
        <w:tc>
          <w:tcPr>
            <w:tcW w:w="984" w:type="dxa"/>
            <w:tcBorders>
              <w:top w:val="single" w:sz="4" w:space="0" w:color="auto"/>
              <w:left w:val="single" w:sz="4" w:space="0" w:color="auto"/>
              <w:bottom w:val="single" w:sz="4" w:space="0" w:color="auto"/>
              <w:right w:val="single" w:sz="4" w:space="0" w:color="auto"/>
            </w:tcBorders>
            <w:vAlign w:val="center"/>
          </w:tcPr>
          <w:p w14:paraId="2D187E20" w14:textId="6303BF80" w:rsidR="00745901" w:rsidRPr="000D756E" w:rsidRDefault="00745901" w:rsidP="00745901">
            <w:pPr>
              <w:jc w:val="right"/>
              <w:rPr>
                <w:rFonts w:ascii="Arial" w:hAnsi="Arial" w:cs="Arial"/>
                <w:b/>
                <w:sz w:val="22"/>
              </w:rPr>
            </w:pPr>
            <w:r w:rsidRPr="000D756E">
              <w:rPr>
                <w:rFonts w:ascii="Arial" w:hAnsi="Arial" w:cs="Arial"/>
                <w:b/>
                <w:sz w:val="22"/>
              </w:rPr>
              <w:t>6,813</w:t>
            </w:r>
          </w:p>
        </w:tc>
        <w:tc>
          <w:tcPr>
            <w:tcW w:w="1128" w:type="dxa"/>
            <w:tcBorders>
              <w:top w:val="single" w:sz="4" w:space="0" w:color="auto"/>
              <w:left w:val="single" w:sz="4" w:space="0" w:color="auto"/>
              <w:bottom w:val="single" w:sz="4" w:space="0" w:color="auto"/>
              <w:right w:val="single" w:sz="4" w:space="0" w:color="auto"/>
            </w:tcBorders>
            <w:vAlign w:val="center"/>
          </w:tcPr>
          <w:p w14:paraId="1FAB6B51" w14:textId="4AEF0A32" w:rsidR="00745901" w:rsidRPr="000D756E" w:rsidRDefault="00F90929" w:rsidP="00745901">
            <w:pPr>
              <w:jc w:val="right"/>
              <w:rPr>
                <w:rFonts w:ascii="Arial" w:hAnsi="Arial" w:cs="Arial"/>
                <w:sz w:val="22"/>
              </w:rPr>
            </w:pPr>
            <w:r>
              <w:rPr>
                <w:rFonts w:ascii="Arial" w:hAnsi="Arial" w:cs="Arial"/>
                <w:sz w:val="22"/>
              </w:rPr>
              <w:t>-3,962</w:t>
            </w:r>
          </w:p>
        </w:tc>
        <w:tc>
          <w:tcPr>
            <w:tcW w:w="1128" w:type="dxa"/>
            <w:tcBorders>
              <w:top w:val="single" w:sz="4" w:space="0" w:color="auto"/>
              <w:left w:val="single" w:sz="4" w:space="0" w:color="auto"/>
              <w:bottom w:val="single" w:sz="4" w:space="0" w:color="auto"/>
              <w:right w:val="single" w:sz="4" w:space="0" w:color="auto"/>
            </w:tcBorders>
            <w:vAlign w:val="center"/>
          </w:tcPr>
          <w:p w14:paraId="0E40C62A" w14:textId="3CA7443F" w:rsidR="00745901" w:rsidRPr="000D756E" w:rsidRDefault="00F90929" w:rsidP="00745901">
            <w:pPr>
              <w:jc w:val="right"/>
              <w:rPr>
                <w:rFonts w:ascii="Arial" w:hAnsi="Arial" w:cs="Arial"/>
                <w:sz w:val="22"/>
              </w:rPr>
            </w:pPr>
            <w:r>
              <w:rPr>
                <w:rFonts w:ascii="Arial" w:hAnsi="Arial" w:cs="Arial"/>
                <w:sz w:val="22"/>
              </w:rPr>
              <w:t>2,0</w:t>
            </w:r>
            <w:r w:rsidR="00C678DF">
              <w:rPr>
                <w:rFonts w:ascii="Arial" w:hAnsi="Arial" w:cs="Arial"/>
                <w:sz w:val="22"/>
              </w:rPr>
              <w:t>40</w:t>
            </w:r>
          </w:p>
        </w:tc>
        <w:tc>
          <w:tcPr>
            <w:tcW w:w="984" w:type="dxa"/>
            <w:tcBorders>
              <w:top w:val="single" w:sz="4" w:space="0" w:color="auto"/>
              <w:left w:val="single" w:sz="4" w:space="0" w:color="auto"/>
              <w:bottom w:val="single" w:sz="4" w:space="0" w:color="auto"/>
              <w:right w:val="single" w:sz="4" w:space="0" w:color="auto"/>
            </w:tcBorders>
            <w:vAlign w:val="center"/>
          </w:tcPr>
          <w:p w14:paraId="65FEF486" w14:textId="1A44718E" w:rsidR="00745901" w:rsidRPr="000D756E" w:rsidRDefault="00611D91" w:rsidP="00745901">
            <w:pPr>
              <w:jc w:val="right"/>
              <w:rPr>
                <w:rFonts w:ascii="Arial" w:hAnsi="Arial" w:cs="Arial"/>
                <w:b/>
                <w:sz w:val="22"/>
              </w:rPr>
            </w:pPr>
            <w:r>
              <w:rPr>
                <w:rFonts w:ascii="Arial" w:hAnsi="Arial" w:cs="Arial"/>
                <w:b/>
                <w:sz w:val="22"/>
              </w:rPr>
              <w:t>4,89</w:t>
            </w:r>
            <w:r w:rsidR="00C678DF">
              <w:rPr>
                <w:rFonts w:ascii="Arial" w:hAnsi="Arial" w:cs="Arial"/>
                <w:b/>
                <w:sz w:val="22"/>
              </w:rPr>
              <w:t>1</w:t>
            </w:r>
          </w:p>
        </w:tc>
      </w:tr>
      <w:tr w:rsidR="00745901" w:rsidRPr="000D756E" w14:paraId="3712D71F" w14:textId="77777777" w:rsidTr="00FA6905">
        <w:tc>
          <w:tcPr>
            <w:tcW w:w="1555" w:type="dxa"/>
            <w:tcBorders>
              <w:top w:val="single" w:sz="4" w:space="0" w:color="auto"/>
              <w:left w:val="single" w:sz="4" w:space="0" w:color="auto"/>
              <w:bottom w:val="single" w:sz="4" w:space="0" w:color="auto"/>
              <w:right w:val="single" w:sz="4" w:space="0" w:color="auto"/>
            </w:tcBorders>
          </w:tcPr>
          <w:p w14:paraId="567EF0F4" w14:textId="77777777" w:rsidR="00745901" w:rsidRPr="000D756E" w:rsidRDefault="00745901" w:rsidP="00745901">
            <w:pPr>
              <w:rPr>
                <w:rFonts w:ascii="Arial" w:hAnsi="Arial" w:cs="Arial"/>
              </w:rPr>
            </w:pPr>
            <w:r w:rsidRPr="000D756E">
              <w:rPr>
                <w:rFonts w:ascii="Arial" w:hAnsi="Arial" w:cs="Arial"/>
              </w:rPr>
              <w:t>Extreme Weather Reserve</w:t>
            </w:r>
          </w:p>
        </w:tc>
        <w:tc>
          <w:tcPr>
            <w:tcW w:w="984" w:type="dxa"/>
            <w:tcBorders>
              <w:top w:val="single" w:sz="4" w:space="0" w:color="auto"/>
              <w:left w:val="single" w:sz="4" w:space="0" w:color="auto"/>
              <w:bottom w:val="single" w:sz="4" w:space="0" w:color="auto"/>
              <w:right w:val="single" w:sz="4" w:space="0" w:color="auto"/>
            </w:tcBorders>
            <w:vAlign w:val="center"/>
          </w:tcPr>
          <w:p w14:paraId="5EEEB71A" w14:textId="3F305D1B" w:rsidR="00745901" w:rsidRPr="000D756E" w:rsidRDefault="00745901" w:rsidP="00745901">
            <w:pPr>
              <w:jc w:val="right"/>
              <w:rPr>
                <w:rFonts w:ascii="Arial" w:hAnsi="Arial" w:cs="Arial"/>
                <w:b/>
                <w:sz w:val="22"/>
              </w:rPr>
            </w:pPr>
            <w:r w:rsidRPr="000D756E">
              <w:rPr>
                <w:rFonts w:ascii="Arial" w:hAnsi="Arial" w:cs="Arial"/>
                <w:b/>
                <w:sz w:val="22"/>
              </w:rPr>
              <w:t>219</w:t>
            </w:r>
          </w:p>
        </w:tc>
        <w:tc>
          <w:tcPr>
            <w:tcW w:w="1128" w:type="dxa"/>
            <w:tcBorders>
              <w:top w:val="single" w:sz="4" w:space="0" w:color="auto"/>
              <w:left w:val="single" w:sz="4" w:space="0" w:color="auto"/>
              <w:bottom w:val="single" w:sz="4" w:space="0" w:color="auto"/>
              <w:right w:val="single" w:sz="4" w:space="0" w:color="auto"/>
            </w:tcBorders>
            <w:vAlign w:val="center"/>
          </w:tcPr>
          <w:p w14:paraId="06F340F5" w14:textId="27EE7C36" w:rsidR="00745901" w:rsidRPr="000D756E" w:rsidRDefault="00745901" w:rsidP="00745901">
            <w:pPr>
              <w:jc w:val="right"/>
              <w:rPr>
                <w:rFonts w:ascii="Arial" w:hAnsi="Arial" w:cs="Arial"/>
                <w:sz w:val="22"/>
              </w:rPr>
            </w:pPr>
            <w:r w:rsidRPr="000D756E">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3D0FA8AF" w14:textId="78C4D74A" w:rsidR="00745901" w:rsidRPr="000D756E" w:rsidRDefault="00745901" w:rsidP="00745901">
            <w:pPr>
              <w:jc w:val="right"/>
              <w:rPr>
                <w:rFonts w:ascii="Arial" w:hAnsi="Arial" w:cs="Arial"/>
                <w:sz w:val="22"/>
              </w:rPr>
            </w:pPr>
            <w:r w:rsidRPr="000D756E">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1CC70576" w14:textId="161D6C40" w:rsidR="00745901" w:rsidRPr="000D756E" w:rsidRDefault="00745901" w:rsidP="00745901">
            <w:pPr>
              <w:jc w:val="right"/>
              <w:rPr>
                <w:rFonts w:ascii="Arial" w:hAnsi="Arial" w:cs="Arial"/>
                <w:b/>
                <w:sz w:val="22"/>
              </w:rPr>
            </w:pPr>
            <w:r w:rsidRPr="000D756E">
              <w:rPr>
                <w:rFonts w:ascii="Arial" w:hAnsi="Arial" w:cs="Arial"/>
                <w:b/>
                <w:sz w:val="22"/>
              </w:rPr>
              <w:t>219</w:t>
            </w:r>
          </w:p>
        </w:tc>
        <w:tc>
          <w:tcPr>
            <w:tcW w:w="1128" w:type="dxa"/>
            <w:tcBorders>
              <w:top w:val="single" w:sz="4" w:space="0" w:color="auto"/>
              <w:left w:val="single" w:sz="4" w:space="0" w:color="auto"/>
              <w:bottom w:val="single" w:sz="4" w:space="0" w:color="auto"/>
              <w:right w:val="single" w:sz="4" w:space="0" w:color="auto"/>
            </w:tcBorders>
            <w:vAlign w:val="center"/>
          </w:tcPr>
          <w:p w14:paraId="1A294913" w14:textId="01D4F877" w:rsidR="00745901" w:rsidRPr="000D756E" w:rsidRDefault="00611D91" w:rsidP="00745901">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3CE52323" w14:textId="624CA5A6" w:rsidR="00745901" w:rsidRPr="000D756E" w:rsidRDefault="00611D91" w:rsidP="00745901">
            <w:pPr>
              <w:jc w:val="right"/>
              <w:rPr>
                <w:rFonts w:ascii="Arial" w:hAnsi="Arial" w:cs="Arial"/>
                <w:sz w:val="22"/>
              </w:rPr>
            </w:pPr>
            <w:r>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3D81C943" w14:textId="6D87ECD0" w:rsidR="00745901" w:rsidRPr="000D756E" w:rsidRDefault="00611D91" w:rsidP="00745901">
            <w:pPr>
              <w:jc w:val="right"/>
              <w:rPr>
                <w:rFonts w:ascii="Arial" w:hAnsi="Arial" w:cs="Arial"/>
                <w:b/>
                <w:sz w:val="22"/>
              </w:rPr>
            </w:pPr>
            <w:r>
              <w:rPr>
                <w:rFonts w:ascii="Arial" w:hAnsi="Arial" w:cs="Arial"/>
                <w:b/>
                <w:sz w:val="22"/>
              </w:rPr>
              <w:t>219</w:t>
            </w:r>
          </w:p>
        </w:tc>
      </w:tr>
      <w:tr w:rsidR="00745901" w:rsidRPr="000D756E" w14:paraId="7C0EACBB" w14:textId="77777777" w:rsidTr="00FA6905">
        <w:trPr>
          <w:trHeight w:val="660"/>
        </w:trPr>
        <w:tc>
          <w:tcPr>
            <w:tcW w:w="1555" w:type="dxa"/>
            <w:tcBorders>
              <w:top w:val="single" w:sz="4" w:space="0" w:color="auto"/>
              <w:left w:val="single" w:sz="4" w:space="0" w:color="auto"/>
              <w:bottom w:val="single" w:sz="4" w:space="0" w:color="auto"/>
              <w:right w:val="single" w:sz="4" w:space="0" w:color="auto"/>
            </w:tcBorders>
          </w:tcPr>
          <w:p w14:paraId="68D39A8C" w14:textId="77777777" w:rsidR="00745901" w:rsidRPr="000D756E" w:rsidRDefault="00745901" w:rsidP="00745901">
            <w:pPr>
              <w:rPr>
                <w:rFonts w:ascii="Arial" w:hAnsi="Arial" w:cs="Arial"/>
              </w:rPr>
            </w:pPr>
            <w:r w:rsidRPr="000D756E">
              <w:rPr>
                <w:rFonts w:ascii="Arial" w:hAnsi="Arial" w:cs="Arial"/>
              </w:rPr>
              <w:t>Pensions and Other Staff Issues Reserve</w:t>
            </w:r>
          </w:p>
        </w:tc>
        <w:tc>
          <w:tcPr>
            <w:tcW w:w="984" w:type="dxa"/>
            <w:tcBorders>
              <w:top w:val="single" w:sz="4" w:space="0" w:color="auto"/>
              <w:left w:val="single" w:sz="4" w:space="0" w:color="auto"/>
              <w:bottom w:val="single" w:sz="4" w:space="0" w:color="auto"/>
              <w:right w:val="single" w:sz="4" w:space="0" w:color="auto"/>
            </w:tcBorders>
            <w:vAlign w:val="center"/>
          </w:tcPr>
          <w:p w14:paraId="18DCE858" w14:textId="6E5D9959" w:rsidR="00745901" w:rsidRPr="000D756E" w:rsidRDefault="00745901" w:rsidP="00745901">
            <w:pPr>
              <w:jc w:val="right"/>
              <w:rPr>
                <w:rFonts w:ascii="Arial" w:hAnsi="Arial" w:cs="Arial"/>
                <w:b/>
                <w:sz w:val="22"/>
              </w:rPr>
            </w:pPr>
            <w:r w:rsidRPr="000D756E">
              <w:rPr>
                <w:rFonts w:ascii="Arial" w:hAnsi="Arial" w:cs="Arial"/>
                <w:b/>
                <w:sz w:val="22"/>
              </w:rPr>
              <w:t>687</w:t>
            </w:r>
          </w:p>
        </w:tc>
        <w:tc>
          <w:tcPr>
            <w:tcW w:w="1128" w:type="dxa"/>
            <w:tcBorders>
              <w:top w:val="single" w:sz="4" w:space="0" w:color="auto"/>
              <w:left w:val="single" w:sz="4" w:space="0" w:color="auto"/>
              <w:bottom w:val="single" w:sz="4" w:space="0" w:color="auto"/>
              <w:right w:val="single" w:sz="4" w:space="0" w:color="auto"/>
            </w:tcBorders>
            <w:vAlign w:val="center"/>
          </w:tcPr>
          <w:p w14:paraId="6DCA38A1" w14:textId="421D0FB9" w:rsidR="00745901" w:rsidRPr="000D756E" w:rsidRDefault="00745901" w:rsidP="00745901">
            <w:pPr>
              <w:jc w:val="right"/>
              <w:rPr>
                <w:rFonts w:ascii="Arial" w:hAnsi="Arial" w:cs="Arial"/>
                <w:sz w:val="22"/>
              </w:rPr>
            </w:pPr>
            <w:r w:rsidRPr="000D756E">
              <w:rPr>
                <w:rFonts w:ascii="Arial" w:hAnsi="Arial" w:cs="Arial"/>
                <w:sz w:val="22"/>
              </w:rPr>
              <w:t>-10</w:t>
            </w:r>
          </w:p>
        </w:tc>
        <w:tc>
          <w:tcPr>
            <w:tcW w:w="1128" w:type="dxa"/>
            <w:tcBorders>
              <w:top w:val="single" w:sz="4" w:space="0" w:color="auto"/>
              <w:left w:val="single" w:sz="4" w:space="0" w:color="auto"/>
              <w:bottom w:val="single" w:sz="4" w:space="0" w:color="auto"/>
              <w:right w:val="single" w:sz="4" w:space="0" w:color="auto"/>
            </w:tcBorders>
            <w:vAlign w:val="center"/>
          </w:tcPr>
          <w:p w14:paraId="01EB6F54" w14:textId="0AAD411D" w:rsidR="00745901" w:rsidRPr="000D756E" w:rsidRDefault="00745901" w:rsidP="00745901">
            <w:pPr>
              <w:jc w:val="right"/>
              <w:rPr>
                <w:rFonts w:ascii="Arial" w:hAnsi="Arial" w:cs="Arial"/>
                <w:sz w:val="22"/>
              </w:rPr>
            </w:pPr>
            <w:r w:rsidRPr="000D756E">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401AA04A" w14:textId="44EB88A7" w:rsidR="00745901" w:rsidRPr="000D756E" w:rsidRDefault="00745901" w:rsidP="00745901">
            <w:pPr>
              <w:jc w:val="right"/>
              <w:rPr>
                <w:rFonts w:ascii="Arial" w:hAnsi="Arial" w:cs="Arial"/>
                <w:b/>
                <w:sz w:val="22"/>
              </w:rPr>
            </w:pPr>
            <w:r w:rsidRPr="000D756E">
              <w:rPr>
                <w:rFonts w:ascii="Arial" w:hAnsi="Arial" w:cs="Arial"/>
                <w:b/>
                <w:sz w:val="22"/>
              </w:rPr>
              <w:t>677</w:t>
            </w:r>
          </w:p>
        </w:tc>
        <w:tc>
          <w:tcPr>
            <w:tcW w:w="1128" w:type="dxa"/>
            <w:tcBorders>
              <w:top w:val="single" w:sz="4" w:space="0" w:color="auto"/>
              <w:left w:val="single" w:sz="4" w:space="0" w:color="auto"/>
              <w:bottom w:val="single" w:sz="4" w:space="0" w:color="auto"/>
              <w:right w:val="single" w:sz="4" w:space="0" w:color="auto"/>
            </w:tcBorders>
            <w:vAlign w:val="center"/>
          </w:tcPr>
          <w:p w14:paraId="58840842" w14:textId="0590C28E" w:rsidR="00745901" w:rsidRPr="000D756E" w:rsidRDefault="00611D91" w:rsidP="00745901">
            <w:pPr>
              <w:jc w:val="right"/>
              <w:rPr>
                <w:rFonts w:ascii="Arial" w:hAnsi="Arial" w:cs="Arial"/>
                <w:sz w:val="22"/>
              </w:rPr>
            </w:pPr>
            <w:r>
              <w:rPr>
                <w:rFonts w:ascii="Arial" w:hAnsi="Arial" w:cs="Arial"/>
                <w:sz w:val="22"/>
              </w:rPr>
              <w:t>-138</w:t>
            </w:r>
          </w:p>
        </w:tc>
        <w:tc>
          <w:tcPr>
            <w:tcW w:w="1128" w:type="dxa"/>
            <w:tcBorders>
              <w:top w:val="single" w:sz="4" w:space="0" w:color="auto"/>
              <w:left w:val="single" w:sz="4" w:space="0" w:color="auto"/>
              <w:bottom w:val="single" w:sz="4" w:space="0" w:color="auto"/>
              <w:right w:val="single" w:sz="4" w:space="0" w:color="auto"/>
            </w:tcBorders>
            <w:vAlign w:val="center"/>
          </w:tcPr>
          <w:p w14:paraId="5C3DA07F" w14:textId="40B0A943" w:rsidR="00745901" w:rsidRPr="000D756E" w:rsidRDefault="00611D91" w:rsidP="00745901">
            <w:pPr>
              <w:jc w:val="right"/>
              <w:rPr>
                <w:rFonts w:ascii="Arial" w:hAnsi="Arial" w:cs="Arial"/>
                <w:sz w:val="22"/>
              </w:rPr>
            </w:pPr>
            <w:r>
              <w:rPr>
                <w:rFonts w:ascii="Arial" w:hAnsi="Arial" w:cs="Arial"/>
                <w:sz w:val="22"/>
              </w:rPr>
              <w:t>1,382</w:t>
            </w:r>
          </w:p>
        </w:tc>
        <w:tc>
          <w:tcPr>
            <w:tcW w:w="984" w:type="dxa"/>
            <w:tcBorders>
              <w:top w:val="single" w:sz="4" w:space="0" w:color="auto"/>
              <w:left w:val="single" w:sz="4" w:space="0" w:color="auto"/>
              <w:bottom w:val="single" w:sz="4" w:space="0" w:color="auto"/>
              <w:right w:val="single" w:sz="4" w:space="0" w:color="auto"/>
            </w:tcBorders>
            <w:vAlign w:val="center"/>
          </w:tcPr>
          <w:p w14:paraId="4342FDC8" w14:textId="08F7B917" w:rsidR="00745901" w:rsidRPr="000D756E" w:rsidRDefault="006A289A" w:rsidP="00745901">
            <w:pPr>
              <w:jc w:val="right"/>
              <w:rPr>
                <w:rFonts w:ascii="Arial" w:hAnsi="Arial" w:cs="Arial"/>
                <w:b/>
                <w:sz w:val="22"/>
              </w:rPr>
            </w:pPr>
            <w:r>
              <w:rPr>
                <w:rFonts w:ascii="Arial" w:hAnsi="Arial" w:cs="Arial"/>
                <w:b/>
                <w:sz w:val="22"/>
              </w:rPr>
              <w:t>1,921</w:t>
            </w:r>
          </w:p>
        </w:tc>
      </w:tr>
      <w:tr w:rsidR="00745901" w:rsidRPr="000D756E" w14:paraId="44E92684" w14:textId="77777777" w:rsidTr="00FA6905">
        <w:tc>
          <w:tcPr>
            <w:tcW w:w="1555" w:type="dxa"/>
            <w:tcBorders>
              <w:top w:val="single" w:sz="4" w:space="0" w:color="auto"/>
              <w:left w:val="single" w:sz="4" w:space="0" w:color="auto"/>
              <w:bottom w:val="single" w:sz="4" w:space="0" w:color="auto"/>
              <w:right w:val="single" w:sz="4" w:space="0" w:color="auto"/>
            </w:tcBorders>
          </w:tcPr>
          <w:p w14:paraId="5A058249" w14:textId="77777777" w:rsidR="00745901" w:rsidRPr="000D756E" w:rsidRDefault="00745901" w:rsidP="00745901">
            <w:pPr>
              <w:rPr>
                <w:rFonts w:ascii="Arial" w:hAnsi="Arial" w:cs="Arial"/>
              </w:rPr>
            </w:pPr>
            <w:r w:rsidRPr="000D756E">
              <w:rPr>
                <w:rFonts w:ascii="Arial" w:hAnsi="Arial" w:cs="Arial"/>
              </w:rPr>
              <w:t>ICT</w:t>
            </w:r>
          </w:p>
          <w:p w14:paraId="20640A35" w14:textId="77777777" w:rsidR="00745901" w:rsidRPr="000D756E" w:rsidRDefault="00745901" w:rsidP="00745901">
            <w:pPr>
              <w:rPr>
                <w:rFonts w:ascii="Arial" w:hAnsi="Arial" w:cs="Arial"/>
              </w:rPr>
            </w:pPr>
            <w:r w:rsidRPr="000D756E">
              <w:rPr>
                <w:rFonts w:ascii="Arial" w:hAnsi="Arial" w:cs="Arial"/>
              </w:rPr>
              <w:t>Reserve</w:t>
            </w:r>
          </w:p>
        </w:tc>
        <w:tc>
          <w:tcPr>
            <w:tcW w:w="984" w:type="dxa"/>
            <w:tcBorders>
              <w:top w:val="single" w:sz="4" w:space="0" w:color="auto"/>
              <w:left w:val="single" w:sz="4" w:space="0" w:color="auto"/>
              <w:bottom w:val="single" w:sz="4" w:space="0" w:color="auto"/>
              <w:right w:val="single" w:sz="4" w:space="0" w:color="auto"/>
            </w:tcBorders>
            <w:vAlign w:val="center"/>
          </w:tcPr>
          <w:p w14:paraId="38E84502" w14:textId="12471492" w:rsidR="00745901" w:rsidRPr="000D756E" w:rsidRDefault="00745901" w:rsidP="00745901">
            <w:pPr>
              <w:jc w:val="right"/>
              <w:rPr>
                <w:rFonts w:ascii="Arial" w:hAnsi="Arial" w:cs="Arial"/>
                <w:b/>
                <w:sz w:val="22"/>
              </w:rPr>
            </w:pPr>
            <w:r w:rsidRPr="000D756E">
              <w:rPr>
                <w:rFonts w:ascii="Arial" w:hAnsi="Arial" w:cs="Arial"/>
                <w:b/>
                <w:sz w:val="22"/>
              </w:rPr>
              <w:t>834</w:t>
            </w:r>
          </w:p>
        </w:tc>
        <w:tc>
          <w:tcPr>
            <w:tcW w:w="1128" w:type="dxa"/>
            <w:tcBorders>
              <w:top w:val="single" w:sz="4" w:space="0" w:color="auto"/>
              <w:left w:val="single" w:sz="4" w:space="0" w:color="auto"/>
              <w:bottom w:val="single" w:sz="4" w:space="0" w:color="auto"/>
              <w:right w:val="single" w:sz="4" w:space="0" w:color="auto"/>
            </w:tcBorders>
            <w:vAlign w:val="center"/>
          </w:tcPr>
          <w:p w14:paraId="41AC2895" w14:textId="58FE88D4" w:rsidR="00745901" w:rsidRPr="000D756E" w:rsidRDefault="00745901" w:rsidP="00745901">
            <w:pPr>
              <w:jc w:val="right"/>
              <w:rPr>
                <w:rFonts w:ascii="Arial" w:hAnsi="Arial" w:cs="Arial"/>
                <w:sz w:val="22"/>
              </w:rPr>
            </w:pPr>
            <w:r w:rsidRPr="000D756E">
              <w:rPr>
                <w:rFonts w:ascii="Arial" w:hAnsi="Arial" w:cs="Arial"/>
                <w:sz w:val="22"/>
              </w:rPr>
              <w:t>-287</w:t>
            </w:r>
          </w:p>
        </w:tc>
        <w:tc>
          <w:tcPr>
            <w:tcW w:w="1128" w:type="dxa"/>
            <w:tcBorders>
              <w:top w:val="single" w:sz="4" w:space="0" w:color="auto"/>
              <w:left w:val="single" w:sz="4" w:space="0" w:color="auto"/>
              <w:bottom w:val="single" w:sz="4" w:space="0" w:color="auto"/>
              <w:right w:val="single" w:sz="4" w:space="0" w:color="auto"/>
            </w:tcBorders>
            <w:vAlign w:val="center"/>
          </w:tcPr>
          <w:p w14:paraId="049DA137" w14:textId="6005E3F7" w:rsidR="00745901" w:rsidRPr="000D756E" w:rsidRDefault="00745901" w:rsidP="00745901">
            <w:pPr>
              <w:jc w:val="right"/>
              <w:rPr>
                <w:rFonts w:ascii="Arial" w:hAnsi="Arial" w:cs="Arial"/>
                <w:sz w:val="22"/>
              </w:rPr>
            </w:pPr>
            <w:r w:rsidRPr="000D756E">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2E3E8097" w14:textId="7F831CD8" w:rsidR="00745901" w:rsidRPr="000D756E" w:rsidRDefault="00745901" w:rsidP="00745901">
            <w:pPr>
              <w:jc w:val="right"/>
              <w:rPr>
                <w:rFonts w:ascii="Arial" w:hAnsi="Arial" w:cs="Arial"/>
                <w:b/>
                <w:sz w:val="22"/>
              </w:rPr>
            </w:pPr>
            <w:r w:rsidRPr="000D756E">
              <w:rPr>
                <w:rFonts w:ascii="Arial" w:hAnsi="Arial" w:cs="Arial"/>
                <w:b/>
                <w:sz w:val="22"/>
              </w:rPr>
              <w:t>547</w:t>
            </w:r>
          </w:p>
        </w:tc>
        <w:tc>
          <w:tcPr>
            <w:tcW w:w="1128" w:type="dxa"/>
            <w:tcBorders>
              <w:top w:val="single" w:sz="4" w:space="0" w:color="auto"/>
              <w:left w:val="single" w:sz="4" w:space="0" w:color="auto"/>
              <w:bottom w:val="single" w:sz="4" w:space="0" w:color="auto"/>
              <w:right w:val="single" w:sz="4" w:space="0" w:color="auto"/>
            </w:tcBorders>
            <w:vAlign w:val="center"/>
          </w:tcPr>
          <w:p w14:paraId="2ED7F0E1" w14:textId="06A03D73" w:rsidR="00745901" w:rsidRPr="000D756E" w:rsidRDefault="00916620" w:rsidP="00745901">
            <w:pPr>
              <w:jc w:val="right"/>
              <w:rPr>
                <w:rFonts w:ascii="Arial" w:hAnsi="Arial" w:cs="Arial"/>
                <w:sz w:val="22"/>
              </w:rPr>
            </w:pPr>
            <w:r>
              <w:rPr>
                <w:rFonts w:ascii="Arial" w:hAnsi="Arial" w:cs="Arial"/>
                <w:sz w:val="22"/>
              </w:rPr>
              <w:t>-41</w:t>
            </w:r>
          </w:p>
        </w:tc>
        <w:tc>
          <w:tcPr>
            <w:tcW w:w="1128" w:type="dxa"/>
            <w:tcBorders>
              <w:top w:val="single" w:sz="4" w:space="0" w:color="auto"/>
              <w:left w:val="single" w:sz="4" w:space="0" w:color="auto"/>
              <w:bottom w:val="single" w:sz="4" w:space="0" w:color="auto"/>
              <w:right w:val="single" w:sz="4" w:space="0" w:color="auto"/>
            </w:tcBorders>
            <w:vAlign w:val="center"/>
          </w:tcPr>
          <w:p w14:paraId="2D40C147" w14:textId="68B6493F" w:rsidR="00745901" w:rsidRPr="000D756E" w:rsidRDefault="00916620" w:rsidP="00745901">
            <w:pPr>
              <w:jc w:val="right"/>
              <w:rPr>
                <w:rFonts w:ascii="Arial" w:hAnsi="Arial" w:cs="Arial"/>
                <w:sz w:val="22"/>
              </w:rPr>
            </w:pPr>
            <w:r>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28439CF5" w14:textId="0AB21E40" w:rsidR="00745901" w:rsidRPr="000D756E" w:rsidRDefault="00916620" w:rsidP="00745901">
            <w:pPr>
              <w:jc w:val="right"/>
              <w:rPr>
                <w:rFonts w:ascii="Arial" w:hAnsi="Arial" w:cs="Arial"/>
                <w:b/>
                <w:sz w:val="22"/>
              </w:rPr>
            </w:pPr>
            <w:r>
              <w:rPr>
                <w:rFonts w:ascii="Arial" w:hAnsi="Arial" w:cs="Arial"/>
                <w:b/>
                <w:sz w:val="22"/>
              </w:rPr>
              <w:t>506</w:t>
            </w:r>
          </w:p>
        </w:tc>
      </w:tr>
      <w:tr w:rsidR="00745901" w:rsidRPr="000D756E" w14:paraId="698D4478" w14:textId="77777777" w:rsidTr="00FA6905">
        <w:tc>
          <w:tcPr>
            <w:tcW w:w="1555" w:type="dxa"/>
            <w:tcBorders>
              <w:top w:val="single" w:sz="4" w:space="0" w:color="auto"/>
              <w:left w:val="single" w:sz="4" w:space="0" w:color="auto"/>
              <w:bottom w:val="single" w:sz="4" w:space="0" w:color="auto"/>
              <w:right w:val="single" w:sz="4" w:space="0" w:color="auto"/>
            </w:tcBorders>
          </w:tcPr>
          <w:p w14:paraId="3F7762AE" w14:textId="77777777" w:rsidR="00745901" w:rsidRPr="000D756E" w:rsidRDefault="00745901" w:rsidP="00745901">
            <w:pPr>
              <w:rPr>
                <w:rFonts w:ascii="Arial" w:hAnsi="Arial" w:cs="Arial"/>
              </w:rPr>
            </w:pPr>
            <w:r w:rsidRPr="000D756E">
              <w:rPr>
                <w:rFonts w:ascii="Arial" w:hAnsi="Arial" w:cs="Arial"/>
              </w:rPr>
              <w:t>STP Staff Reserve</w:t>
            </w:r>
          </w:p>
        </w:tc>
        <w:tc>
          <w:tcPr>
            <w:tcW w:w="984" w:type="dxa"/>
            <w:tcBorders>
              <w:top w:val="single" w:sz="4" w:space="0" w:color="auto"/>
              <w:left w:val="single" w:sz="4" w:space="0" w:color="auto"/>
              <w:bottom w:val="single" w:sz="4" w:space="0" w:color="auto"/>
              <w:right w:val="single" w:sz="4" w:space="0" w:color="auto"/>
            </w:tcBorders>
            <w:vAlign w:val="center"/>
          </w:tcPr>
          <w:p w14:paraId="6211870C" w14:textId="01589B16" w:rsidR="00745901" w:rsidRPr="000D756E" w:rsidRDefault="00745901" w:rsidP="00745901">
            <w:pPr>
              <w:jc w:val="right"/>
              <w:rPr>
                <w:rFonts w:ascii="Arial" w:hAnsi="Arial" w:cs="Arial"/>
                <w:b/>
                <w:sz w:val="22"/>
              </w:rPr>
            </w:pPr>
            <w:r w:rsidRPr="000D756E">
              <w:rPr>
                <w:rFonts w:ascii="Arial" w:hAnsi="Arial" w:cs="Arial"/>
                <w:b/>
                <w:sz w:val="22"/>
              </w:rPr>
              <w:t>869</w:t>
            </w:r>
          </w:p>
        </w:tc>
        <w:tc>
          <w:tcPr>
            <w:tcW w:w="1128" w:type="dxa"/>
            <w:tcBorders>
              <w:top w:val="single" w:sz="4" w:space="0" w:color="auto"/>
              <w:left w:val="single" w:sz="4" w:space="0" w:color="auto"/>
              <w:bottom w:val="single" w:sz="4" w:space="0" w:color="auto"/>
              <w:right w:val="single" w:sz="4" w:space="0" w:color="auto"/>
            </w:tcBorders>
            <w:vAlign w:val="center"/>
          </w:tcPr>
          <w:p w14:paraId="5576CF65" w14:textId="6AA72759" w:rsidR="00745901" w:rsidRPr="000D756E" w:rsidRDefault="00745901" w:rsidP="00745901">
            <w:pPr>
              <w:jc w:val="right"/>
              <w:rPr>
                <w:rFonts w:ascii="Arial" w:hAnsi="Arial" w:cs="Arial"/>
                <w:sz w:val="22"/>
              </w:rPr>
            </w:pPr>
            <w:r w:rsidRPr="000D756E">
              <w:rPr>
                <w:rFonts w:ascii="Arial" w:hAnsi="Arial" w:cs="Arial"/>
                <w:sz w:val="22"/>
              </w:rPr>
              <w:t>-310</w:t>
            </w:r>
          </w:p>
        </w:tc>
        <w:tc>
          <w:tcPr>
            <w:tcW w:w="1128" w:type="dxa"/>
            <w:tcBorders>
              <w:top w:val="single" w:sz="4" w:space="0" w:color="auto"/>
              <w:left w:val="single" w:sz="4" w:space="0" w:color="auto"/>
              <w:bottom w:val="single" w:sz="4" w:space="0" w:color="auto"/>
              <w:right w:val="single" w:sz="4" w:space="0" w:color="auto"/>
            </w:tcBorders>
            <w:vAlign w:val="center"/>
          </w:tcPr>
          <w:p w14:paraId="49FF2F15" w14:textId="163AE797" w:rsidR="00745901" w:rsidRPr="000D756E" w:rsidRDefault="00745901" w:rsidP="00745901">
            <w:pPr>
              <w:jc w:val="right"/>
              <w:rPr>
                <w:rFonts w:ascii="Arial" w:hAnsi="Arial" w:cs="Arial"/>
                <w:sz w:val="22"/>
              </w:rPr>
            </w:pPr>
            <w:r w:rsidRPr="000D756E">
              <w:rPr>
                <w:rFonts w:ascii="Arial" w:hAnsi="Arial" w:cs="Arial"/>
                <w:sz w:val="22"/>
              </w:rPr>
              <w:t>250</w:t>
            </w:r>
          </w:p>
        </w:tc>
        <w:tc>
          <w:tcPr>
            <w:tcW w:w="984" w:type="dxa"/>
            <w:tcBorders>
              <w:top w:val="single" w:sz="4" w:space="0" w:color="auto"/>
              <w:left w:val="single" w:sz="4" w:space="0" w:color="auto"/>
              <w:bottom w:val="single" w:sz="4" w:space="0" w:color="auto"/>
              <w:right w:val="single" w:sz="4" w:space="0" w:color="auto"/>
            </w:tcBorders>
            <w:vAlign w:val="center"/>
          </w:tcPr>
          <w:p w14:paraId="5DBE06DA" w14:textId="7E17BE39" w:rsidR="00745901" w:rsidRPr="000D756E" w:rsidRDefault="00745901" w:rsidP="00745901">
            <w:pPr>
              <w:jc w:val="right"/>
              <w:rPr>
                <w:rFonts w:ascii="Arial" w:hAnsi="Arial" w:cs="Arial"/>
                <w:b/>
                <w:sz w:val="22"/>
              </w:rPr>
            </w:pPr>
            <w:r w:rsidRPr="000D756E">
              <w:rPr>
                <w:rFonts w:ascii="Arial" w:hAnsi="Arial" w:cs="Arial"/>
                <w:b/>
                <w:sz w:val="22"/>
              </w:rPr>
              <w:t>809</w:t>
            </w:r>
          </w:p>
        </w:tc>
        <w:tc>
          <w:tcPr>
            <w:tcW w:w="1128" w:type="dxa"/>
            <w:tcBorders>
              <w:top w:val="single" w:sz="4" w:space="0" w:color="auto"/>
              <w:left w:val="single" w:sz="4" w:space="0" w:color="auto"/>
              <w:bottom w:val="single" w:sz="4" w:space="0" w:color="auto"/>
              <w:right w:val="single" w:sz="4" w:space="0" w:color="auto"/>
            </w:tcBorders>
            <w:vAlign w:val="center"/>
          </w:tcPr>
          <w:p w14:paraId="5E19CB4F" w14:textId="7D75390D" w:rsidR="00745901" w:rsidRPr="000D756E" w:rsidRDefault="00DE4F36" w:rsidP="00745901">
            <w:pPr>
              <w:jc w:val="right"/>
              <w:rPr>
                <w:rFonts w:ascii="Arial" w:hAnsi="Arial" w:cs="Arial"/>
                <w:sz w:val="22"/>
              </w:rPr>
            </w:pPr>
            <w:r>
              <w:rPr>
                <w:rFonts w:ascii="Arial" w:hAnsi="Arial" w:cs="Arial"/>
                <w:sz w:val="22"/>
              </w:rPr>
              <w:t>-496</w:t>
            </w:r>
          </w:p>
        </w:tc>
        <w:tc>
          <w:tcPr>
            <w:tcW w:w="1128" w:type="dxa"/>
            <w:tcBorders>
              <w:top w:val="single" w:sz="4" w:space="0" w:color="auto"/>
              <w:left w:val="single" w:sz="4" w:space="0" w:color="auto"/>
              <w:bottom w:val="single" w:sz="4" w:space="0" w:color="auto"/>
              <w:right w:val="single" w:sz="4" w:space="0" w:color="auto"/>
            </w:tcBorders>
            <w:vAlign w:val="center"/>
          </w:tcPr>
          <w:p w14:paraId="1E99880B" w14:textId="151AAC46" w:rsidR="00745901" w:rsidRPr="000D756E" w:rsidRDefault="00DE4F36" w:rsidP="00745901">
            <w:pPr>
              <w:jc w:val="right"/>
              <w:rPr>
                <w:rFonts w:ascii="Arial" w:hAnsi="Arial" w:cs="Arial"/>
                <w:sz w:val="22"/>
              </w:rPr>
            </w:pPr>
            <w:r>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0304C885" w14:textId="7C87AAFE" w:rsidR="00745901" w:rsidRPr="000D756E" w:rsidRDefault="002D4B56" w:rsidP="00745901">
            <w:pPr>
              <w:jc w:val="right"/>
              <w:rPr>
                <w:rFonts w:ascii="Arial" w:hAnsi="Arial" w:cs="Arial"/>
                <w:b/>
                <w:sz w:val="22"/>
              </w:rPr>
            </w:pPr>
            <w:r>
              <w:rPr>
                <w:rFonts w:ascii="Arial" w:hAnsi="Arial" w:cs="Arial"/>
                <w:b/>
                <w:sz w:val="22"/>
              </w:rPr>
              <w:t>313</w:t>
            </w:r>
          </w:p>
        </w:tc>
      </w:tr>
      <w:tr w:rsidR="00745901" w:rsidRPr="000D756E" w14:paraId="28369180" w14:textId="77777777" w:rsidTr="00FA6905">
        <w:tc>
          <w:tcPr>
            <w:tcW w:w="1555" w:type="dxa"/>
            <w:tcBorders>
              <w:top w:val="single" w:sz="4" w:space="0" w:color="auto"/>
              <w:left w:val="single" w:sz="4" w:space="0" w:color="auto"/>
              <w:bottom w:val="single" w:sz="4" w:space="0" w:color="auto"/>
              <w:right w:val="single" w:sz="4" w:space="0" w:color="auto"/>
            </w:tcBorders>
          </w:tcPr>
          <w:p w14:paraId="6B88AB9A" w14:textId="77777777" w:rsidR="00745901" w:rsidRPr="000D756E" w:rsidRDefault="00745901" w:rsidP="00745901">
            <w:pPr>
              <w:rPr>
                <w:rFonts w:ascii="Arial" w:hAnsi="Arial" w:cs="Arial"/>
              </w:rPr>
            </w:pPr>
            <w:r w:rsidRPr="000D756E">
              <w:rPr>
                <w:rFonts w:ascii="Arial" w:hAnsi="Arial" w:cs="Arial"/>
              </w:rPr>
              <w:t>Income Volatility Reserve</w:t>
            </w:r>
          </w:p>
        </w:tc>
        <w:tc>
          <w:tcPr>
            <w:tcW w:w="984" w:type="dxa"/>
            <w:tcBorders>
              <w:top w:val="single" w:sz="4" w:space="0" w:color="auto"/>
              <w:left w:val="single" w:sz="4" w:space="0" w:color="auto"/>
              <w:bottom w:val="single" w:sz="4" w:space="0" w:color="auto"/>
              <w:right w:val="single" w:sz="4" w:space="0" w:color="auto"/>
            </w:tcBorders>
            <w:vAlign w:val="center"/>
          </w:tcPr>
          <w:p w14:paraId="752C1506" w14:textId="6BA02C76" w:rsidR="00745901" w:rsidRPr="000D756E" w:rsidRDefault="00745901" w:rsidP="00745901">
            <w:pPr>
              <w:jc w:val="right"/>
              <w:rPr>
                <w:rFonts w:ascii="Arial" w:hAnsi="Arial" w:cs="Arial"/>
                <w:b/>
                <w:sz w:val="22"/>
              </w:rPr>
            </w:pPr>
            <w:r w:rsidRPr="000D756E">
              <w:rPr>
                <w:rFonts w:ascii="Arial" w:hAnsi="Arial" w:cs="Arial"/>
                <w:b/>
                <w:sz w:val="22"/>
              </w:rPr>
              <w:t>687</w:t>
            </w:r>
          </w:p>
        </w:tc>
        <w:tc>
          <w:tcPr>
            <w:tcW w:w="1128" w:type="dxa"/>
            <w:tcBorders>
              <w:top w:val="single" w:sz="4" w:space="0" w:color="auto"/>
              <w:left w:val="single" w:sz="4" w:space="0" w:color="auto"/>
              <w:bottom w:val="single" w:sz="4" w:space="0" w:color="auto"/>
              <w:right w:val="single" w:sz="4" w:space="0" w:color="auto"/>
            </w:tcBorders>
            <w:vAlign w:val="center"/>
          </w:tcPr>
          <w:p w14:paraId="372F7E8B" w14:textId="1759AFB4" w:rsidR="00745901" w:rsidRPr="000D756E" w:rsidRDefault="00745901" w:rsidP="00745901">
            <w:pPr>
              <w:jc w:val="right"/>
              <w:rPr>
                <w:rFonts w:ascii="Arial" w:hAnsi="Arial" w:cs="Arial"/>
                <w:sz w:val="22"/>
              </w:rPr>
            </w:pPr>
            <w:r w:rsidRPr="000D756E">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34165B9C" w14:textId="7B85D93F" w:rsidR="00745901" w:rsidRPr="000D756E" w:rsidRDefault="00745901" w:rsidP="00745901">
            <w:pPr>
              <w:jc w:val="right"/>
              <w:rPr>
                <w:rFonts w:ascii="Arial" w:hAnsi="Arial" w:cs="Arial"/>
                <w:sz w:val="22"/>
              </w:rPr>
            </w:pPr>
            <w:r w:rsidRPr="000D756E">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58C54397" w14:textId="77899D4B" w:rsidR="00745901" w:rsidRPr="000D756E" w:rsidRDefault="00745901" w:rsidP="00745901">
            <w:pPr>
              <w:jc w:val="right"/>
              <w:rPr>
                <w:rFonts w:ascii="Arial" w:hAnsi="Arial" w:cs="Arial"/>
                <w:b/>
                <w:sz w:val="22"/>
              </w:rPr>
            </w:pPr>
            <w:r w:rsidRPr="000D756E">
              <w:rPr>
                <w:rFonts w:ascii="Arial" w:hAnsi="Arial" w:cs="Arial"/>
                <w:b/>
                <w:sz w:val="22"/>
              </w:rPr>
              <w:t>687</w:t>
            </w:r>
          </w:p>
        </w:tc>
        <w:tc>
          <w:tcPr>
            <w:tcW w:w="1128" w:type="dxa"/>
            <w:tcBorders>
              <w:top w:val="single" w:sz="4" w:space="0" w:color="auto"/>
              <w:left w:val="single" w:sz="4" w:space="0" w:color="auto"/>
              <w:bottom w:val="single" w:sz="4" w:space="0" w:color="auto"/>
              <w:right w:val="single" w:sz="4" w:space="0" w:color="auto"/>
            </w:tcBorders>
            <w:vAlign w:val="center"/>
          </w:tcPr>
          <w:p w14:paraId="22BEE27B" w14:textId="7BB7D47F" w:rsidR="00745901" w:rsidRPr="000D756E" w:rsidRDefault="002D4B56" w:rsidP="00745901">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10034E5F" w14:textId="566000A6" w:rsidR="00745901" w:rsidRPr="000D756E" w:rsidRDefault="002D4B56" w:rsidP="00745901">
            <w:pPr>
              <w:jc w:val="right"/>
              <w:rPr>
                <w:rFonts w:ascii="Arial" w:hAnsi="Arial" w:cs="Arial"/>
                <w:sz w:val="22"/>
              </w:rPr>
            </w:pPr>
            <w:r>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69E24323" w14:textId="3B2BFB8F" w:rsidR="00745901" w:rsidRPr="000D756E" w:rsidRDefault="002D4B56" w:rsidP="00745901">
            <w:pPr>
              <w:jc w:val="right"/>
              <w:rPr>
                <w:rFonts w:ascii="Arial" w:hAnsi="Arial" w:cs="Arial"/>
                <w:b/>
                <w:sz w:val="22"/>
              </w:rPr>
            </w:pPr>
            <w:r>
              <w:rPr>
                <w:rFonts w:ascii="Arial" w:hAnsi="Arial" w:cs="Arial"/>
                <w:b/>
                <w:sz w:val="22"/>
              </w:rPr>
              <w:t>687</w:t>
            </w:r>
          </w:p>
        </w:tc>
      </w:tr>
      <w:tr w:rsidR="00745901" w:rsidRPr="000D756E" w14:paraId="2A79F060" w14:textId="77777777" w:rsidTr="00FA6905">
        <w:tc>
          <w:tcPr>
            <w:tcW w:w="1555" w:type="dxa"/>
            <w:tcBorders>
              <w:top w:val="single" w:sz="4" w:space="0" w:color="auto"/>
              <w:left w:val="single" w:sz="4" w:space="0" w:color="auto"/>
              <w:bottom w:val="single" w:sz="4" w:space="0" w:color="auto"/>
              <w:right w:val="single" w:sz="4" w:space="0" w:color="auto"/>
            </w:tcBorders>
          </w:tcPr>
          <w:p w14:paraId="507891AC" w14:textId="77777777" w:rsidR="00745901" w:rsidRPr="000D756E" w:rsidRDefault="00745901" w:rsidP="00745901">
            <w:pPr>
              <w:rPr>
                <w:rFonts w:ascii="Arial" w:hAnsi="Arial" w:cs="Arial"/>
              </w:rPr>
            </w:pPr>
            <w:r w:rsidRPr="000D756E">
              <w:rPr>
                <w:rFonts w:ascii="Arial" w:hAnsi="Arial" w:cs="Arial"/>
              </w:rPr>
              <w:t>Service Delivery Reserve</w:t>
            </w:r>
          </w:p>
        </w:tc>
        <w:tc>
          <w:tcPr>
            <w:tcW w:w="984" w:type="dxa"/>
            <w:tcBorders>
              <w:top w:val="single" w:sz="4" w:space="0" w:color="auto"/>
              <w:left w:val="single" w:sz="4" w:space="0" w:color="auto"/>
              <w:bottom w:val="single" w:sz="4" w:space="0" w:color="auto"/>
              <w:right w:val="single" w:sz="4" w:space="0" w:color="auto"/>
            </w:tcBorders>
            <w:vAlign w:val="center"/>
          </w:tcPr>
          <w:p w14:paraId="3C7959D6" w14:textId="23375838" w:rsidR="00745901" w:rsidRPr="000D756E" w:rsidRDefault="00745901" w:rsidP="00745901">
            <w:pPr>
              <w:jc w:val="right"/>
              <w:rPr>
                <w:rFonts w:ascii="Arial" w:hAnsi="Arial" w:cs="Arial"/>
                <w:b/>
                <w:sz w:val="22"/>
              </w:rPr>
            </w:pPr>
            <w:r w:rsidRPr="000D756E">
              <w:rPr>
                <w:rFonts w:ascii="Arial" w:hAnsi="Arial" w:cs="Arial"/>
                <w:b/>
                <w:sz w:val="22"/>
              </w:rPr>
              <w:t>118</w:t>
            </w:r>
          </w:p>
        </w:tc>
        <w:tc>
          <w:tcPr>
            <w:tcW w:w="1128" w:type="dxa"/>
            <w:tcBorders>
              <w:top w:val="single" w:sz="4" w:space="0" w:color="auto"/>
              <w:left w:val="single" w:sz="4" w:space="0" w:color="auto"/>
              <w:bottom w:val="single" w:sz="4" w:space="0" w:color="auto"/>
              <w:right w:val="single" w:sz="4" w:space="0" w:color="auto"/>
            </w:tcBorders>
            <w:vAlign w:val="center"/>
          </w:tcPr>
          <w:p w14:paraId="1678453B" w14:textId="3F6C28C9" w:rsidR="00745901" w:rsidRPr="000D756E" w:rsidRDefault="00745901" w:rsidP="00745901">
            <w:pPr>
              <w:jc w:val="right"/>
              <w:rPr>
                <w:rFonts w:ascii="Arial" w:hAnsi="Arial" w:cs="Arial"/>
                <w:sz w:val="22"/>
              </w:rPr>
            </w:pPr>
            <w:r w:rsidRPr="000D756E">
              <w:rPr>
                <w:rFonts w:ascii="Arial" w:hAnsi="Arial" w:cs="Arial"/>
                <w:sz w:val="22"/>
              </w:rPr>
              <w:t>-109</w:t>
            </w:r>
          </w:p>
        </w:tc>
        <w:tc>
          <w:tcPr>
            <w:tcW w:w="1128" w:type="dxa"/>
            <w:tcBorders>
              <w:top w:val="single" w:sz="4" w:space="0" w:color="auto"/>
              <w:left w:val="single" w:sz="4" w:space="0" w:color="auto"/>
              <w:bottom w:val="single" w:sz="4" w:space="0" w:color="auto"/>
              <w:right w:val="single" w:sz="4" w:space="0" w:color="auto"/>
            </w:tcBorders>
            <w:vAlign w:val="center"/>
          </w:tcPr>
          <w:p w14:paraId="1F049DC9" w14:textId="59607A55" w:rsidR="00745901" w:rsidRPr="000D756E" w:rsidRDefault="00745901" w:rsidP="00745901">
            <w:pPr>
              <w:jc w:val="right"/>
              <w:rPr>
                <w:rFonts w:ascii="Arial" w:hAnsi="Arial" w:cs="Arial"/>
                <w:sz w:val="22"/>
              </w:rPr>
            </w:pPr>
            <w:r w:rsidRPr="000D756E">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0F25E816" w14:textId="2E5597D3" w:rsidR="00745901" w:rsidRPr="000D756E" w:rsidRDefault="00745901" w:rsidP="00745901">
            <w:pPr>
              <w:jc w:val="right"/>
              <w:rPr>
                <w:rFonts w:ascii="Arial" w:hAnsi="Arial" w:cs="Arial"/>
                <w:b/>
                <w:sz w:val="22"/>
              </w:rPr>
            </w:pPr>
            <w:r w:rsidRPr="000D756E">
              <w:rPr>
                <w:rFonts w:ascii="Arial" w:hAnsi="Arial" w:cs="Arial"/>
                <w:b/>
                <w:sz w:val="22"/>
              </w:rPr>
              <w:t>9</w:t>
            </w:r>
          </w:p>
        </w:tc>
        <w:tc>
          <w:tcPr>
            <w:tcW w:w="1128" w:type="dxa"/>
            <w:tcBorders>
              <w:top w:val="single" w:sz="4" w:space="0" w:color="auto"/>
              <w:left w:val="single" w:sz="4" w:space="0" w:color="auto"/>
              <w:bottom w:val="single" w:sz="4" w:space="0" w:color="auto"/>
              <w:right w:val="single" w:sz="4" w:space="0" w:color="auto"/>
            </w:tcBorders>
            <w:vAlign w:val="center"/>
          </w:tcPr>
          <w:p w14:paraId="3C455315" w14:textId="3FC95783" w:rsidR="00745901" w:rsidRPr="000D756E" w:rsidRDefault="002D4B56" w:rsidP="00745901">
            <w:pPr>
              <w:jc w:val="right"/>
              <w:rPr>
                <w:rFonts w:ascii="Arial" w:hAnsi="Arial" w:cs="Arial"/>
                <w:sz w:val="22"/>
              </w:rPr>
            </w:pPr>
            <w:r>
              <w:rPr>
                <w:rFonts w:ascii="Arial" w:hAnsi="Arial" w:cs="Arial"/>
                <w:sz w:val="22"/>
              </w:rPr>
              <w:t>-6</w:t>
            </w:r>
          </w:p>
        </w:tc>
        <w:tc>
          <w:tcPr>
            <w:tcW w:w="1128" w:type="dxa"/>
            <w:tcBorders>
              <w:top w:val="single" w:sz="4" w:space="0" w:color="auto"/>
              <w:left w:val="single" w:sz="4" w:space="0" w:color="auto"/>
              <w:bottom w:val="single" w:sz="4" w:space="0" w:color="auto"/>
              <w:right w:val="single" w:sz="4" w:space="0" w:color="auto"/>
            </w:tcBorders>
            <w:vAlign w:val="center"/>
          </w:tcPr>
          <w:p w14:paraId="4A912438" w14:textId="2A2F178E" w:rsidR="00745901" w:rsidRPr="000D756E" w:rsidRDefault="002D4B56" w:rsidP="00745901">
            <w:pPr>
              <w:jc w:val="right"/>
              <w:rPr>
                <w:rFonts w:ascii="Arial" w:hAnsi="Arial" w:cs="Arial"/>
                <w:sz w:val="22"/>
              </w:rPr>
            </w:pPr>
            <w:r>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3D275F25" w14:textId="6BA769B1" w:rsidR="00745901" w:rsidRPr="000D756E" w:rsidRDefault="002D4B56" w:rsidP="00745901">
            <w:pPr>
              <w:jc w:val="right"/>
              <w:rPr>
                <w:rFonts w:ascii="Arial" w:hAnsi="Arial" w:cs="Arial"/>
                <w:b/>
                <w:sz w:val="22"/>
              </w:rPr>
            </w:pPr>
            <w:r>
              <w:rPr>
                <w:rFonts w:ascii="Arial" w:hAnsi="Arial" w:cs="Arial"/>
                <w:b/>
                <w:sz w:val="22"/>
              </w:rPr>
              <w:t>3</w:t>
            </w:r>
          </w:p>
        </w:tc>
      </w:tr>
      <w:tr w:rsidR="00745901" w:rsidRPr="000D756E" w14:paraId="15A82D12" w14:textId="77777777" w:rsidTr="00FA6905">
        <w:tc>
          <w:tcPr>
            <w:tcW w:w="1555" w:type="dxa"/>
            <w:tcBorders>
              <w:top w:val="single" w:sz="4" w:space="0" w:color="auto"/>
              <w:left w:val="single" w:sz="4" w:space="0" w:color="auto"/>
              <w:bottom w:val="single" w:sz="4" w:space="0" w:color="auto"/>
              <w:right w:val="single" w:sz="4" w:space="0" w:color="auto"/>
            </w:tcBorders>
          </w:tcPr>
          <w:p w14:paraId="230755DD" w14:textId="77777777" w:rsidR="00745901" w:rsidRPr="000D756E" w:rsidRDefault="00745901" w:rsidP="00745901">
            <w:pPr>
              <w:rPr>
                <w:rFonts w:ascii="Arial" w:hAnsi="Arial" w:cs="Arial"/>
              </w:rPr>
            </w:pPr>
            <w:r w:rsidRPr="000D756E">
              <w:rPr>
                <w:rFonts w:ascii="Arial" w:hAnsi="Arial" w:cs="Arial"/>
              </w:rPr>
              <w:t>Training Reserve</w:t>
            </w:r>
          </w:p>
        </w:tc>
        <w:tc>
          <w:tcPr>
            <w:tcW w:w="984" w:type="dxa"/>
            <w:tcBorders>
              <w:top w:val="single" w:sz="4" w:space="0" w:color="auto"/>
              <w:left w:val="single" w:sz="4" w:space="0" w:color="auto"/>
              <w:bottom w:val="single" w:sz="4" w:space="0" w:color="auto"/>
              <w:right w:val="single" w:sz="4" w:space="0" w:color="auto"/>
            </w:tcBorders>
            <w:vAlign w:val="center"/>
          </w:tcPr>
          <w:p w14:paraId="6B75C198" w14:textId="4DA0A7A3" w:rsidR="00745901" w:rsidRPr="000D756E" w:rsidRDefault="00745901" w:rsidP="00745901">
            <w:pPr>
              <w:jc w:val="right"/>
              <w:rPr>
                <w:rFonts w:ascii="Arial" w:hAnsi="Arial" w:cs="Arial"/>
                <w:b/>
                <w:sz w:val="22"/>
              </w:rPr>
            </w:pPr>
            <w:r w:rsidRPr="000D756E">
              <w:rPr>
                <w:rFonts w:ascii="Arial" w:hAnsi="Arial" w:cs="Arial"/>
                <w:b/>
                <w:sz w:val="22"/>
              </w:rPr>
              <w:t>13</w:t>
            </w:r>
          </w:p>
        </w:tc>
        <w:tc>
          <w:tcPr>
            <w:tcW w:w="1128" w:type="dxa"/>
            <w:tcBorders>
              <w:top w:val="single" w:sz="4" w:space="0" w:color="auto"/>
              <w:left w:val="single" w:sz="4" w:space="0" w:color="auto"/>
              <w:bottom w:val="single" w:sz="4" w:space="0" w:color="auto"/>
              <w:right w:val="single" w:sz="4" w:space="0" w:color="auto"/>
            </w:tcBorders>
            <w:vAlign w:val="center"/>
          </w:tcPr>
          <w:p w14:paraId="1F90DAE8" w14:textId="27415861" w:rsidR="00745901" w:rsidRPr="000D756E" w:rsidRDefault="00745901" w:rsidP="00745901">
            <w:pPr>
              <w:jc w:val="right"/>
              <w:rPr>
                <w:rFonts w:ascii="Arial" w:hAnsi="Arial" w:cs="Arial"/>
                <w:sz w:val="22"/>
              </w:rPr>
            </w:pPr>
            <w:r w:rsidRPr="000D756E">
              <w:rPr>
                <w:rFonts w:ascii="Arial" w:hAnsi="Arial" w:cs="Arial"/>
                <w:sz w:val="22"/>
              </w:rPr>
              <w:t>-36</w:t>
            </w:r>
          </w:p>
        </w:tc>
        <w:tc>
          <w:tcPr>
            <w:tcW w:w="1128" w:type="dxa"/>
            <w:tcBorders>
              <w:top w:val="single" w:sz="4" w:space="0" w:color="auto"/>
              <w:left w:val="single" w:sz="4" w:space="0" w:color="auto"/>
              <w:bottom w:val="single" w:sz="4" w:space="0" w:color="auto"/>
              <w:right w:val="single" w:sz="4" w:space="0" w:color="auto"/>
            </w:tcBorders>
            <w:vAlign w:val="center"/>
          </w:tcPr>
          <w:p w14:paraId="132AC555" w14:textId="3CF52032" w:rsidR="00745901" w:rsidRPr="000D756E" w:rsidRDefault="00745901" w:rsidP="00745901">
            <w:pPr>
              <w:jc w:val="right"/>
              <w:rPr>
                <w:rFonts w:ascii="Arial" w:hAnsi="Arial" w:cs="Arial"/>
                <w:sz w:val="22"/>
              </w:rPr>
            </w:pPr>
            <w:r w:rsidRPr="000D756E">
              <w:rPr>
                <w:rFonts w:ascii="Arial" w:hAnsi="Arial" w:cs="Arial"/>
                <w:sz w:val="22"/>
              </w:rPr>
              <w:t>150</w:t>
            </w:r>
          </w:p>
        </w:tc>
        <w:tc>
          <w:tcPr>
            <w:tcW w:w="984" w:type="dxa"/>
            <w:tcBorders>
              <w:top w:val="single" w:sz="4" w:space="0" w:color="auto"/>
              <w:left w:val="single" w:sz="4" w:space="0" w:color="auto"/>
              <w:bottom w:val="single" w:sz="4" w:space="0" w:color="auto"/>
              <w:right w:val="single" w:sz="4" w:space="0" w:color="auto"/>
            </w:tcBorders>
            <w:vAlign w:val="center"/>
          </w:tcPr>
          <w:p w14:paraId="6AE1198E" w14:textId="2CC20296" w:rsidR="00745901" w:rsidRPr="000D756E" w:rsidRDefault="00745901" w:rsidP="00745901">
            <w:pPr>
              <w:jc w:val="right"/>
              <w:rPr>
                <w:rFonts w:ascii="Arial" w:hAnsi="Arial" w:cs="Arial"/>
                <w:b/>
                <w:sz w:val="22"/>
              </w:rPr>
            </w:pPr>
            <w:r w:rsidRPr="000D756E">
              <w:rPr>
                <w:rFonts w:ascii="Arial" w:hAnsi="Arial" w:cs="Arial"/>
                <w:b/>
                <w:sz w:val="22"/>
              </w:rPr>
              <w:t>127</w:t>
            </w:r>
          </w:p>
        </w:tc>
        <w:tc>
          <w:tcPr>
            <w:tcW w:w="1128" w:type="dxa"/>
            <w:tcBorders>
              <w:top w:val="single" w:sz="4" w:space="0" w:color="auto"/>
              <w:left w:val="single" w:sz="4" w:space="0" w:color="auto"/>
              <w:bottom w:val="single" w:sz="4" w:space="0" w:color="auto"/>
              <w:right w:val="single" w:sz="4" w:space="0" w:color="auto"/>
            </w:tcBorders>
            <w:vAlign w:val="center"/>
          </w:tcPr>
          <w:p w14:paraId="589E47F5" w14:textId="108E939B" w:rsidR="00745901" w:rsidRPr="000D756E" w:rsidRDefault="002D4B56" w:rsidP="00745901">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4B3B6715" w14:textId="34D73BC2" w:rsidR="00745901" w:rsidRPr="000D756E" w:rsidRDefault="002D4B56" w:rsidP="00745901">
            <w:pPr>
              <w:jc w:val="right"/>
              <w:rPr>
                <w:rFonts w:ascii="Arial" w:hAnsi="Arial" w:cs="Arial"/>
                <w:sz w:val="22"/>
              </w:rPr>
            </w:pPr>
            <w:r>
              <w:rPr>
                <w:rFonts w:ascii="Arial" w:hAnsi="Arial" w:cs="Arial"/>
                <w:sz w:val="22"/>
              </w:rPr>
              <w:t>104</w:t>
            </w:r>
          </w:p>
        </w:tc>
        <w:tc>
          <w:tcPr>
            <w:tcW w:w="984" w:type="dxa"/>
            <w:tcBorders>
              <w:top w:val="single" w:sz="4" w:space="0" w:color="auto"/>
              <w:left w:val="single" w:sz="4" w:space="0" w:color="auto"/>
              <w:bottom w:val="single" w:sz="4" w:space="0" w:color="auto"/>
              <w:right w:val="single" w:sz="4" w:space="0" w:color="auto"/>
            </w:tcBorders>
            <w:vAlign w:val="center"/>
          </w:tcPr>
          <w:p w14:paraId="40EE6BBE" w14:textId="3338B1B1" w:rsidR="00745901" w:rsidRPr="000D756E" w:rsidRDefault="00DC13DD" w:rsidP="00745901">
            <w:pPr>
              <w:jc w:val="right"/>
              <w:rPr>
                <w:rFonts w:ascii="Arial" w:hAnsi="Arial" w:cs="Arial"/>
                <w:b/>
                <w:sz w:val="22"/>
              </w:rPr>
            </w:pPr>
            <w:r>
              <w:rPr>
                <w:rFonts w:ascii="Arial" w:hAnsi="Arial" w:cs="Arial"/>
                <w:b/>
                <w:sz w:val="22"/>
              </w:rPr>
              <w:t>231</w:t>
            </w:r>
          </w:p>
        </w:tc>
      </w:tr>
      <w:tr w:rsidR="00745901" w:rsidRPr="000D756E" w14:paraId="2AA0CA39" w14:textId="77777777" w:rsidTr="00FA6905">
        <w:tc>
          <w:tcPr>
            <w:tcW w:w="1555" w:type="dxa"/>
            <w:tcBorders>
              <w:top w:val="single" w:sz="4" w:space="0" w:color="auto"/>
              <w:left w:val="single" w:sz="4" w:space="0" w:color="auto"/>
              <w:bottom w:val="single" w:sz="4" w:space="0" w:color="auto"/>
              <w:right w:val="single" w:sz="4" w:space="0" w:color="auto"/>
            </w:tcBorders>
          </w:tcPr>
          <w:p w14:paraId="6FD5C53B" w14:textId="77777777" w:rsidR="00745901" w:rsidRPr="000D756E" w:rsidRDefault="00745901" w:rsidP="00745901">
            <w:pPr>
              <w:rPr>
                <w:rFonts w:ascii="Arial" w:hAnsi="Arial" w:cs="Arial"/>
              </w:rPr>
            </w:pPr>
            <w:r w:rsidRPr="000D756E">
              <w:rPr>
                <w:rFonts w:ascii="Arial" w:hAnsi="Arial" w:cs="Arial"/>
              </w:rPr>
              <w:t>Building Maintenance Reserve</w:t>
            </w:r>
          </w:p>
        </w:tc>
        <w:tc>
          <w:tcPr>
            <w:tcW w:w="984" w:type="dxa"/>
            <w:tcBorders>
              <w:top w:val="single" w:sz="4" w:space="0" w:color="auto"/>
              <w:left w:val="single" w:sz="4" w:space="0" w:color="auto"/>
              <w:bottom w:val="single" w:sz="4" w:space="0" w:color="auto"/>
              <w:right w:val="single" w:sz="4" w:space="0" w:color="auto"/>
            </w:tcBorders>
            <w:vAlign w:val="center"/>
          </w:tcPr>
          <w:p w14:paraId="76FC6363" w14:textId="122670B6" w:rsidR="00745901" w:rsidRPr="000D756E" w:rsidRDefault="00745901" w:rsidP="00745901">
            <w:pPr>
              <w:jc w:val="right"/>
              <w:rPr>
                <w:rFonts w:ascii="Arial" w:hAnsi="Arial" w:cs="Arial"/>
                <w:b/>
                <w:sz w:val="22"/>
              </w:rPr>
            </w:pPr>
            <w:r w:rsidRPr="000D756E">
              <w:rPr>
                <w:rFonts w:ascii="Arial" w:hAnsi="Arial" w:cs="Arial"/>
                <w:b/>
                <w:sz w:val="22"/>
              </w:rPr>
              <w:t>300</w:t>
            </w:r>
          </w:p>
        </w:tc>
        <w:tc>
          <w:tcPr>
            <w:tcW w:w="1128" w:type="dxa"/>
            <w:tcBorders>
              <w:top w:val="single" w:sz="4" w:space="0" w:color="auto"/>
              <w:left w:val="single" w:sz="4" w:space="0" w:color="auto"/>
              <w:bottom w:val="single" w:sz="4" w:space="0" w:color="auto"/>
              <w:right w:val="single" w:sz="4" w:space="0" w:color="auto"/>
            </w:tcBorders>
            <w:vAlign w:val="center"/>
          </w:tcPr>
          <w:p w14:paraId="4B7DD004" w14:textId="18FB7834" w:rsidR="00745901" w:rsidRPr="000D756E" w:rsidRDefault="00745901" w:rsidP="00745901">
            <w:pPr>
              <w:jc w:val="right"/>
              <w:rPr>
                <w:rFonts w:ascii="Arial" w:hAnsi="Arial" w:cs="Arial"/>
                <w:sz w:val="22"/>
              </w:rPr>
            </w:pPr>
            <w:r w:rsidRPr="000D756E">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34A1F774" w14:textId="4ACB147E" w:rsidR="00745901" w:rsidRPr="000D756E" w:rsidRDefault="00745901" w:rsidP="00745901">
            <w:pPr>
              <w:jc w:val="right"/>
              <w:rPr>
                <w:rFonts w:ascii="Arial" w:hAnsi="Arial" w:cs="Arial"/>
                <w:sz w:val="22"/>
              </w:rPr>
            </w:pPr>
            <w:r w:rsidRPr="000D756E">
              <w:rPr>
                <w:rFonts w:ascii="Arial" w:hAnsi="Arial" w:cs="Arial"/>
                <w:sz w:val="22"/>
              </w:rPr>
              <w:t>150</w:t>
            </w:r>
          </w:p>
        </w:tc>
        <w:tc>
          <w:tcPr>
            <w:tcW w:w="984" w:type="dxa"/>
            <w:tcBorders>
              <w:top w:val="single" w:sz="4" w:space="0" w:color="auto"/>
              <w:left w:val="single" w:sz="4" w:space="0" w:color="auto"/>
              <w:bottom w:val="single" w:sz="4" w:space="0" w:color="auto"/>
              <w:right w:val="single" w:sz="4" w:space="0" w:color="auto"/>
            </w:tcBorders>
            <w:vAlign w:val="center"/>
          </w:tcPr>
          <w:p w14:paraId="449EFA5A" w14:textId="3C4E2D9C" w:rsidR="00745901" w:rsidRPr="000D756E" w:rsidRDefault="00745901" w:rsidP="00745901">
            <w:pPr>
              <w:jc w:val="right"/>
              <w:rPr>
                <w:rFonts w:ascii="Arial" w:hAnsi="Arial" w:cs="Arial"/>
                <w:b/>
                <w:sz w:val="22"/>
              </w:rPr>
            </w:pPr>
            <w:r w:rsidRPr="000D756E">
              <w:rPr>
                <w:rFonts w:ascii="Arial" w:hAnsi="Arial" w:cs="Arial"/>
                <w:b/>
                <w:sz w:val="22"/>
              </w:rPr>
              <w:t>450</w:t>
            </w:r>
          </w:p>
        </w:tc>
        <w:tc>
          <w:tcPr>
            <w:tcW w:w="1128" w:type="dxa"/>
            <w:tcBorders>
              <w:top w:val="single" w:sz="4" w:space="0" w:color="auto"/>
              <w:left w:val="single" w:sz="4" w:space="0" w:color="auto"/>
              <w:bottom w:val="single" w:sz="4" w:space="0" w:color="auto"/>
              <w:right w:val="single" w:sz="4" w:space="0" w:color="auto"/>
            </w:tcBorders>
            <w:vAlign w:val="center"/>
          </w:tcPr>
          <w:p w14:paraId="21F7270A" w14:textId="71B910C8" w:rsidR="00745901" w:rsidRPr="000D756E" w:rsidRDefault="00DC13DD" w:rsidP="00745901">
            <w:pPr>
              <w:jc w:val="right"/>
              <w:rPr>
                <w:rFonts w:ascii="Arial" w:hAnsi="Arial" w:cs="Arial"/>
                <w:sz w:val="22"/>
              </w:rPr>
            </w:pPr>
            <w:r>
              <w:rPr>
                <w:rFonts w:ascii="Arial" w:hAnsi="Arial" w:cs="Arial"/>
                <w:sz w:val="22"/>
              </w:rPr>
              <w:t>-2</w:t>
            </w:r>
          </w:p>
        </w:tc>
        <w:tc>
          <w:tcPr>
            <w:tcW w:w="1128" w:type="dxa"/>
            <w:tcBorders>
              <w:top w:val="single" w:sz="4" w:space="0" w:color="auto"/>
              <w:left w:val="single" w:sz="4" w:space="0" w:color="auto"/>
              <w:bottom w:val="single" w:sz="4" w:space="0" w:color="auto"/>
              <w:right w:val="single" w:sz="4" w:space="0" w:color="auto"/>
            </w:tcBorders>
            <w:vAlign w:val="center"/>
          </w:tcPr>
          <w:p w14:paraId="21A16408" w14:textId="63C5C303" w:rsidR="00745901" w:rsidRPr="000D756E" w:rsidRDefault="00DC13DD" w:rsidP="00745901">
            <w:pPr>
              <w:jc w:val="right"/>
              <w:rPr>
                <w:rFonts w:ascii="Arial" w:hAnsi="Arial" w:cs="Arial"/>
                <w:sz w:val="22"/>
              </w:rPr>
            </w:pPr>
            <w:r>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47873FA0" w14:textId="50687FBA" w:rsidR="00745901" w:rsidRPr="000D756E" w:rsidRDefault="00DC13DD" w:rsidP="00745901">
            <w:pPr>
              <w:jc w:val="right"/>
              <w:rPr>
                <w:rFonts w:ascii="Arial" w:hAnsi="Arial" w:cs="Arial"/>
                <w:b/>
                <w:sz w:val="22"/>
              </w:rPr>
            </w:pPr>
            <w:r>
              <w:rPr>
                <w:rFonts w:ascii="Arial" w:hAnsi="Arial" w:cs="Arial"/>
                <w:b/>
                <w:sz w:val="22"/>
              </w:rPr>
              <w:t>448</w:t>
            </w:r>
          </w:p>
        </w:tc>
      </w:tr>
      <w:tr w:rsidR="00745901" w:rsidRPr="000D756E" w14:paraId="217D07D4" w14:textId="77777777" w:rsidTr="00FA6905">
        <w:tc>
          <w:tcPr>
            <w:tcW w:w="1555" w:type="dxa"/>
            <w:tcBorders>
              <w:top w:val="single" w:sz="4" w:space="0" w:color="auto"/>
              <w:left w:val="single" w:sz="4" w:space="0" w:color="auto"/>
              <w:bottom w:val="single" w:sz="4" w:space="0" w:color="auto"/>
              <w:right w:val="single" w:sz="4" w:space="0" w:color="auto"/>
            </w:tcBorders>
          </w:tcPr>
          <w:p w14:paraId="757AB22A" w14:textId="77777777" w:rsidR="00745901" w:rsidRPr="000D756E" w:rsidRDefault="00745901" w:rsidP="00745901">
            <w:pPr>
              <w:rPr>
                <w:rFonts w:ascii="Arial" w:hAnsi="Arial" w:cs="Arial"/>
              </w:rPr>
            </w:pPr>
            <w:r w:rsidRPr="000D756E">
              <w:rPr>
                <w:rFonts w:ascii="Arial" w:hAnsi="Arial" w:cs="Arial"/>
              </w:rPr>
              <w:t>Operational Equipment Reserve</w:t>
            </w:r>
          </w:p>
        </w:tc>
        <w:tc>
          <w:tcPr>
            <w:tcW w:w="984" w:type="dxa"/>
            <w:tcBorders>
              <w:top w:val="single" w:sz="4" w:space="0" w:color="auto"/>
              <w:left w:val="single" w:sz="4" w:space="0" w:color="auto"/>
              <w:bottom w:val="single" w:sz="4" w:space="0" w:color="auto"/>
              <w:right w:val="single" w:sz="4" w:space="0" w:color="auto"/>
            </w:tcBorders>
            <w:vAlign w:val="center"/>
          </w:tcPr>
          <w:p w14:paraId="7F11DDB4" w14:textId="7C0F93CB" w:rsidR="00745901" w:rsidRPr="000D756E" w:rsidRDefault="00745901" w:rsidP="00745901">
            <w:pPr>
              <w:jc w:val="right"/>
              <w:rPr>
                <w:rFonts w:ascii="Arial" w:hAnsi="Arial" w:cs="Arial"/>
                <w:b/>
                <w:sz w:val="22"/>
              </w:rPr>
            </w:pPr>
            <w:r w:rsidRPr="000D756E">
              <w:rPr>
                <w:rFonts w:ascii="Arial" w:hAnsi="Arial" w:cs="Arial"/>
                <w:b/>
                <w:sz w:val="22"/>
              </w:rPr>
              <w:t>116</w:t>
            </w:r>
          </w:p>
        </w:tc>
        <w:tc>
          <w:tcPr>
            <w:tcW w:w="1128" w:type="dxa"/>
            <w:tcBorders>
              <w:top w:val="single" w:sz="4" w:space="0" w:color="auto"/>
              <w:left w:val="single" w:sz="4" w:space="0" w:color="auto"/>
              <w:bottom w:val="single" w:sz="4" w:space="0" w:color="auto"/>
              <w:right w:val="single" w:sz="4" w:space="0" w:color="auto"/>
            </w:tcBorders>
            <w:vAlign w:val="center"/>
          </w:tcPr>
          <w:p w14:paraId="6B734AAF" w14:textId="7E671F5E" w:rsidR="00745901" w:rsidRPr="000D756E" w:rsidRDefault="00745901" w:rsidP="00745901">
            <w:pPr>
              <w:jc w:val="right"/>
              <w:rPr>
                <w:rFonts w:ascii="Arial" w:hAnsi="Arial" w:cs="Arial"/>
                <w:sz w:val="22"/>
              </w:rPr>
            </w:pPr>
            <w:r w:rsidRPr="000D756E">
              <w:rPr>
                <w:rFonts w:ascii="Arial" w:hAnsi="Arial" w:cs="Arial"/>
                <w:sz w:val="22"/>
              </w:rPr>
              <w:t>-31</w:t>
            </w:r>
          </w:p>
        </w:tc>
        <w:tc>
          <w:tcPr>
            <w:tcW w:w="1128" w:type="dxa"/>
            <w:tcBorders>
              <w:top w:val="single" w:sz="4" w:space="0" w:color="auto"/>
              <w:left w:val="single" w:sz="4" w:space="0" w:color="auto"/>
              <w:bottom w:val="single" w:sz="4" w:space="0" w:color="auto"/>
              <w:right w:val="single" w:sz="4" w:space="0" w:color="auto"/>
            </w:tcBorders>
            <w:vAlign w:val="center"/>
          </w:tcPr>
          <w:p w14:paraId="41050500" w14:textId="7C5D1470" w:rsidR="00745901" w:rsidRPr="000D756E" w:rsidRDefault="00745901" w:rsidP="00745901">
            <w:pPr>
              <w:jc w:val="right"/>
              <w:rPr>
                <w:rFonts w:ascii="Arial" w:hAnsi="Arial" w:cs="Arial"/>
                <w:sz w:val="22"/>
              </w:rPr>
            </w:pPr>
            <w:r w:rsidRPr="000D756E">
              <w:rPr>
                <w:rFonts w:ascii="Arial" w:hAnsi="Arial" w:cs="Arial"/>
                <w:sz w:val="22"/>
              </w:rPr>
              <w:t>190</w:t>
            </w:r>
          </w:p>
        </w:tc>
        <w:tc>
          <w:tcPr>
            <w:tcW w:w="984" w:type="dxa"/>
            <w:tcBorders>
              <w:top w:val="single" w:sz="4" w:space="0" w:color="auto"/>
              <w:left w:val="single" w:sz="4" w:space="0" w:color="auto"/>
              <w:bottom w:val="single" w:sz="4" w:space="0" w:color="auto"/>
              <w:right w:val="single" w:sz="4" w:space="0" w:color="auto"/>
            </w:tcBorders>
            <w:vAlign w:val="center"/>
          </w:tcPr>
          <w:p w14:paraId="789D9A5A" w14:textId="27DD0BEC" w:rsidR="00745901" w:rsidRPr="000D756E" w:rsidRDefault="00745901" w:rsidP="00745901">
            <w:pPr>
              <w:jc w:val="right"/>
              <w:rPr>
                <w:rFonts w:ascii="Arial" w:hAnsi="Arial" w:cs="Arial"/>
                <w:b/>
                <w:sz w:val="22"/>
              </w:rPr>
            </w:pPr>
            <w:r w:rsidRPr="000D756E">
              <w:rPr>
                <w:rFonts w:ascii="Arial" w:hAnsi="Arial" w:cs="Arial"/>
                <w:b/>
                <w:sz w:val="22"/>
              </w:rPr>
              <w:t>275</w:t>
            </w:r>
          </w:p>
        </w:tc>
        <w:tc>
          <w:tcPr>
            <w:tcW w:w="1128" w:type="dxa"/>
            <w:tcBorders>
              <w:top w:val="single" w:sz="4" w:space="0" w:color="auto"/>
              <w:left w:val="single" w:sz="4" w:space="0" w:color="auto"/>
              <w:bottom w:val="single" w:sz="4" w:space="0" w:color="auto"/>
              <w:right w:val="single" w:sz="4" w:space="0" w:color="auto"/>
            </w:tcBorders>
            <w:vAlign w:val="center"/>
          </w:tcPr>
          <w:p w14:paraId="5137683A" w14:textId="60E7797D" w:rsidR="00745901" w:rsidRPr="000D756E" w:rsidRDefault="000E2153" w:rsidP="00745901">
            <w:pPr>
              <w:jc w:val="right"/>
              <w:rPr>
                <w:rFonts w:ascii="Arial" w:hAnsi="Arial" w:cs="Arial"/>
                <w:sz w:val="22"/>
              </w:rPr>
            </w:pPr>
            <w:r>
              <w:rPr>
                <w:rFonts w:ascii="Arial" w:hAnsi="Arial" w:cs="Arial"/>
                <w:sz w:val="22"/>
              </w:rPr>
              <w:t>-44</w:t>
            </w:r>
          </w:p>
        </w:tc>
        <w:tc>
          <w:tcPr>
            <w:tcW w:w="1128" w:type="dxa"/>
            <w:tcBorders>
              <w:top w:val="single" w:sz="4" w:space="0" w:color="auto"/>
              <w:left w:val="single" w:sz="4" w:space="0" w:color="auto"/>
              <w:bottom w:val="single" w:sz="4" w:space="0" w:color="auto"/>
              <w:right w:val="single" w:sz="4" w:space="0" w:color="auto"/>
            </w:tcBorders>
            <w:vAlign w:val="center"/>
          </w:tcPr>
          <w:p w14:paraId="55A66AE3" w14:textId="41CDCF63" w:rsidR="00745901" w:rsidRPr="000D756E" w:rsidRDefault="00DC13DD" w:rsidP="00745901">
            <w:pPr>
              <w:jc w:val="right"/>
              <w:rPr>
                <w:rFonts w:ascii="Arial" w:hAnsi="Arial" w:cs="Arial"/>
                <w:sz w:val="22"/>
              </w:rPr>
            </w:pPr>
            <w:r>
              <w:rPr>
                <w:rFonts w:ascii="Arial" w:hAnsi="Arial" w:cs="Arial"/>
                <w:sz w:val="22"/>
              </w:rPr>
              <w:t>40</w:t>
            </w:r>
          </w:p>
        </w:tc>
        <w:tc>
          <w:tcPr>
            <w:tcW w:w="984" w:type="dxa"/>
            <w:tcBorders>
              <w:top w:val="single" w:sz="4" w:space="0" w:color="auto"/>
              <w:left w:val="single" w:sz="4" w:space="0" w:color="auto"/>
              <w:bottom w:val="single" w:sz="4" w:space="0" w:color="auto"/>
              <w:right w:val="single" w:sz="4" w:space="0" w:color="auto"/>
            </w:tcBorders>
            <w:vAlign w:val="center"/>
          </w:tcPr>
          <w:p w14:paraId="6C5F5CEE" w14:textId="019857F5" w:rsidR="00745901" w:rsidRPr="000D756E" w:rsidRDefault="000E2153" w:rsidP="00745901">
            <w:pPr>
              <w:jc w:val="right"/>
              <w:rPr>
                <w:rFonts w:ascii="Arial" w:hAnsi="Arial" w:cs="Arial"/>
                <w:b/>
                <w:sz w:val="22"/>
              </w:rPr>
            </w:pPr>
            <w:r>
              <w:rPr>
                <w:rFonts w:ascii="Arial" w:hAnsi="Arial" w:cs="Arial"/>
                <w:b/>
                <w:sz w:val="22"/>
              </w:rPr>
              <w:t>271</w:t>
            </w:r>
          </w:p>
        </w:tc>
      </w:tr>
      <w:tr w:rsidR="00745901" w:rsidRPr="000D756E" w14:paraId="0902CF91" w14:textId="77777777" w:rsidTr="00FA6905">
        <w:tc>
          <w:tcPr>
            <w:tcW w:w="1555" w:type="dxa"/>
            <w:tcBorders>
              <w:top w:val="single" w:sz="4" w:space="0" w:color="auto"/>
              <w:left w:val="single" w:sz="4" w:space="0" w:color="auto"/>
              <w:bottom w:val="single" w:sz="4" w:space="0" w:color="auto"/>
              <w:right w:val="single" w:sz="4" w:space="0" w:color="auto"/>
            </w:tcBorders>
          </w:tcPr>
          <w:p w14:paraId="37F4166B" w14:textId="0A78C7D3" w:rsidR="00745901" w:rsidRPr="000D756E" w:rsidRDefault="00745901" w:rsidP="00745901">
            <w:pPr>
              <w:rPr>
                <w:rFonts w:ascii="Arial" w:hAnsi="Arial" w:cs="Arial"/>
                <w:bCs/>
              </w:rPr>
            </w:pPr>
            <w:r w:rsidRPr="000D756E">
              <w:rPr>
                <w:rFonts w:ascii="Arial" w:hAnsi="Arial" w:cs="Arial"/>
                <w:bCs/>
              </w:rPr>
              <w:t>Usable Capital Receipts Reserve</w:t>
            </w:r>
          </w:p>
        </w:tc>
        <w:tc>
          <w:tcPr>
            <w:tcW w:w="984" w:type="dxa"/>
            <w:tcBorders>
              <w:top w:val="single" w:sz="4" w:space="0" w:color="auto"/>
              <w:left w:val="single" w:sz="4" w:space="0" w:color="auto"/>
              <w:bottom w:val="single" w:sz="4" w:space="0" w:color="auto"/>
              <w:right w:val="single" w:sz="4" w:space="0" w:color="auto"/>
            </w:tcBorders>
            <w:vAlign w:val="center"/>
          </w:tcPr>
          <w:p w14:paraId="2A0CD2DA" w14:textId="52CBC19F" w:rsidR="00745901" w:rsidRPr="000D756E" w:rsidRDefault="00745901" w:rsidP="00745901">
            <w:pPr>
              <w:jc w:val="right"/>
              <w:rPr>
                <w:rFonts w:ascii="Arial" w:hAnsi="Arial" w:cs="Arial"/>
                <w:b/>
                <w:sz w:val="22"/>
              </w:rPr>
            </w:pPr>
            <w:r w:rsidRPr="000D756E">
              <w:rPr>
                <w:rFonts w:ascii="Arial" w:hAnsi="Arial" w:cs="Arial"/>
                <w:b/>
                <w:sz w:val="22"/>
              </w:rPr>
              <w:t>41</w:t>
            </w:r>
          </w:p>
        </w:tc>
        <w:tc>
          <w:tcPr>
            <w:tcW w:w="1128" w:type="dxa"/>
            <w:tcBorders>
              <w:top w:val="single" w:sz="4" w:space="0" w:color="auto"/>
              <w:left w:val="single" w:sz="4" w:space="0" w:color="auto"/>
              <w:bottom w:val="single" w:sz="4" w:space="0" w:color="auto"/>
              <w:right w:val="single" w:sz="4" w:space="0" w:color="auto"/>
            </w:tcBorders>
            <w:vAlign w:val="center"/>
          </w:tcPr>
          <w:p w14:paraId="4901AFB7" w14:textId="598211C3" w:rsidR="00745901" w:rsidRPr="000D756E" w:rsidRDefault="00745901" w:rsidP="00745901">
            <w:pPr>
              <w:jc w:val="right"/>
              <w:rPr>
                <w:rFonts w:ascii="Arial" w:hAnsi="Arial" w:cs="Arial"/>
                <w:bCs/>
                <w:sz w:val="22"/>
              </w:rPr>
            </w:pPr>
            <w:r w:rsidRPr="000D756E">
              <w:rPr>
                <w:rFonts w:ascii="Arial" w:hAnsi="Arial" w:cs="Arial"/>
                <w:bCs/>
                <w:sz w:val="22"/>
              </w:rPr>
              <w:t>-129</w:t>
            </w:r>
          </w:p>
        </w:tc>
        <w:tc>
          <w:tcPr>
            <w:tcW w:w="1128" w:type="dxa"/>
            <w:tcBorders>
              <w:top w:val="single" w:sz="4" w:space="0" w:color="auto"/>
              <w:left w:val="single" w:sz="4" w:space="0" w:color="auto"/>
              <w:bottom w:val="single" w:sz="4" w:space="0" w:color="auto"/>
              <w:right w:val="single" w:sz="4" w:space="0" w:color="auto"/>
            </w:tcBorders>
            <w:vAlign w:val="center"/>
          </w:tcPr>
          <w:p w14:paraId="60BED3FF" w14:textId="33D652BF" w:rsidR="00745901" w:rsidRPr="000D756E" w:rsidRDefault="00745901" w:rsidP="00745901">
            <w:pPr>
              <w:jc w:val="center"/>
              <w:rPr>
                <w:rFonts w:ascii="Arial" w:hAnsi="Arial" w:cs="Arial"/>
                <w:bCs/>
                <w:sz w:val="22"/>
              </w:rPr>
            </w:pPr>
            <w:r w:rsidRPr="000D756E">
              <w:rPr>
                <w:rFonts w:ascii="Arial" w:hAnsi="Arial" w:cs="Arial"/>
                <w:bCs/>
                <w:sz w:val="22"/>
              </w:rPr>
              <w:t>146</w:t>
            </w:r>
          </w:p>
        </w:tc>
        <w:tc>
          <w:tcPr>
            <w:tcW w:w="984" w:type="dxa"/>
            <w:tcBorders>
              <w:top w:val="single" w:sz="4" w:space="0" w:color="auto"/>
              <w:left w:val="single" w:sz="4" w:space="0" w:color="auto"/>
              <w:bottom w:val="single" w:sz="4" w:space="0" w:color="auto"/>
              <w:right w:val="single" w:sz="4" w:space="0" w:color="auto"/>
            </w:tcBorders>
            <w:vAlign w:val="center"/>
          </w:tcPr>
          <w:p w14:paraId="13D7D9A5" w14:textId="3D03D8B5" w:rsidR="00745901" w:rsidRPr="000D756E" w:rsidRDefault="00745901" w:rsidP="00745901">
            <w:pPr>
              <w:jc w:val="right"/>
              <w:rPr>
                <w:rFonts w:ascii="Arial" w:hAnsi="Arial" w:cs="Arial"/>
                <w:b/>
                <w:sz w:val="22"/>
              </w:rPr>
            </w:pPr>
            <w:r w:rsidRPr="000D756E">
              <w:rPr>
                <w:rFonts w:ascii="Arial" w:hAnsi="Arial" w:cs="Arial"/>
                <w:b/>
                <w:sz w:val="22"/>
              </w:rPr>
              <w:t>58</w:t>
            </w:r>
          </w:p>
        </w:tc>
        <w:tc>
          <w:tcPr>
            <w:tcW w:w="1128" w:type="dxa"/>
            <w:tcBorders>
              <w:top w:val="single" w:sz="4" w:space="0" w:color="auto"/>
              <w:left w:val="single" w:sz="4" w:space="0" w:color="auto"/>
              <w:bottom w:val="single" w:sz="4" w:space="0" w:color="auto"/>
              <w:right w:val="single" w:sz="4" w:space="0" w:color="auto"/>
            </w:tcBorders>
            <w:vAlign w:val="center"/>
          </w:tcPr>
          <w:p w14:paraId="5AC55A05" w14:textId="4C7304BB" w:rsidR="00745901" w:rsidRPr="000D756E" w:rsidRDefault="000E2153" w:rsidP="00745901">
            <w:pPr>
              <w:jc w:val="right"/>
              <w:rPr>
                <w:rFonts w:ascii="Arial" w:hAnsi="Arial" w:cs="Arial"/>
                <w:bCs/>
                <w:sz w:val="22"/>
              </w:rPr>
            </w:pPr>
            <w:r>
              <w:rPr>
                <w:rFonts w:ascii="Arial" w:hAnsi="Arial" w:cs="Arial"/>
                <w:bCs/>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601B4BCE" w14:textId="59D21930" w:rsidR="00745901" w:rsidRPr="000D756E" w:rsidRDefault="000E2153" w:rsidP="00745901">
            <w:pPr>
              <w:jc w:val="right"/>
              <w:rPr>
                <w:rFonts w:ascii="Arial" w:hAnsi="Arial" w:cs="Arial"/>
                <w:bCs/>
                <w:sz w:val="22"/>
              </w:rPr>
            </w:pPr>
            <w:r>
              <w:rPr>
                <w:rFonts w:ascii="Arial" w:hAnsi="Arial" w:cs="Arial"/>
                <w:bCs/>
                <w:sz w:val="22"/>
              </w:rPr>
              <w:t>152</w:t>
            </w:r>
          </w:p>
        </w:tc>
        <w:tc>
          <w:tcPr>
            <w:tcW w:w="984" w:type="dxa"/>
            <w:tcBorders>
              <w:top w:val="single" w:sz="4" w:space="0" w:color="auto"/>
              <w:left w:val="single" w:sz="4" w:space="0" w:color="auto"/>
              <w:bottom w:val="single" w:sz="4" w:space="0" w:color="auto"/>
              <w:right w:val="single" w:sz="4" w:space="0" w:color="auto"/>
            </w:tcBorders>
            <w:vAlign w:val="center"/>
          </w:tcPr>
          <w:p w14:paraId="1237FD73" w14:textId="0A012137" w:rsidR="00745901" w:rsidRPr="000D756E" w:rsidRDefault="000E2153" w:rsidP="00745901">
            <w:pPr>
              <w:jc w:val="right"/>
              <w:rPr>
                <w:rFonts w:ascii="Arial" w:hAnsi="Arial" w:cs="Arial"/>
                <w:b/>
                <w:sz w:val="22"/>
              </w:rPr>
            </w:pPr>
            <w:r>
              <w:rPr>
                <w:rFonts w:ascii="Arial" w:hAnsi="Arial" w:cs="Arial"/>
                <w:b/>
                <w:sz w:val="22"/>
              </w:rPr>
              <w:t>210</w:t>
            </w:r>
          </w:p>
        </w:tc>
      </w:tr>
      <w:tr w:rsidR="00745901" w:rsidRPr="000D756E" w14:paraId="1D9EAA21" w14:textId="77777777" w:rsidTr="00FA6905">
        <w:tc>
          <w:tcPr>
            <w:tcW w:w="1555" w:type="dxa"/>
            <w:tcBorders>
              <w:top w:val="single" w:sz="4" w:space="0" w:color="auto"/>
              <w:left w:val="single" w:sz="4" w:space="0" w:color="auto"/>
              <w:bottom w:val="single" w:sz="4" w:space="0" w:color="auto"/>
              <w:right w:val="single" w:sz="4" w:space="0" w:color="auto"/>
            </w:tcBorders>
          </w:tcPr>
          <w:p w14:paraId="54A2231C" w14:textId="77777777" w:rsidR="00745901" w:rsidRPr="000D756E" w:rsidRDefault="00745901" w:rsidP="00745901">
            <w:pPr>
              <w:rPr>
                <w:rFonts w:ascii="Arial" w:hAnsi="Arial" w:cs="Arial"/>
                <w:b/>
              </w:rPr>
            </w:pPr>
          </w:p>
          <w:p w14:paraId="6B29D3DE" w14:textId="77777777" w:rsidR="00745901" w:rsidRPr="000D756E" w:rsidRDefault="00745901" w:rsidP="00745901">
            <w:pPr>
              <w:rPr>
                <w:rFonts w:ascii="Arial" w:hAnsi="Arial" w:cs="Arial"/>
                <w:b/>
              </w:rPr>
            </w:pPr>
            <w:r w:rsidRPr="000D756E">
              <w:rPr>
                <w:rFonts w:ascii="Arial" w:hAnsi="Arial" w:cs="Arial"/>
                <w:b/>
              </w:rPr>
              <w:t>Total</w:t>
            </w:r>
          </w:p>
        </w:tc>
        <w:tc>
          <w:tcPr>
            <w:tcW w:w="984" w:type="dxa"/>
            <w:tcBorders>
              <w:top w:val="single" w:sz="4" w:space="0" w:color="auto"/>
              <w:left w:val="single" w:sz="4" w:space="0" w:color="auto"/>
              <w:bottom w:val="single" w:sz="4" w:space="0" w:color="auto"/>
              <w:right w:val="single" w:sz="4" w:space="0" w:color="auto"/>
            </w:tcBorders>
            <w:vAlign w:val="center"/>
          </w:tcPr>
          <w:p w14:paraId="3EB1DEAA" w14:textId="4ED95D5B" w:rsidR="00745901" w:rsidRPr="000D756E" w:rsidRDefault="00745901" w:rsidP="00745901">
            <w:pPr>
              <w:jc w:val="right"/>
              <w:rPr>
                <w:rFonts w:ascii="Arial" w:hAnsi="Arial" w:cs="Arial"/>
                <w:b/>
                <w:sz w:val="22"/>
              </w:rPr>
            </w:pPr>
            <w:r w:rsidRPr="000D756E">
              <w:rPr>
                <w:rFonts w:ascii="Arial" w:hAnsi="Arial" w:cs="Arial"/>
                <w:b/>
                <w:sz w:val="22"/>
              </w:rPr>
              <w:t>12,818</w:t>
            </w:r>
          </w:p>
        </w:tc>
        <w:tc>
          <w:tcPr>
            <w:tcW w:w="1128" w:type="dxa"/>
            <w:tcBorders>
              <w:top w:val="single" w:sz="4" w:space="0" w:color="auto"/>
              <w:left w:val="single" w:sz="4" w:space="0" w:color="auto"/>
              <w:bottom w:val="single" w:sz="4" w:space="0" w:color="auto"/>
              <w:right w:val="single" w:sz="4" w:space="0" w:color="auto"/>
            </w:tcBorders>
            <w:vAlign w:val="center"/>
          </w:tcPr>
          <w:p w14:paraId="48B7F2B4" w14:textId="26F3E0F4" w:rsidR="00745901" w:rsidRPr="000D756E" w:rsidRDefault="00745901" w:rsidP="00745901">
            <w:pPr>
              <w:jc w:val="right"/>
              <w:rPr>
                <w:rFonts w:ascii="Arial" w:hAnsi="Arial" w:cs="Arial"/>
                <w:b/>
                <w:sz w:val="22"/>
              </w:rPr>
            </w:pPr>
            <w:r w:rsidRPr="000D756E">
              <w:rPr>
                <w:rFonts w:ascii="Arial" w:hAnsi="Arial" w:cs="Arial"/>
                <w:b/>
                <w:sz w:val="22"/>
              </w:rPr>
              <w:t>-3,731</w:t>
            </w:r>
          </w:p>
        </w:tc>
        <w:tc>
          <w:tcPr>
            <w:tcW w:w="1128" w:type="dxa"/>
            <w:tcBorders>
              <w:top w:val="single" w:sz="4" w:space="0" w:color="auto"/>
              <w:left w:val="single" w:sz="4" w:space="0" w:color="auto"/>
              <w:bottom w:val="single" w:sz="4" w:space="0" w:color="auto"/>
              <w:right w:val="single" w:sz="4" w:space="0" w:color="auto"/>
            </w:tcBorders>
            <w:vAlign w:val="center"/>
          </w:tcPr>
          <w:p w14:paraId="53E6C027" w14:textId="1136FE8D" w:rsidR="00745901" w:rsidRPr="000D756E" w:rsidRDefault="00745901" w:rsidP="00745901">
            <w:pPr>
              <w:jc w:val="right"/>
              <w:rPr>
                <w:rFonts w:ascii="Arial" w:hAnsi="Arial" w:cs="Arial"/>
                <w:b/>
                <w:sz w:val="22"/>
              </w:rPr>
            </w:pPr>
            <w:r w:rsidRPr="000D756E">
              <w:rPr>
                <w:rFonts w:ascii="Arial" w:hAnsi="Arial" w:cs="Arial"/>
                <w:b/>
                <w:sz w:val="22"/>
              </w:rPr>
              <w:t>4,473</w:t>
            </w:r>
          </w:p>
        </w:tc>
        <w:tc>
          <w:tcPr>
            <w:tcW w:w="984" w:type="dxa"/>
            <w:tcBorders>
              <w:top w:val="single" w:sz="4" w:space="0" w:color="auto"/>
              <w:left w:val="single" w:sz="4" w:space="0" w:color="auto"/>
              <w:bottom w:val="single" w:sz="4" w:space="0" w:color="auto"/>
              <w:right w:val="single" w:sz="4" w:space="0" w:color="auto"/>
            </w:tcBorders>
            <w:vAlign w:val="center"/>
          </w:tcPr>
          <w:p w14:paraId="56666D10" w14:textId="1DF2FBCD" w:rsidR="00745901" w:rsidRPr="000D756E" w:rsidRDefault="00745901" w:rsidP="00745901">
            <w:pPr>
              <w:jc w:val="right"/>
              <w:rPr>
                <w:rFonts w:ascii="Arial" w:hAnsi="Arial" w:cs="Arial"/>
                <w:b/>
                <w:sz w:val="22"/>
              </w:rPr>
            </w:pPr>
            <w:r w:rsidRPr="000D756E">
              <w:rPr>
                <w:rFonts w:ascii="Arial" w:hAnsi="Arial" w:cs="Arial"/>
                <w:b/>
                <w:sz w:val="22"/>
              </w:rPr>
              <w:t>13,560</w:t>
            </w:r>
          </w:p>
        </w:tc>
        <w:tc>
          <w:tcPr>
            <w:tcW w:w="1128" w:type="dxa"/>
            <w:tcBorders>
              <w:top w:val="single" w:sz="4" w:space="0" w:color="auto"/>
              <w:left w:val="single" w:sz="4" w:space="0" w:color="auto"/>
              <w:bottom w:val="single" w:sz="4" w:space="0" w:color="auto"/>
              <w:right w:val="single" w:sz="4" w:space="0" w:color="auto"/>
            </w:tcBorders>
            <w:vAlign w:val="center"/>
          </w:tcPr>
          <w:p w14:paraId="3272D0EF" w14:textId="11560339" w:rsidR="00745901" w:rsidRPr="000D756E" w:rsidRDefault="00A9116C" w:rsidP="00745901">
            <w:pPr>
              <w:jc w:val="right"/>
              <w:rPr>
                <w:rFonts w:ascii="Arial" w:hAnsi="Arial" w:cs="Arial"/>
                <w:b/>
                <w:sz w:val="22"/>
              </w:rPr>
            </w:pPr>
            <w:r>
              <w:rPr>
                <w:rFonts w:ascii="Arial" w:hAnsi="Arial" w:cs="Arial"/>
                <w:b/>
                <w:sz w:val="22"/>
              </w:rPr>
              <w:t>-</w:t>
            </w:r>
            <w:r w:rsidR="0065635D">
              <w:rPr>
                <w:rFonts w:ascii="Arial" w:hAnsi="Arial" w:cs="Arial"/>
                <w:b/>
                <w:sz w:val="22"/>
              </w:rPr>
              <w:t>7,122</w:t>
            </w:r>
          </w:p>
        </w:tc>
        <w:tc>
          <w:tcPr>
            <w:tcW w:w="1128" w:type="dxa"/>
            <w:tcBorders>
              <w:top w:val="single" w:sz="4" w:space="0" w:color="auto"/>
              <w:left w:val="single" w:sz="4" w:space="0" w:color="auto"/>
              <w:bottom w:val="single" w:sz="4" w:space="0" w:color="auto"/>
              <w:right w:val="single" w:sz="4" w:space="0" w:color="auto"/>
            </w:tcBorders>
            <w:vAlign w:val="center"/>
          </w:tcPr>
          <w:p w14:paraId="79C63DA8" w14:textId="0812E831" w:rsidR="00745901" w:rsidRPr="000D756E" w:rsidRDefault="00D34B43" w:rsidP="00745901">
            <w:pPr>
              <w:jc w:val="right"/>
              <w:rPr>
                <w:rFonts w:ascii="Arial" w:hAnsi="Arial" w:cs="Arial"/>
                <w:b/>
                <w:sz w:val="22"/>
              </w:rPr>
            </w:pPr>
            <w:r>
              <w:rPr>
                <w:rFonts w:ascii="Arial" w:hAnsi="Arial" w:cs="Arial"/>
                <w:b/>
                <w:sz w:val="22"/>
              </w:rPr>
              <w:t>4,53</w:t>
            </w:r>
            <w:r w:rsidR="00B71F46">
              <w:rPr>
                <w:rFonts w:ascii="Arial" w:hAnsi="Arial" w:cs="Arial"/>
                <w:b/>
                <w:sz w:val="22"/>
              </w:rPr>
              <w:t>9</w:t>
            </w:r>
          </w:p>
        </w:tc>
        <w:tc>
          <w:tcPr>
            <w:tcW w:w="984" w:type="dxa"/>
            <w:tcBorders>
              <w:top w:val="single" w:sz="4" w:space="0" w:color="auto"/>
              <w:left w:val="single" w:sz="4" w:space="0" w:color="auto"/>
              <w:bottom w:val="single" w:sz="4" w:space="0" w:color="auto"/>
              <w:right w:val="single" w:sz="4" w:space="0" w:color="auto"/>
            </w:tcBorders>
            <w:vAlign w:val="center"/>
          </w:tcPr>
          <w:p w14:paraId="45385842" w14:textId="4D167F81" w:rsidR="00745901" w:rsidRPr="000D756E" w:rsidRDefault="00036D22" w:rsidP="00745901">
            <w:pPr>
              <w:jc w:val="right"/>
              <w:rPr>
                <w:rFonts w:ascii="Arial" w:hAnsi="Arial" w:cs="Arial"/>
                <w:b/>
                <w:sz w:val="22"/>
              </w:rPr>
            </w:pPr>
            <w:r>
              <w:rPr>
                <w:rFonts w:ascii="Arial" w:hAnsi="Arial" w:cs="Arial"/>
                <w:b/>
                <w:sz w:val="22"/>
              </w:rPr>
              <w:t>10,97</w:t>
            </w:r>
            <w:r w:rsidR="00B71F46">
              <w:rPr>
                <w:rFonts w:ascii="Arial" w:hAnsi="Arial" w:cs="Arial"/>
                <w:b/>
                <w:sz w:val="22"/>
              </w:rPr>
              <w:t>7</w:t>
            </w:r>
          </w:p>
        </w:tc>
      </w:tr>
    </w:tbl>
    <w:p w14:paraId="0163835C" w14:textId="77777777" w:rsidR="002A572B" w:rsidRPr="000D756E" w:rsidRDefault="007637DC" w:rsidP="002A7C01">
      <w:pPr>
        <w:rPr>
          <w:rFonts w:ascii="Arial" w:hAnsi="Arial" w:cs="Arial"/>
          <w:b/>
          <w:sz w:val="24"/>
          <w:szCs w:val="24"/>
        </w:rPr>
      </w:pPr>
      <w:r w:rsidRPr="000D756E">
        <w:rPr>
          <w:rFonts w:ascii="Arial" w:hAnsi="Arial" w:cs="Arial"/>
          <w:b/>
          <w:sz w:val="24"/>
          <w:szCs w:val="24"/>
        </w:rPr>
        <w:br w:type="page"/>
      </w:r>
    </w:p>
    <w:p w14:paraId="4CB2413F" w14:textId="57568CB8" w:rsidR="005C0AC2" w:rsidRPr="000D756E" w:rsidRDefault="005C0AC2" w:rsidP="001D45AD">
      <w:pPr>
        <w:ind w:left="360"/>
        <w:rPr>
          <w:rFonts w:ascii="Arial" w:hAnsi="Arial" w:cs="Arial"/>
          <w:sz w:val="24"/>
          <w:szCs w:val="24"/>
        </w:rPr>
      </w:pPr>
    </w:p>
    <w:p w14:paraId="6D7DF177" w14:textId="027346AD" w:rsidR="002552C1" w:rsidRPr="008F1E33" w:rsidRDefault="00DE62E8" w:rsidP="001C227A">
      <w:pPr>
        <w:numPr>
          <w:ilvl w:val="0"/>
          <w:numId w:val="15"/>
        </w:numPr>
        <w:rPr>
          <w:rFonts w:ascii="Arial" w:hAnsi="Arial" w:cs="Arial"/>
          <w:b/>
          <w:sz w:val="24"/>
          <w:szCs w:val="24"/>
        </w:rPr>
      </w:pPr>
      <w:r w:rsidRPr="008F1E33">
        <w:rPr>
          <w:rFonts w:ascii="Arial" w:hAnsi="Arial" w:cs="Arial"/>
          <w:b/>
          <w:sz w:val="24"/>
          <w:szCs w:val="24"/>
        </w:rPr>
        <w:t>CAPITAL EXPENDITURE AND CAPITAL FINANCING</w:t>
      </w:r>
      <w:r w:rsidR="00B717DC" w:rsidRPr="008F1E33">
        <w:rPr>
          <w:rFonts w:ascii="Arial" w:hAnsi="Arial" w:cs="Arial"/>
          <w:b/>
          <w:sz w:val="24"/>
          <w:szCs w:val="24"/>
        </w:rPr>
        <w:t xml:space="preserve">   </w:t>
      </w:r>
      <w:r w:rsidR="00C16FCC" w:rsidRPr="008F1E33">
        <w:rPr>
          <w:rFonts w:ascii="Arial" w:hAnsi="Arial" w:cs="Arial"/>
          <w:b/>
          <w:sz w:val="24"/>
          <w:szCs w:val="24"/>
        </w:rPr>
        <w:t xml:space="preserve"> </w:t>
      </w:r>
    </w:p>
    <w:p w14:paraId="13A54B6F" w14:textId="77777777" w:rsidR="00AC5E47" w:rsidRPr="000D756E" w:rsidRDefault="00AC5E47" w:rsidP="002A7C01">
      <w:pPr>
        <w:rPr>
          <w:rFonts w:ascii="Arial" w:hAnsi="Arial" w:cs="Arial"/>
          <w:b/>
          <w:sz w:val="24"/>
          <w:szCs w:val="24"/>
        </w:rPr>
      </w:pPr>
    </w:p>
    <w:p w14:paraId="474B95B3" w14:textId="77777777" w:rsidR="002552C1" w:rsidRPr="000D756E" w:rsidRDefault="002552C1" w:rsidP="002A7C01">
      <w:pPr>
        <w:rPr>
          <w:rFonts w:ascii="Arial" w:hAnsi="Arial" w:cs="Arial"/>
          <w:sz w:val="24"/>
          <w:szCs w:val="24"/>
        </w:rPr>
      </w:pPr>
      <w:r w:rsidRPr="000D756E">
        <w:rPr>
          <w:rFonts w:ascii="Arial" w:hAnsi="Arial" w:cs="Arial"/>
          <w:sz w:val="24"/>
          <w:szCs w:val="24"/>
        </w:rPr>
        <w:t>The total amount of capital expenditure incurred in the year is shown in the table below, together with the resources that have been used to finance it. Where capital expenditure is to be financed in future years by charges to revenue as assets are used by the Authority, the expenditure results in an increase in the Capital Financing Requirement (CFR), a measure of the capital expenditure incurred historically by the Authority that has yet to be financed.</w:t>
      </w:r>
    </w:p>
    <w:p w14:paraId="39BACC98" w14:textId="77777777" w:rsidR="002552C1" w:rsidRPr="000D756E" w:rsidRDefault="002552C1" w:rsidP="002A7C01">
      <w:pPr>
        <w:rPr>
          <w:rFonts w:ascii="Arial" w:hAnsi="Arial" w:cs="Arial"/>
          <w:sz w:val="24"/>
          <w:szCs w:val="24"/>
        </w:rPr>
      </w:pPr>
    </w:p>
    <w:tbl>
      <w:tblPr>
        <w:tblW w:w="9019" w:type="dxa"/>
        <w:tblLook w:val="01E0" w:firstRow="1" w:lastRow="1" w:firstColumn="1" w:lastColumn="1" w:noHBand="0" w:noVBand="0"/>
      </w:tblPr>
      <w:tblGrid>
        <w:gridCol w:w="6235"/>
        <w:gridCol w:w="1339"/>
        <w:gridCol w:w="1445"/>
      </w:tblGrid>
      <w:tr w:rsidR="006329E6" w:rsidRPr="000D756E" w14:paraId="3CC2F6DF" w14:textId="77777777" w:rsidTr="00174FC1">
        <w:tc>
          <w:tcPr>
            <w:tcW w:w="6235" w:type="dxa"/>
            <w:tcBorders>
              <w:top w:val="single" w:sz="4" w:space="0" w:color="auto"/>
              <w:left w:val="single" w:sz="4" w:space="0" w:color="auto"/>
              <w:bottom w:val="single" w:sz="4" w:space="0" w:color="auto"/>
              <w:right w:val="single" w:sz="4" w:space="0" w:color="auto"/>
            </w:tcBorders>
          </w:tcPr>
          <w:p w14:paraId="4E47B185" w14:textId="77777777" w:rsidR="00174FC1" w:rsidRPr="000D756E" w:rsidRDefault="00174FC1" w:rsidP="00174FC1">
            <w:pPr>
              <w:rPr>
                <w:rFonts w:ascii="Arial" w:hAnsi="Arial" w:cs="Arial"/>
                <w:b/>
                <w:sz w:val="24"/>
                <w:szCs w:val="24"/>
              </w:rPr>
            </w:pPr>
          </w:p>
        </w:tc>
        <w:tc>
          <w:tcPr>
            <w:tcW w:w="1339" w:type="dxa"/>
            <w:tcBorders>
              <w:top w:val="single" w:sz="4" w:space="0" w:color="auto"/>
              <w:left w:val="single" w:sz="4" w:space="0" w:color="auto"/>
              <w:bottom w:val="single" w:sz="4" w:space="0" w:color="auto"/>
              <w:right w:val="single" w:sz="4" w:space="0" w:color="auto"/>
            </w:tcBorders>
          </w:tcPr>
          <w:p w14:paraId="0876531C" w14:textId="2AD6D21C" w:rsidR="00072035" w:rsidRPr="000D756E" w:rsidRDefault="00174FC1" w:rsidP="00174FC1">
            <w:pPr>
              <w:jc w:val="right"/>
              <w:rPr>
                <w:rFonts w:ascii="Arial" w:hAnsi="Arial" w:cs="Arial"/>
                <w:b/>
                <w:sz w:val="24"/>
                <w:szCs w:val="24"/>
              </w:rPr>
            </w:pPr>
            <w:r w:rsidRPr="000D756E">
              <w:rPr>
                <w:rFonts w:ascii="Arial" w:hAnsi="Arial" w:cs="Arial"/>
                <w:b/>
                <w:sz w:val="24"/>
                <w:szCs w:val="24"/>
              </w:rPr>
              <w:t>202</w:t>
            </w:r>
            <w:r w:rsidR="00AC0A91">
              <w:rPr>
                <w:rFonts w:ascii="Arial" w:hAnsi="Arial" w:cs="Arial"/>
                <w:b/>
                <w:sz w:val="24"/>
                <w:szCs w:val="24"/>
              </w:rPr>
              <w:t>4/25</w:t>
            </w:r>
          </w:p>
          <w:p w14:paraId="45915D7D" w14:textId="49BA3B00" w:rsidR="00174FC1" w:rsidRPr="000D756E" w:rsidRDefault="00174FC1" w:rsidP="00174FC1">
            <w:pPr>
              <w:jc w:val="right"/>
              <w:rPr>
                <w:rFonts w:ascii="Arial" w:hAnsi="Arial" w:cs="Arial"/>
                <w:b/>
                <w:sz w:val="24"/>
                <w:szCs w:val="24"/>
              </w:rPr>
            </w:pPr>
            <w:r w:rsidRPr="000D756E">
              <w:rPr>
                <w:rFonts w:ascii="Arial" w:hAnsi="Arial" w:cs="Arial"/>
                <w:b/>
                <w:sz w:val="24"/>
                <w:szCs w:val="24"/>
              </w:rPr>
              <w:t>£’000</w:t>
            </w:r>
          </w:p>
          <w:p w14:paraId="74BC65AA" w14:textId="77777777" w:rsidR="00174FC1" w:rsidRPr="000D756E" w:rsidRDefault="00174FC1" w:rsidP="00174FC1">
            <w:pPr>
              <w:jc w:val="right"/>
              <w:rPr>
                <w:rFonts w:ascii="Arial" w:hAnsi="Arial" w:cs="Arial"/>
                <w:b/>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028C018" w14:textId="372796E2" w:rsidR="00174FC1" w:rsidRPr="000D756E" w:rsidRDefault="00174FC1" w:rsidP="00174FC1">
            <w:pPr>
              <w:jc w:val="right"/>
              <w:rPr>
                <w:rFonts w:ascii="Arial" w:hAnsi="Arial" w:cs="Arial"/>
                <w:b/>
                <w:sz w:val="24"/>
                <w:szCs w:val="24"/>
              </w:rPr>
            </w:pPr>
            <w:r w:rsidRPr="000D756E">
              <w:rPr>
                <w:rFonts w:ascii="Arial" w:hAnsi="Arial" w:cs="Arial"/>
                <w:b/>
                <w:sz w:val="24"/>
                <w:szCs w:val="24"/>
              </w:rPr>
              <w:t>20</w:t>
            </w:r>
            <w:r w:rsidR="00E23B06" w:rsidRPr="000D756E">
              <w:rPr>
                <w:rFonts w:ascii="Arial" w:hAnsi="Arial" w:cs="Arial"/>
                <w:b/>
                <w:sz w:val="24"/>
                <w:szCs w:val="24"/>
              </w:rPr>
              <w:t>2</w:t>
            </w:r>
            <w:r w:rsidR="00AC0A91">
              <w:rPr>
                <w:rFonts w:ascii="Arial" w:hAnsi="Arial" w:cs="Arial"/>
                <w:b/>
                <w:sz w:val="24"/>
                <w:szCs w:val="24"/>
              </w:rPr>
              <w:t>3/24</w:t>
            </w:r>
          </w:p>
          <w:p w14:paraId="765E38D9" w14:textId="77777777" w:rsidR="00174FC1" w:rsidRPr="000D756E" w:rsidRDefault="00174FC1" w:rsidP="00174FC1">
            <w:pPr>
              <w:jc w:val="right"/>
              <w:rPr>
                <w:rFonts w:ascii="Arial" w:hAnsi="Arial" w:cs="Arial"/>
                <w:b/>
                <w:sz w:val="24"/>
                <w:szCs w:val="24"/>
              </w:rPr>
            </w:pPr>
            <w:r w:rsidRPr="000D756E">
              <w:rPr>
                <w:rFonts w:ascii="Arial" w:hAnsi="Arial" w:cs="Arial"/>
                <w:b/>
                <w:sz w:val="24"/>
                <w:szCs w:val="24"/>
              </w:rPr>
              <w:t>£’000</w:t>
            </w:r>
          </w:p>
          <w:p w14:paraId="4D0AC8CF" w14:textId="77777777" w:rsidR="00174FC1" w:rsidRPr="000D756E" w:rsidRDefault="00174FC1" w:rsidP="00174FC1">
            <w:pPr>
              <w:jc w:val="right"/>
              <w:rPr>
                <w:rFonts w:ascii="Arial" w:hAnsi="Arial" w:cs="Arial"/>
                <w:b/>
                <w:sz w:val="24"/>
                <w:szCs w:val="24"/>
              </w:rPr>
            </w:pPr>
          </w:p>
        </w:tc>
      </w:tr>
      <w:tr w:rsidR="00AC0A91" w:rsidRPr="000D756E" w14:paraId="4490A252" w14:textId="77777777" w:rsidTr="00174FC1">
        <w:trPr>
          <w:trHeight w:val="492"/>
        </w:trPr>
        <w:tc>
          <w:tcPr>
            <w:tcW w:w="6235" w:type="dxa"/>
            <w:tcBorders>
              <w:top w:val="single" w:sz="4" w:space="0" w:color="auto"/>
              <w:left w:val="single" w:sz="4" w:space="0" w:color="auto"/>
              <w:bottom w:val="single" w:sz="4" w:space="0" w:color="auto"/>
              <w:right w:val="single" w:sz="4" w:space="0" w:color="auto"/>
            </w:tcBorders>
          </w:tcPr>
          <w:p w14:paraId="1E85943E" w14:textId="77777777" w:rsidR="00AC0A91" w:rsidRPr="000D756E" w:rsidRDefault="00AC0A91" w:rsidP="00AC0A91">
            <w:pPr>
              <w:rPr>
                <w:rFonts w:ascii="Arial" w:hAnsi="Arial" w:cs="Arial"/>
                <w:b/>
                <w:sz w:val="24"/>
                <w:szCs w:val="24"/>
              </w:rPr>
            </w:pPr>
            <w:r w:rsidRPr="000D756E">
              <w:rPr>
                <w:rFonts w:ascii="Arial" w:hAnsi="Arial" w:cs="Arial"/>
                <w:b/>
                <w:sz w:val="24"/>
                <w:szCs w:val="24"/>
              </w:rPr>
              <w:t>Opening Capital Financing Requirement</w:t>
            </w:r>
          </w:p>
        </w:tc>
        <w:tc>
          <w:tcPr>
            <w:tcW w:w="1339" w:type="dxa"/>
            <w:tcBorders>
              <w:top w:val="single" w:sz="4" w:space="0" w:color="auto"/>
              <w:left w:val="single" w:sz="4" w:space="0" w:color="auto"/>
              <w:bottom w:val="single" w:sz="4" w:space="0" w:color="auto"/>
              <w:right w:val="single" w:sz="4" w:space="0" w:color="auto"/>
            </w:tcBorders>
          </w:tcPr>
          <w:p w14:paraId="0594D017" w14:textId="20885981" w:rsidR="00AC0A91" w:rsidRPr="000D756E" w:rsidRDefault="00AC0A91" w:rsidP="00AC0A91">
            <w:pPr>
              <w:jc w:val="right"/>
              <w:rPr>
                <w:rFonts w:ascii="Arial" w:hAnsi="Arial" w:cs="Arial"/>
                <w:b/>
                <w:sz w:val="24"/>
                <w:szCs w:val="24"/>
              </w:rPr>
            </w:pPr>
            <w:r>
              <w:rPr>
                <w:rFonts w:ascii="Arial" w:hAnsi="Arial" w:cs="Arial"/>
                <w:b/>
                <w:sz w:val="24"/>
                <w:szCs w:val="24"/>
              </w:rPr>
              <w:t>12,641</w:t>
            </w:r>
          </w:p>
        </w:tc>
        <w:tc>
          <w:tcPr>
            <w:tcW w:w="1445" w:type="dxa"/>
            <w:tcBorders>
              <w:top w:val="single" w:sz="4" w:space="0" w:color="auto"/>
              <w:left w:val="single" w:sz="4" w:space="0" w:color="auto"/>
              <w:bottom w:val="single" w:sz="4" w:space="0" w:color="auto"/>
              <w:right w:val="single" w:sz="4" w:space="0" w:color="auto"/>
            </w:tcBorders>
          </w:tcPr>
          <w:p w14:paraId="213AA5E5" w14:textId="1D86DBB4" w:rsidR="00AC0A91" w:rsidRPr="000D756E" w:rsidRDefault="00AC0A91" w:rsidP="00AC0A91">
            <w:pPr>
              <w:jc w:val="right"/>
              <w:rPr>
                <w:rFonts w:ascii="Arial" w:hAnsi="Arial" w:cs="Arial"/>
                <w:b/>
                <w:sz w:val="24"/>
                <w:szCs w:val="24"/>
              </w:rPr>
            </w:pPr>
            <w:r w:rsidRPr="000D756E">
              <w:rPr>
                <w:rFonts w:ascii="Arial" w:hAnsi="Arial" w:cs="Arial"/>
                <w:b/>
                <w:sz w:val="24"/>
                <w:szCs w:val="24"/>
              </w:rPr>
              <w:t>7,606</w:t>
            </w:r>
          </w:p>
        </w:tc>
      </w:tr>
      <w:tr w:rsidR="00AC0A91" w:rsidRPr="000D756E" w14:paraId="4239F728" w14:textId="77777777" w:rsidTr="00174FC1">
        <w:tc>
          <w:tcPr>
            <w:tcW w:w="6235" w:type="dxa"/>
            <w:tcBorders>
              <w:top w:val="single" w:sz="4" w:space="0" w:color="auto"/>
              <w:left w:val="single" w:sz="4" w:space="0" w:color="auto"/>
              <w:bottom w:val="single" w:sz="4" w:space="0" w:color="auto"/>
              <w:right w:val="single" w:sz="4" w:space="0" w:color="auto"/>
            </w:tcBorders>
          </w:tcPr>
          <w:p w14:paraId="7BAFEBB8" w14:textId="77777777" w:rsidR="00AC0A91" w:rsidRPr="000D756E" w:rsidRDefault="00AC0A91" w:rsidP="00AC0A91">
            <w:pPr>
              <w:rPr>
                <w:rFonts w:ascii="Arial" w:hAnsi="Arial" w:cs="Arial"/>
                <w:i/>
                <w:sz w:val="24"/>
                <w:szCs w:val="24"/>
              </w:rPr>
            </w:pPr>
            <w:r w:rsidRPr="000D756E">
              <w:rPr>
                <w:rFonts w:ascii="Arial" w:hAnsi="Arial" w:cs="Arial"/>
                <w:i/>
                <w:sz w:val="24"/>
                <w:szCs w:val="24"/>
              </w:rPr>
              <w:t>Capital investment</w:t>
            </w:r>
          </w:p>
        </w:tc>
        <w:tc>
          <w:tcPr>
            <w:tcW w:w="1339" w:type="dxa"/>
            <w:tcBorders>
              <w:top w:val="single" w:sz="4" w:space="0" w:color="auto"/>
              <w:left w:val="single" w:sz="4" w:space="0" w:color="auto"/>
              <w:bottom w:val="single" w:sz="4" w:space="0" w:color="auto"/>
              <w:right w:val="single" w:sz="4" w:space="0" w:color="auto"/>
            </w:tcBorders>
          </w:tcPr>
          <w:p w14:paraId="26F2DA12" w14:textId="77777777" w:rsidR="00AC0A91" w:rsidRPr="000D756E" w:rsidRDefault="00AC0A91" w:rsidP="00AC0A91">
            <w:pPr>
              <w:jc w:val="right"/>
              <w:rPr>
                <w:rFonts w:ascii="Arial" w:hAnsi="Arial" w:cs="Arial"/>
                <w:sz w:val="24"/>
                <w:szCs w:val="24"/>
              </w:rPr>
            </w:pPr>
          </w:p>
        </w:tc>
        <w:tc>
          <w:tcPr>
            <w:tcW w:w="1445" w:type="dxa"/>
            <w:tcBorders>
              <w:top w:val="single" w:sz="4" w:space="0" w:color="auto"/>
              <w:left w:val="single" w:sz="4" w:space="0" w:color="auto"/>
              <w:bottom w:val="single" w:sz="4" w:space="0" w:color="auto"/>
              <w:right w:val="single" w:sz="4" w:space="0" w:color="auto"/>
            </w:tcBorders>
          </w:tcPr>
          <w:p w14:paraId="537AF80B" w14:textId="77777777" w:rsidR="00AC0A91" w:rsidRPr="000D756E" w:rsidRDefault="00AC0A91" w:rsidP="00AC0A91">
            <w:pPr>
              <w:jc w:val="right"/>
              <w:rPr>
                <w:rFonts w:ascii="Arial" w:hAnsi="Arial" w:cs="Arial"/>
                <w:sz w:val="24"/>
                <w:szCs w:val="24"/>
              </w:rPr>
            </w:pPr>
          </w:p>
        </w:tc>
      </w:tr>
      <w:tr w:rsidR="00AC0A91" w:rsidRPr="000D756E" w14:paraId="1CE87CE6" w14:textId="77777777" w:rsidTr="00174FC1">
        <w:tc>
          <w:tcPr>
            <w:tcW w:w="6235" w:type="dxa"/>
            <w:tcBorders>
              <w:top w:val="single" w:sz="4" w:space="0" w:color="auto"/>
              <w:left w:val="single" w:sz="4" w:space="0" w:color="auto"/>
              <w:bottom w:val="single" w:sz="4" w:space="0" w:color="auto"/>
              <w:right w:val="single" w:sz="4" w:space="0" w:color="auto"/>
            </w:tcBorders>
          </w:tcPr>
          <w:p w14:paraId="44CB7ED7" w14:textId="77777777" w:rsidR="00AC0A91" w:rsidRPr="000D756E" w:rsidRDefault="00AC0A91" w:rsidP="00AC0A91">
            <w:pPr>
              <w:rPr>
                <w:rFonts w:ascii="Arial" w:hAnsi="Arial" w:cs="Arial"/>
                <w:sz w:val="24"/>
                <w:szCs w:val="24"/>
              </w:rPr>
            </w:pPr>
            <w:r w:rsidRPr="000D756E">
              <w:rPr>
                <w:rFonts w:ascii="Arial" w:hAnsi="Arial" w:cs="Arial"/>
                <w:sz w:val="24"/>
                <w:szCs w:val="24"/>
              </w:rPr>
              <w:t>Property Plant and Equipment</w:t>
            </w:r>
          </w:p>
        </w:tc>
        <w:tc>
          <w:tcPr>
            <w:tcW w:w="1339" w:type="dxa"/>
            <w:tcBorders>
              <w:top w:val="single" w:sz="4" w:space="0" w:color="auto"/>
              <w:left w:val="single" w:sz="4" w:space="0" w:color="auto"/>
              <w:bottom w:val="single" w:sz="4" w:space="0" w:color="auto"/>
              <w:right w:val="single" w:sz="4" w:space="0" w:color="auto"/>
            </w:tcBorders>
          </w:tcPr>
          <w:p w14:paraId="4DCDD89E" w14:textId="43A287CF" w:rsidR="00AC0A91" w:rsidRPr="000D756E" w:rsidRDefault="008F1E33" w:rsidP="00AC0A91">
            <w:pPr>
              <w:jc w:val="right"/>
              <w:rPr>
                <w:rFonts w:ascii="Arial" w:hAnsi="Arial" w:cs="Arial"/>
                <w:sz w:val="24"/>
                <w:szCs w:val="24"/>
              </w:rPr>
            </w:pPr>
            <w:r>
              <w:rPr>
                <w:rFonts w:ascii="Arial" w:hAnsi="Arial" w:cs="Arial"/>
                <w:sz w:val="24"/>
                <w:szCs w:val="24"/>
              </w:rPr>
              <w:t>6,162</w:t>
            </w:r>
          </w:p>
        </w:tc>
        <w:tc>
          <w:tcPr>
            <w:tcW w:w="1445" w:type="dxa"/>
            <w:tcBorders>
              <w:top w:val="single" w:sz="4" w:space="0" w:color="auto"/>
              <w:left w:val="single" w:sz="4" w:space="0" w:color="auto"/>
              <w:bottom w:val="single" w:sz="4" w:space="0" w:color="auto"/>
              <w:right w:val="single" w:sz="4" w:space="0" w:color="auto"/>
            </w:tcBorders>
          </w:tcPr>
          <w:p w14:paraId="38839AB0" w14:textId="029BE3B3" w:rsidR="00AC0A91" w:rsidRPr="000D756E" w:rsidRDefault="00AC0A91" w:rsidP="00AC0A91">
            <w:pPr>
              <w:jc w:val="right"/>
              <w:rPr>
                <w:rFonts w:ascii="Arial" w:hAnsi="Arial" w:cs="Arial"/>
                <w:sz w:val="24"/>
                <w:szCs w:val="24"/>
              </w:rPr>
            </w:pPr>
            <w:r w:rsidRPr="000D756E">
              <w:rPr>
                <w:rFonts w:ascii="Arial" w:hAnsi="Arial" w:cs="Arial"/>
                <w:sz w:val="24"/>
                <w:szCs w:val="24"/>
              </w:rPr>
              <w:t>6,509</w:t>
            </w:r>
          </w:p>
        </w:tc>
      </w:tr>
      <w:tr w:rsidR="00AC0A91" w:rsidRPr="000D756E" w14:paraId="676F20AC" w14:textId="77777777" w:rsidTr="00174FC1">
        <w:tc>
          <w:tcPr>
            <w:tcW w:w="6235" w:type="dxa"/>
            <w:tcBorders>
              <w:top w:val="single" w:sz="4" w:space="0" w:color="auto"/>
              <w:left w:val="single" w:sz="4" w:space="0" w:color="auto"/>
              <w:bottom w:val="single" w:sz="4" w:space="0" w:color="auto"/>
              <w:right w:val="single" w:sz="4" w:space="0" w:color="auto"/>
            </w:tcBorders>
          </w:tcPr>
          <w:p w14:paraId="1E0C554E" w14:textId="77777777" w:rsidR="00AC0A91" w:rsidRPr="000D756E" w:rsidRDefault="00AC0A91" w:rsidP="00AC0A91">
            <w:pPr>
              <w:rPr>
                <w:rFonts w:ascii="Arial" w:hAnsi="Arial" w:cs="Arial"/>
                <w:sz w:val="24"/>
                <w:szCs w:val="24"/>
              </w:rPr>
            </w:pPr>
          </w:p>
        </w:tc>
        <w:tc>
          <w:tcPr>
            <w:tcW w:w="1339" w:type="dxa"/>
            <w:tcBorders>
              <w:top w:val="single" w:sz="4" w:space="0" w:color="auto"/>
              <w:left w:val="single" w:sz="4" w:space="0" w:color="auto"/>
              <w:bottom w:val="single" w:sz="4" w:space="0" w:color="auto"/>
              <w:right w:val="single" w:sz="4" w:space="0" w:color="auto"/>
            </w:tcBorders>
          </w:tcPr>
          <w:p w14:paraId="5A314B54" w14:textId="77777777" w:rsidR="00AC0A91" w:rsidRPr="000D756E" w:rsidRDefault="00AC0A91" w:rsidP="00AC0A91">
            <w:pPr>
              <w:jc w:val="right"/>
              <w:rPr>
                <w:rFonts w:ascii="Arial" w:hAnsi="Arial" w:cs="Arial"/>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58D03F7" w14:textId="77777777" w:rsidR="00AC0A91" w:rsidRPr="000D756E" w:rsidRDefault="00AC0A91" w:rsidP="00AC0A91">
            <w:pPr>
              <w:jc w:val="right"/>
              <w:rPr>
                <w:rFonts w:ascii="Arial" w:hAnsi="Arial" w:cs="Arial"/>
                <w:sz w:val="24"/>
                <w:szCs w:val="24"/>
              </w:rPr>
            </w:pPr>
          </w:p>
        </w:tc>
      </w:tr>
      <w:tr w:rsidR="00AC0A91" w:rsidRPr="000D756E" w14:paraId="56A90DFF" w14:textId="77777777" w:rsidTr="00174FC1">
        <w:tc>
          <w:tcPr>
            <w:tcW w:w="6235" w:type="dxa"/>
            <w:tcBorders>
              <w:top w:val="single" w:sz="4" w:space="0" w:color="auto"/>
              <w:left w:val="single" w:sz="4" w:space="0" w:color="auto"/>
              <w:bottom w:val="single" w:sz="4" w:space="0" w:color="auto"/>
              <w:right w:val="single" w:sz="4" w:space="0" w:color="auto"/>
            </w:tcBorders>
          </w:tcPr>
          <w:p w14:paraId="2D45554E" w14:textId="77777777" w:rsidR="00AC0A91" w:rsidRPr="000D756E" w:rsidRDefault="00AC0A91" w:rsidP="00AC0A91">
            <w:pPr>
              <w:rPr>
                <w:rFonts w:ascii="Arial" w:hAnsi="Arial" w:cs="Arial"/>
                <w:i/>
                <w:sz w:val="24"/>
                <w:szCs w:val="24"/>
              </w:rPr>
            </w:pPr>
            <w:r w:rsidRPr="000D756E">
              <w:rPr>
                <w:rFonts w:ascii="Arial" w:hAnsi="Arial" w:cs="Arial"/>
                <w:i/>
                <w:sz w:val="24"/>
                <w:szCs w:val="24"/>
              </w:rPr>
              <w:t>Sources of Finance</w:t>
            </w:r>
          </w:p>
        </w:tc>
        <w:tc>
          <w:tcPr>
            <w:tcW w:w="1339" w:type="dxa"/>
            <w:tcBorders>
              <w:top w:val="single" w:sz="4" w:space="0" w:color="auto"/>
              <w:left w:val="single" w:sz="4" w:space="0" w:color="auto"/>
              <w:bottom w:val="single" w:sz="4" w:space="0" w:color="auto"/>
              <w:right w:val="single" w:sz="4" w:space="0" w:color="auto"/>
            </w:tcBorders>
          </w:tcPr>
          <w:p w14:paraId="57E65D9D" w14:textId="77777777" w:rsidR="00AC0A91" w:rsidRPr="000D756E" w:rsidRDefault="00AC0A91" w:rsidP="00AC0A91">
            <w:pPr>
              <w:jc w:val="right"/>
              <w:rPr>
                <w:rFonts w:ascii="Arial" w:hAnsi="Arial" w:cs="Arial"/>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AD76AA7" w14:textId="77777777" w:rsidR="00AC0A91" w:rsidRPr="000D756E" w:rsidRDefault="00AC0A91" w:rsidP="00AC0A91">
            <w:pPr>
              <w:jc w:val="right"/>
              <w:rPr>
                <w:rFonts w:ascii="Arial" w:hAnsi="Arial" w:cs="Arial"/>
                <w:sz w:val="24"/>
                <w:szCs w:val="24"/>
              </w:rPr>
            </w:pPr>
          </w:p>
        </w:tc>
      </w:tr>
      <w:tr w:rsidR="00AC0A91" w:rsidRPr="000D756E" w14:paraId="100E0106" w14:textId="77777777" w:rsidTr="00174FC1">
        <w:trPr>
          <w:trHeight w:val="960"/>
        </w:trPr>
        <w:tc>
          <w:tcPr>
            <w:tcW w:w="6235" w:type="dxa"/>
            <w:tcBorders>
              <w:top w:val="single" w:sz="4" w:space="0" w:color="auto"/>
              <w:left w:val="single" w:sz="4" w:space="0" w:color="auto"/>
              <w:bottom w:val="single" w:sz="4" w:space="0" w:color="auto"/>
              <w:right w:val="single" w:sz="4" w:space="0" w:color="auto"/>
            </w:tcBorders>
          </w:tcPr>
          <w:p w14:paraId="64549803" w14:textId="77777777" w:rsidR="00AC0A91" w:rsidRPr="000D756E" w:rsidRDefault="00AC0A91" w:rsidP="00AC0A91">
            <w:pPr>
              <w:rPr>
                <w:rFonts w:ascii="Arial" w:hAnsi="Arial" w:cs="Arial"/>
                <w:sz w:val="24"/>
                <w:szCs w:val="24"/>
              </w:rPr>
            </w:pPr>
            <w:r w:rsidRPr="000D756E">
              <w:rPr>
                <w:rFonts w:ascii="Arial" w:hAnsi="Arial" w:cs="Arial"/>
                <w:sz w:val="24"/>
                <w:szCs w:val="24"/>
              </w:rPr>
              <w:t>Sums set aside from revenue:</w:t>
            </w:r>
          </w:p>
          <w:p w14:paraId="1C58AA65" w14:textId="77777777" w:rsidR="00AC0A91" w:rsidRPr="000D756E" w:rsidRDefault="00AC0A91" w:rsidP="00AC0A91">
            <w:pPr>
              <w:rPr>
                <w:rFonts w:ascii="Arial" w:hAnsi="Arial" w:cs="Arial"/>
                <w:sz w:val="24"/>
                <w:szCs w:val="24"/>
              </w:rPr>
            </w:pPr>
            <w:r w:rsidRPr="000D756E">
              <w:rPr>
                <w:rFonts w:ascii="Arial" w:hAnsi="Arial" w:cs="Arial"/>
                <w:sz w:val="24"/>
                <w:szCs w:val="24"/>
              </w:rPr>
              <w:t>Direct revenue contributions</w:t>
            </w:r>
          </w:p>
          <w:p w14:paraId="108DAF79" w14:textId="77777777" w:rsidR="00AC0A91" w:rsidRPr="000D756E" w:rsidRDefault="00AC0A91" w:rsidP="00AC0A91">
            <w:pPr>
              <w:rPr>
                <w:rFonts w:ascii="Arial" w:hAnsi="Arial" w:cs="Arial"/>
                <w:sz w:val="24"/>
                <w:szCs w:val="24"/>
              </w:rPr>
            </w:pPr>
            <w:r w:rsidRPr="000D756E">
              <w:rPr>
                <w:rFonts w:ascii="Arial" w:hAnsi="Arial" w:cs="Arial"/>
                <w:sz w:val="24"/>
                <w:szCs w:val="24"/>
              </w:rPr>
              <w:t>MRP</w:t>
            </w:r>
          </w:p>
        </w:tc>
        <w:tc>
          <w:tcPr>
            <w:tcW w:w="1339" w:type="dxa"/>
            <w:tcBorders>
              <w:top w:val="single" w:sz="4" w:space="0" w:color="auto"/>
              <w:left w:val="single" w:sz="4" w:space="0" w:color="auto"/>
              <w:bottom w:val="single" w:sz="4" w:space="0" w:color="auto"/>
              <w:right w:val="single" w:sz="4" w:space="0" w:color="auto"/>
            </w:tcBorders>
          </w:tcPr>
          <w:p w14:paraId="7CBD0AC3" w14:textId="77777777" w:rsidR="00AC0A91" w:rsidRDefault="00AC0A91" w:rsidP="00AC0A91">
            <w:pPr>
              <w:jc w:val="right"/>
              <w:rPr>
                <w:rFonts w:ascii="Arial" w:hAnsi="Arial" w:cs="Arial"/>
                <w:sz w:val="24"/>
                <w:szCs w:val="24"/>
              </w:rPr>
            </w:pPr>
          </w:p>
          <w:p w14:paraId="716A202B" w14:textId="77777777" w:rsidR="008F1E33" w:rsidRDefault="008F1E33" w:rsidP="00AC0A91">
            <w:pPr>
              <w:jc w:val="right"/>
              <w:rPr>
                <w:rFonts w:ascii="Arial" w:hAnsi="Arial" w:cs="Arial"/>
                <w:sz w:val="24"/>
                <w:szCs w:val="24"/>
              </w:rPr>
            </w:pPr>
            <w:r>
              <w:rPr>
                <w:rFonts w:ascii="Arial" w:hAnsi="Arial" w:cs="Arial"/>
                <w:sz w:val="24"/>
                <w:szCs w:val="24"/>
              </w:rPr>
              <w:t>-3,96</w:t>
            </w:r>
            <w:r w:rsidR="00636878">
              <w:rPr>
                <w:rFonts w:ascii="Arial" w:hAnsi="Arial" w:cs="Arial"/>
                <w:sz w:val="24"/>
                <w:szCs w:val="24"/>
              </w:rPr>
              <w:t>8</w:t>
            </w:r>
          </w:p>
          <w:p w14:paraId="38F93B80" w14:textId="1691583D" w:rsidR="00636878" w:rsidRPr="000D756E" w:rsidRDefault="00636878" w:rsidP="00AC0A91">
            <w:pPr>
              <w:jc w:val="right"/>
              <w:rPr>
                <w:rFonts w:ascii="Arial" w:hAnsi="Arial" w:cs="Arial"/>
                <w:sz w:val="24"/>
                <w:szCs w:val="24"/>
              </w:rPr>
            </w:pPr>
            <w:r>
              <w:rPr>
                <w:rFonts w:ascii="Arial" w:hAnsi="Arial" w:cs="Arial"/>
                <w:sz w:val="24"/>
                <w:szCs w:val="24"/>
              </w:rPr>
              <w:t>-387</w:t>
            </w:r>
          </w:p>
        </w:tc>
        <w:tc>
          <w:tcPr>
            <w:tcW w:w="1445" w:type="dxa"/>
            <w:tcBorders>
              <w:top w:val="single" w:sz="4" w:space="0" w:color="auto"/>
              <w:left w:val="single" w:sz="4" w:space="0" w:color="auto"/>
              <w:bottom w:val="single" w:sz="4" w:space="0" w:color="auto"/>
              <w:right w:val="single" w:sz="4" w:space="0" w:color="auto"/>
            </w:tcBorders>
          </w:tcPr>
          <w:p w14:paraId="4757D580" w14:textId="77777777" w:rsidR="00AC0A91" w:rsidRPr="000D756E" w:rsidRDefault="00AC0A91" w:rsidP="00AC0A91">
            <w:pPr>
              <w:jc w:val="right"/>
              <w:rPr>
                <w:rFonts w:ascii="Arial" w:hAnsi="Arial" w:cs="Arial"/>
                <w:sz w:val="24"/>
                <w:szCs w:val="24"/>
              </w:rPr>
            </w:pPr>
          </w:p>
          <w:p w14:paraId="0FA66585" w14:textId="77777777" w:rsidR="00AC0A91" w:rsidRPr="000D756E" w:rsidRDefault="00AC0A91" w:rsidP="00AC0A91">
            <w:pPr>
              <w:jc w:val="right"/>
              <w:rPr>
                <w:rFonts w:ascii="Arial" w:hAnsi="Arial" w:cs="Arial"/>
                <w:sz w:val="24"/>
                <w:szCs w:val="24"/>
              </w:rPr>
            </w:pPr>
            <w:r w:rsidRPr="000D756E">
              <w:rPr>
                <w:rFonts w:ascii="Arial" w:hAnsi="Arial" w:cs="Arial"/>
                <w:sz w:val="24"/>
                <w:szCs w:val="24"/>
              </w:rPr>
              <w:t>-1,214</w:t>
            </w:r>
          </w:p>
          <w:p w14:paraId="57579862" w14:textId="7D9166DF" w:rsidR="00AC0A91" w:rsidRPr="000D756E" w:rsidRDefault="00AC0A91" w:rsidP="00AC0A91">
            <w:pPr>
              <w:jc w:val="right"/>
              <w:rPr>
                <w:rFonts w:ascii="Arial" w:hAnsi="Arial" w:cs="Arial"/>
                <w:sz w:val="24"/>
                <w:szCs w:val="24"/>
              </w:rPr>
            </w:pPr>
            <w:r w:rsidRPr="000D756E">
              <w:rPr>
                <w:rFonts w:ascii="Arial" w:hAnsi="Arial" w:cs="Arial"/>
                <w:sz w:val="24"/>
                <w:szCs w:val="24"/>
              </w:rPr>
              <w:t>-260</w:t>
            </w:r>
          </w:p>
        </w:tc>
      </w:tr>
      <w:tr w:rsidR="00AC0A91" w:rsidRPr="000D756E" w14:paraId="4DCBDC3C" w14:textId="77777777" w:rsidTr="00174FC1">
        <w:trPr>
          <w:trHeight w:val="348"/>
        </w:trPr>
        <w:tc>
          <w:tcPr>
            <w:tcW w:w="6235" w:type="dxa"/>
            <w:tcBorders>
              <w:top w:val="single" w:sz="4" w:space="0" w:color="auto"/>
              <w:left w:val="single" w:sz="4" w:space="0" w:color="auto"/>
              <w:bottom w:val="single" w:sz="4" w:space="0" w:color="auto"/>
              <w:right w:val="single" w:sz="4" w:space="0" w:color="auto"/>
            </w:tcBorders>
          </w:tcPr>
          <w:p w14:paraId="0449EA99" w14:textId="77777777" w:rsidR="00AC0A91" w:rsidRPr="000D756E" w:rsidRDefault="00AC0A91" w:rsidP="00AC0A91">
            <w:pPr>
              <w:rPr>
                <w:rFonts w:ascii="Arial" w:hAnsi="Arial" w:cs="Arial"/>
                <w:b/>
                <w:sz w:val="24"/>
                <w:szCs w:val="24"/>
              </w:rPr>
            </w:pPr>
            <w:r w:rsidRPr="000D756E">
              <w:rPr>
                <w:rFonts w:ascii="Arial" w:hAnsi="Arial" w:cs="Arial"/>
                <w:b/>
                <w:sz w:val="24"/>
                <w:szCs w:val="24"/>
              </w:rPr>
              <w:t>Closing Capital Financing Requirement</w:t>
            </w:r>
          </w:p>
        </w:tc>
        <w:tc>
          <w:tcPr>
            <w:tcW w:w="1339" w:type="dxa"/>
            <w:tcBorders>
              <w:top w:val="single" w:sz="4" w:space="0" w:color="auto"/>
              <w:left w:val="single" w:sz="4" w:space="0" w:color="auto"/>
              <w:bottom w:val="single" w:sz="4" w:space="0" w:color="auto"/>
              <w:right w:val="single" w:sz="4" w:space="0" w:color="auto"/>
            </w:tcBorders>
          </w:tcPr>
          <w:p w14:paraId="22B99187" w14:textId="1CEF4F5E" w:rsidR="00AC0A91" w:rsidRPr="000D756E" w:rsidRDefault="008A70F3" w:rsidP="00AC0A91">
            <w:pPr>
              <w:jc w:val="right"/>
              <w:rPr>
                <w:rFonts w:ascii="Arial" w:hAnsi="Arial" w:cs="Arial"/>
                <w:b/>
                <w:sz w:val="24"/>
                <w:szCs w:val="24"/>
              </w:rPr>
            </w:pPr>
            <w:r>
              <w:rPr>
                <w:rFonts w:ascii="Arial" w:hAnsi="Arial" w:cs="Arial"/>
                <w:b/>
                <w:sz w:val="24"/>
                <w:szCs w:val="24"/>
              </w:rPr>
              <w:t>14,448</w:t>
            </w:r>
          </w:p>
        </w:tc>
        <w:tc>
          <w:tcPr>
            <w:tcW w:w="1445" w:type="dxa"/>
            <w:tcBorders>
              <w:top w:val="single" w:sz="4" w:space="0" w:color="auto"/>
              <w:left w:val="single" w:sz="4" w:space="0" w:color="auto"/>
              <w:bottom w:val="single" w:sz="4" w:space="0" w:color="auto"/>
              <w:right w:val="single" w:sz="4" w:space="0" w:color="auto"/>
            </w:tcBorders>
          </w:tcPr>
          <w:p w14:paraId="6D4FF904" w14:textId="653A481B" w:rsidR="00AC0A91" w:rsidRPr="000D756E" w:rsidRDefault="00AC0A91" w:rsidP="00AC0A91">
            <w:pPr>
              <w:jc w:val="right"/>
              <w:rPr>
                <w:rFonts w:ascii="Arial" w:hAnsi="Arial" w:cs="Arial"/>
                <w:b/>
                <w:sz w:val="24"/>
                <w:szCs w:val="24"/>
              </w:rPr>
            </w:pPr>
            <w:r w:rsidRPr="000D756E">
              <w:rPr>
                <w:rFonts w:ascii="Arial" w:hAnsi="Arial" w:cs="Arial"/>
                <w:b/>
                <w:sz w:val="24"/>
                <w:szCs w:val="24"/>
              </w:rPr>
              <w:t>12,641</w:t>
            </w:r>
          </w:p>
        </w:tc>
      </w:tr>
      <w:tr w:rsidR="00AC0A91" w:rsidRPr="000D756E" w14:paraId="22ABEC2B" w14:textId="77777777" w:rsidTr="00174FC1">
        <w:trPr>
          <w:trHeight w:val="548"/>
        </w:trPr>
        <w:tc>
          <w:tcPr>
            <w:tcW w:w="6235" w:type="dxa"/>
            <w:tcBorders>
              <w:top w:val="single" w:sz="4" w:space="0" w:color="auto"/>
              <w:left w:val="single" w:sz="4" w:space="0" w:color="auto"/>
              <w:bottom w:val="single" w:sz="4" w:space="0" w:color="auto"/>
              <w:right w:val="single" w:sz="4" w:space="0" w:color="auto"/>
            </w:tcBorders>
          </w:tcPr>
          <w:p w14:paraId="20CCD373" w14:textId="77777777" w:rsidR="00AC0A91" w:rsidRPr="000D756E" w:rsidRDefault="00AC0A91" w:rsidP="00AC0A91">
            <w:pPr>
              <w:rPr>
                <w:rFonts w:ascii="Arial" w:hAnsi="Arial" w:cs="Arial"/>
                <w:b/>
                <w:sz w:val="24"/>
                <w:szCs w:val="24"/>
              </w:rPr>
            </w:pPr>
          </w:p>
          <w:p w14:paraId="6CD89A99" w14:textId="77777777" w:rsidR="00AC0A91" w:rsidRPr="000D756E" w:rsidRDefault="00AC0A91" w:rsidP="00AC0A91">
            <w:pPr>
              <w:rPr>
                <w:rFonts w:ascii="Arial" w:hAnsi="Arial" w:cs="Arial"/>
                <w:b/>
                <w:sz w:val="24"/>
                <w:szCs w:val="24"/>
              </w:rPr>
            </w:pPr>
            <w:r w:rsidRPr="000D756E">
              <w:rPr>
                <w:rFonts w:ascii="Arial" w:hAnsi="Arial" w:cs="Arial"/>
                <w:b/>
                <w:sz w:val="24"/>
                <w:szCs w:val="24"/>
              </w:rPr>
              <w:t>Explanation of movements in year</w:t>
            </w:r>
          </w:p>
          <w:p w14:paraId="4CAFC5C9" w14:textId="77777777" w:rsidR="00AC0A91" w:rsidRPr="000D756E" w:rsidRDefault="00AC0A91" w:rsidP="00AC0A91">
            <w:pPr>
              <w:rPr>
                <w:rFonts w:ascii="Arial" w:hAnsi="Arial" w:cs="Arial"/>
                <w:b/>
                <w:sz w:val="24"/>
                <w:szCs w:val="24"/>
              </w:rPr>
            </w:pPr>
          </w:p>
        </w:tc>
        <w:tc>
          <w:tcPr>
            <w:tcW w:w="1339" w:type="dxa"/>
            <w:tcBorders>
              <w:top w:val="single" w:sz="4" w:space="0" w:color="auto"/>
              <w:left w:val="single" w:sz="4" w:space="0" w:color="auto"/>
              <w:bottom w:val="single" w:sz="4" w:space="0" w:color="auto"/>
              <w:right w:val="single" w:sz="4" w:space="0" w:color="auto"/>
            </w:tcBorders>
          </w:tcPr>
          <w:p w14:paraId="0E438092" w14:textId="77777777" w:rsidR="00AC0A91" w:rsidRPr="000D756E" w:rsidRDefault="00AC0A91" w:rsidP="00AC0A91">
            <w:pPr>
              <w:jc w:val="right"/>
              <w:rPr>
                <w:rFonts w:ascii="Arial" w:hAnsi="Arial" w:cs="Arial"/>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2929038" w14:textId="77777777" w:rsidR="00AC0A91" w:rsidRPr="000D756E" w:rsidRDefault="00AC0A91" w:rsidP="00AC0A91">
            <w:pPr>
              <w:jc w:val="right"/>
              <w:rPr>
                <w:rFonts w:ascii="Arial" w:hAnsi="Arial" w:cs="Arial"/>
                <w:sz w:val="24"/>
                <w:szCs w:val="24"/>
              </w:rPr>
            </w:pPr>
          </w:p>
        </w:tc>
      </w:tr>
      <w:tr w:rsidR="00AC0A91" w:rsidRPr="000D756E" w14:paraId="41AD2B94" w14:textId="77777777" w:rsidTr="00174FC1">
        <w:trPr>
          <w:trHeight w:val="942"/>
        </w:trPr>
        <w:tc>
          <w:tcPr>
            <w:tcW w:w="6235" w:type="dxa"/>
            <w:tcBorders>
              <w:top w:val="single" w:sz="4" w:space="0" w:color="auto"/>
              <w:left w:val="single" w:sz="4" w:space="0" w:color="auto"/>
              <w:bottom w:val="single" w:sz="4" w:space="0" w:color="auto"/>
              <w:right w:val="single" w:sz="4" w:space="0" w:color="auto"/>
            </w:tcBorders>
          </w:tcPr>
          <w:p w14:paraId="388FF3C1" w14:textId="77777777" w:rsidR="00AC0A91" w:rsidRPr="000D756E" w:rsidRDefault="00AC0A91" w:rsidP="00AC0A91">
            <w:pPr>
              <w:rPr>
                <w:rFonts w:ascii="Arial" w:hAnsi="Arial" w:cs="Arial"/>
                <w:sz w:val="24"/>
                <w:szCs w:val="24"/>
              </w:rPr>
            </w:pPr>
            <w:r w:rsidRPr="000D756E">
              <w:rPr>
                <w:rFonts w:ascii="Arial" w:hAnsi="Arial" w:cs="Arial"/>
                <w:sz w:val="24"/>
                <w:szCs w:val="24"/>
              </w:rPr>
              <w:t>Decrease in underlying need to borrowing (supported by government financial assistance)</w:t>
            </w:r>
          </w:p>
        </w:tc>
        <w:tc>
          <w:tcPr>
            <w:tcW w:w="1339" w:type="dxa"/>
            <w:tcBorders>
              <w:top w:val="single" w:sz="4" w:space="0" w:color="auto"/>
              <w:left w:val="single" w:sz="4" w:space="0" w:color="auto"/>
              <w:bottom w:val="single" w:sz="4" w:space="0" w:color="auto"/>
              <w:right w:val="single" w:sz="4" w:space="0" w:color="auto"/>
            </w:tcBorders>
          </w:tcPr>
          <w:p w14:paraId="05870D8E" w14:textId="446666A0" w:rsidR="00AC0A91" w:rsidRPr="000D756E" w:rsidRDefault="00AC0A91" w:rsidP="00AC0A91">
            <w:pPr>
              <w:jc w:val="right"/>
              <w:rPr>
                <w:rFonts w:ascii="Arial" w:hAnsi="Arial" w:cs="Arial"/>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FC0002A" w14:textId="07ED27A7" w:rsidR="00AC0A91" w:rsidRPr="000D756E" w:rsidRDefault="00AC0A91" w:rsidP="00AC0A91">
            <w:pPr>
              <w:jc w:val="right"/>
              <w:rPr>
                <w:rFonts w:ascii="Arial" w:hAnsi="Arial" w:cs="Arial"/>
                <w:sz w:val="24"/>
                <w:szCs w:val="24"/>
              </w:rPr>
            </w:pPr>
          </w:p>
        </w:tc>
      </w:tr>
      <w:tr w:rsidR="00AC0A91" w:rsidRPr="000D756E" w14:paraId="73F38D4E" w14:textId="77777777" w:rsidTr="00174FC1">
        <w:trPr>
          <w:trHeight w:val="706"/>
        </w:trPr>
        <w:tc>
          <w:tcPr>
            <w:tcW w:w="6235" w:type="dxa"/>
            <w:tcBorders>
              <w:top w:val="single" w:sz="4" w:space="0" w:color="auto"/>
              <w:left w:val="single" w:sz="4" w:space="0" w:color="auto"/>
              <w:bottom w:val="single" w:sz="4" w:space="0" w:color="auto"/>
              <w:right w:val="single" w:sz="4" w:space="0" w:color="auto"/>
            </w:tcBorders>
          </w:tcPr>
          <w:p w14:paraId="2B6D9DFD" w14:textId="77777777" w:rsidR="00AC0A91" w:rsidRPr="000D756E" w:rsidRDefault="00AC0A91" w:rsidP="00AC0A91">
            <w:pPr>
              <w:rPr>
                <w:rFonts w:ascii="Arial" w:hAnsi="Arial" w:cs="Arial"/>
                <w:sz w:val="24"/>
                <w:szCs w:val="24"/>
              </w:rPr>
            </w:pPr>
            <w:r w:rsidRPr="000D756E">
              <w:rPr>
                <w:rFonts w:ascii="Arial" w:hAnsi="Arial" w:cs="Arial"/>
                <w:sz w:val="24"/>
                <w:szCs w:val="24"/>
              </w:rPr>
              <w:t>Increase / -decrease in underlying need to borrowing (unsupported by government financial assistance)</w:t>
            </w:r>
          </w:p>
        </w:tc>
        <w:tc>
          <w:tcPr>
            <w:tcW w:w="1339" w:type="dxa"/>
            <w:tcBorders>
              <w:top w:val="single" w:sz="4" w:space="0" w:color="auto"/>
              <w:left w:val="single" w:sz="4" w:space="0" w:color="auto"/>
              <w:bottom w:val="single" w:sz="4" w:space="0" w:color="auto"/>
              <w:right w:val="single" w:sz="4" w:space="0" w:color="auto"/>
            </w:tcBorders>
          </w:tcPr>
          <w:p w14:paraId="2752C8DB" w14:textId="021EC012" w:rsidR="00AC0A91" w:rsidRPr="000D756E" w:rsidRDefault="008A70F3" w:rsidP="00AC0A91">
            <w:pPr>
              <w:jc w:val="right"/>
              <w:rPr>
                <w:rFonts w:ascii="Arial" w:hAnsi="Arial" w:cs="Arial"/>
                <w:sz w:val="24"/>
                <w:szCs w:val="24"/>
              </w:rPr>
            </w:pPr>
            <w:r>
              <w:rPr>
                <w:rFonts w:ascii="Arial" w:hAnsi="Arial" w:cs="Arial"/>
                <w:sz w:val="24"/>
                <w:szCs w:val="24"/>
              </w:rPr>
              <w:t>1,807</w:t>
            </w:r>
          </w:p>
        </w:tc>
        <w:tc>
          <w:tcPr>
            <w:tcW w:w="1445" w:type="dxa"/>
            <w:tcBorders>
              <w:top w:val="single" w:sz="4" w:space="0" w:color="auto"/>
              <w:left w:val="single" w:sz="4" w:space="0" w:color="auto"/>
              <w:bottom w:val="single" w:sz="4" w:space="0" w:color="auto"/>
              <w:right w:val="single" w:sz="4" w:space="0" w:color="auto"/>
            </w:tcBorders>
          </w:tcPr>
          <w:p w14:paraId="73562F72" w14:textId="78535A44" w:rsidR="00AC0A91" w:rsidRPr="000D756E" w:rsidRDefault="00AC0A91" w:rsidP="00AC0A91">
            <w:pPr>
              <w:jc w:val="right"/>
              <w:rPr>
                <w:rFonts w:ascii="Arial" w:hAnsi="Arial" w:cs="Arial"/>
                <w:sz w:val="24"/>
                <w:szCs w:val="24"/>
              </w:rPr>
            </w:pPr>
            <w:r w:rsidRPr="000D756E">
              <w:rPr>
                <w:rFonts w:ascii="Arial" w:hAnsi="Arial" w:cs="Arial"/>
                <w:sz w:val="24"/>
                <w:szCs w:val="24"/>
              </w:rPr>
              <w:t>5,035</w:t>
            </w:r>
          </w:p>
        </w:tc>
      </w:tr>
      <w:tr w:rsidR="00AC0A91" w:rsidRPr="000D756E" w14:paraId="28CDFEF7" w14:textId="77777777" w:rsidTr="00174FC1">
        <w:trPr>
          <w:trHeight w:val="415"/>
        </w:trPr>
        <w:tc>
          <w:tcPr>
            <w:tcW w:w="6235" w:type="dxa"/>
            <w:tcBorders>
              <w:top w:val="single" w:sz="4" w:space="0" w:color="auto"/>
              <w:left w:val="single" w:sz="4" w:space="0" w:color="auto"/>
              <w:bottom w:val="single" w:sz="4" w:space="0" w:color="auto"/>
              <w:right w:val="single" w:sz="4" w:space="0" w:color="auto"/>
            </w:tcBorders>
          </w:tcPr>
          <w:p w14:paraId="6180F0CE" w14:textId="77777777" w:rsidR="00AC0A91" w:rsidRPr="000D756E" w:rsidRDefault="00AC0A91" w:rsidP="00AC0A91">
            <w:pPr>
              <w:rPr>
                <w:rFonts w:ascii="Arial" w:hAnsi="Arial" w:cs="Arial"/>
                <w:b/>
                <w:sz w:val="24"/>
                <w:szCs w:val="24"/>
              </w:rPr>
            </w:pPr>
            <w:r w:rsidRPr="000D756E">
              <w:rPr>
                <w:rFonts w:ascii="Arial" w:hAnsi="Arial" w:cs="Arial"/>
                <w:b/>
                <w:sz w:val="24"/>
                <w:szCs w:val="24"/>
              </w:rPr>
              <w:t>Increase / -decrease in Capital Financing Requirement</w:t>
            </w:r>
          </w:p>
        </w:tc>
        <w:tc>
          <w:tcPr>
            <w:tcW w:w="1339" w:type="dxa"/>
            <w:tcBorders>
              <w:top w:val="single" w:sz="4" w:space="0" w:color="auto"/>
              <w:left w:val="single" w:sz="4" w:space="0" w:color="auto"/>
              <w:bottom w:val="single" w:sz="4" w:space="0" w:color="auto"/>
              <w:right w:val="single" w:sz="4" w:space="0" w:color="auto"/>
            </w:tcBorders>
          </w:tcPr>
          <w:p w14:paraId="2AA2F843" w14:textId="2B337DFE" w:rsidR="00AC0A91" w:rsidRPr="000D756E" w:rsidRDefault="008A70F3" w:rsidP="00AC0A91">
            <w:pPr>
              <w:jc w:val="right"/>
              <w:rPr>
                <w:rFonts w:ascii="Arial" w:hAnsi="Arial" w:cs="Arial"/>
                <w:b/>
                <w:sz w:val="24"/>
                <w:szCs w:val="24"/>
              </w:rPr>
            </w:pPr>
            <w:r>
              <w:rPr>
                <w:rFonts w:ascii="Arial" w:hAnsi="Arial" w:cs="Arial"/>
                <w:b/>
                <w:sz w:val="24"/>
                <w:szCs w:val="24"/>
              </w:rPr>
              <w:t>1,087</w:t>
            </w:r>
          </w:p>
        </w:tc>
        <w:tc>
          <w:tcPr>
            <w:tcW w:w="1445" w:type="dxa"/>
            <w:tcBorders>
              <w:top w:val="single" w:sz="4" w:space="0" w:color="auto"/>
              <w:left w:val="single" w:sz="4" w:space="0" w:color="auto"/>
              <w:bottom w:val="single" w:sz="4" w:space="0" w:color="auto"/>
              <w:right w:val="single" w:sz="4" w:space="0" w:color="auto"/>
            </w:tcBorders>
          </w:tcPr>
          <w:p w14:paraId="338303ED" w14:textId="0D1E2A57" w:rsidR="00AC0A91" w:rsidRPr="000D756E" w:rsidRDefault="00AC0A91" w:rsidP="00AC0A91">
            <w:pPr>
              <w:jc w:val="right"/>
              <w:rPr>
                <w:rFonts w:ascii="Arial" w:hAnsi="Arial" w:cs="Arial"/>
                <w:b/>
                <w:sz w:val="24"/>
                <w:szCs w:val="24"/>
              </w:rPr>
            </w:pPr>
            <w:r w:rsidRPr="000D756E">
              <w:rPr>
                <w:rFonts w:ascii="Arial" w:hAnsi="Arial" w:cs="Arial"/>
                <w:b/>
                <w:sz w:val="24"/>
                <w:szCs w:val="24"/>
              </w:rPr>
              <w:t>5,035</w:t>
            </w:r>
          </w:p>
        </w:tc>
      </w:tr>
    </w:tbl>
    <w:p w14:paraId="01BB1929" w14:textId="77777777" w:rsidR="003403D8" w:rsidRPr="000D756E" w:rsidRDefault="003403D8" w:rsidP="002A7C01">
      <w:pPr>
        <w:rPr>
          <w:rFonts w:ascii="Arial" w:hAnsi="Arial" w:cs="Arial"/>
          <w:sz w:val="24"/>
          <w:szCs w:val="24"/>
        </w:rPr>
      </w:pPr>
    </w:p>
    <w:p w14:paraId="01C0DBB1" w14:textId="77777777" w:rsidR="003B7BD8" w:rsidRPr="000D756E" w:rsidRDefault="003403D8" w:rsidP="002A7C01">
      <w:pPr>
        <w:rPr>
          <w:rFonts w:ascii="Arial" w:hAnsi="Arial" w:cs="Arial"/>
          <w:sz w:val="24"/>
          <w:szCs w:val="24"/>
        </w:rPr>
      </w:pPr>
      <w:r w:rsidRPr="000D756E">
        <w:rPr>
          <w:rFonts w:ascii="Arial" w:hAnsi="Arial" w:cs="Arial"/>
          <w:sz w:val="24"/>
          <w:szCs w:val="24"/>
        </w:rPr>
        <w:br w:type="page"/>
      </w:r>
    </w:p>
    <w:p w14:paraId="5EB8C5B5" w14:textId="7DEF48A5" w:rsidR="003D10E7" w:rsidRPr="0093413E" w:rsidRDefault="003D10E7" w:rsidP="001C227A">
      <w:pPr>
        <w:numPr>
          <w:ilvl w:val="0"/>
          <w:numId w:val="15"/>
        </w:numPr>
        <w:rPr>
          <w:rFonts w:ascii="Arial" w:hAnsi="Arial" w:cs="Arial"/>
          <w:b/>
          <w:sz w:val="24"/>
          <w:szCs w:val="24"/>
        </w:rPr>
      </w:pPr>
      <w:r w:rsidRPr="0093413E">
        <w:rPr>
          <w:rFonts w:ascii="Arial" w:hAnsi="Arial" w:cs="Arial"/>
          <w:b/>
          <w:sz w:val="24"/>
          <w:szCs w:val="24"/>
        </w:rPr>
        <w:lastRenderedPageBreak/>
        <w:t>CASH FLOW STATEMENT – NON CASH ITEMS</w:t>
      </w:r>
      <w:r w:rsidR="007B3472" w:rsidRPr="0093413E">
        <w:rPr>
          <w:rFonts w:ascii="Arial" w:hAnsi="Arial" w:cs="Arial"/>
          <w:b/>
          <w:sz w:val="24"/>
          <w:szCs w:val="24"/>
        </w:rPr>
        <w:t xml:space="preserve"> </w:t>
      </w:r>
    </w:p>
    <w:p w14:paraId="71858843" w14:textId="77777777" w:rsidR="003D10E7" w:rsidRPr="000D756E" w:rsidRDefault="003D10E7" w:rsidP="003D10E7">
      <w:pPr>
        <w:rPr>
          <w:rFonts w:ascii="Arial" w:hAnsi="Arial" w:cs="Arial"/>
          <w:b/>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5773"/>
        <w:gridCol w:w="1602"/>
      </w:tblGrid>
      <w:tr w:rsidR="006329E6" w:rsidRPr="000D756E" w14:paraId="170B5BA8" w14:textId="77777777" w:rsidTr="000B4E56">
        <w:tc>
          <w:tcPr>
            <w:tcW w:w="1644" w:type="dxa"/>
          </w:tcPr>
          <w:p w14:paraId="33895D72" w14:textId="77777777" w:rsidR="000B4E56" w:rsidRPr="000D756E" w:rsidRDefault="000B4E56" w:rsidP="000B4E56">
            <w:pPr>
              <w:jc w:val="right"/>
              <w:rPr>
                <w:rFonts w:ascii="Arial" w:hAnsi="Arial" w:cs="Arial"/>
                <w:b/>
                <w:sz w:val="24"/>
                <w:szCs w:val="24"/>
              </w:rPr>
            </w:pPr>
          </w:p>
          <w:p w14:paraId="37D2A91E" w14:textId="6B6CCE08" w:rsidR="000B4E56" w:rsidRPr="000D756E" w:rsidRDefault="000B4E56" w:rsidP="000B4E56">
            <w:pPr>
              <w:jc w:val="right"/>
              <w:rPr>
                <w:rFonts w:ascii="Arial" w:hAnsi="Arial" w:cs="Arial"/>
                <w:b/>
                <w:sz w:val="24"/>
                <w:szCs w:val="24"/>
              </w:rPr>
            </w:pPr>
            <w:r w:rsidRPr="000D756E">
              <w:rPr>
                <w:rFonts w:ascii="Arial" w:hAnsi="Arial" w:cs="Arial"/>
                <w:b/>
                <w:sz w:val="24"/>
                <w:szCs w:val="24"/>
              </w:rPr>
              <w:t>20</w:t>
            </w:r>
            <w:r w:rsidR="00462154" w:rsidRPr="000D756E">
              <w:rPr>
                <w:rFonts w:ascii="Arial" w:hAnsi="Arial" w:cs="Arial"/>
                <w:b/>
                <w:sz w:val="24"/>
                <w:szCs w:val="24"/>
              </w:rPr>
              <w:t>2</w:t>
            </w:r>
            <w:r w:rsidR="00AC0A91">
              <w:rPr>
                <w:rFonts w:ascii="Arial" w:hAnsi="Arial" w:cs="Arial"/>
                <w:b/>
                <w:sz w:val="24"/>
                <w:szCs w:val="24"/>
              </w:rPr>
              <w:t>3/24</w:t>
            </w:r>
          </w:p>
          <w:p w14:paraId="68FFD4C4" w14:textId="27AEC169" w:rsidR="000B4E56" w:rsidRPr="000D756E" w:rsidRDefault="000B4E56" w:rsidP="000B4E56">
            <w:pPr>
              <w:jc w:val="right"/>
              <w:rPr>
                <w:rFonts w:ascii="Arial" w:hAnsi="Arial" w:cs="Arial"/>
                <w:b/>
                <w:sz w:val="24"/>
                <w:szCs w:val="24"/>
              </w:rPr>
            </w:pPr>
            <w:r w:rsidRPr="000D756E">
              <w:rPr>
                <w:rFonts w:ascii="Arial" w:hAnsi="Arial" w:cs="Arial"/>
                <w:b/>
                <w:sz w:val="24"/>
                <w:szCs w:val="24"/>
              </w:rPr>
              <w:t>£’000</w:t>
            </w:r>
          </w:p>
        </w:tc>
        <w:tc>
          <w:tcPr>
            <w:tcW w:w="5773" w:type="dxa"/>
          </w:tcPr>
          <w:p w14:paraId="1FE195BF" w14:textId="77777777" w:rsidR="000B4E56" w:rsidRPr="000D756E" w:rsidRDefault="000B4E56" w:rsidP="000B4E56">
            <w:pPr>
              <w:rPr>
                <w:rFonts w:ascii="Arial" w:hAnsi="Arial" w:cs="Arial"/>
                <w:b/>
                <w:sz w:val="24"/>
                <w:szCs w:val="24"/>
              </w:rPr>
            </w:pPr>
            <w:r w:rsidRPr="000D756E">
              <w:rPr>
                <w:rFonts w:ascii="Arial" w:hAnsi="Arial" w:cs="Arial"/>
                <w:b/>
                <w:sz w:val="24"/>
                <w:szCs w:val="24"/>
              </w:rPr>
              <w:t xml:space="preserve"> </w:t>
            </w:r>
          </w:p>
        </w:tc>
        <w:tc>
          <w:tcPr>
            <w:tcW w:w="1602" w:type="dxa"/>
          </w:tcPr>
          <w:p w14:paraId="2C3A8D44" w14:textId="77777777" w:rsidR="000B4E56" w:rsidRPr="000D756E" w:rsidRDefault="000B4E56" w:rsidP="000B4E56">
            <w:pPr>
              <w:jc w:val="right"/>
              <w:rPr>
                <w:rFonts w:ascii="Arial" w:hAnsi="Arial" w:cs="Arial"/>
                <w:b/>
                <w:sz w:val="24"/>
                <w:szCs w:val="24"/>
              </w:rPr>
            </w:pPr>
          </w:p>
          <w:p w14:paraId="5D4A2B1D" w14:textId="39EB50B8" w:rsidR="000B4E56" w:rsidRPr="000D756E" w:rsidRDefault="000B4E56" w:rsidP="000B4E56">
            <w:pPr>
              <w:jc w:val="right"/>
              <w:rPr>
                <w:rFonts w:ascii="Arial" w:hAnsi="Arial" w:cs="Arial"/>
                <w:b/>
                <w:sz w:val="24"/>
                <w:szCs w:val="24"/>
              </w:rPr>
            </w:pPr>
            <w:r w:rsidRPr="000D756E">
              <w:rPr>
                <w:rFonts w:ascii="Arial" w:hAnsi="Arial" w:cs="Arial"/>
                <w:b/>
                <w:sz w:val="24"/>
                <w:szCs w:val="24"/>
              </w:rPr>
              <w:t>202</w:t>
            </w:r>
            <w:r w:rsidR="00AC0A91">
              <w:rPr>
                <w:rFonts w:ascii="Arial" w:hAnsi="Arial" w:cs="Arial"/>
                <w:b/>
                <w:sz w:val="24"/>
                <w:szCs w:val="24"/>
              </w:rPr>
              <w:t>4/25</w:t>
            </w:r>
          </w:p>
          <w:p w14:paraId="0164E755" w14:textId="77777777" w:rsidR="000B4E56" w:rsidRPr="000D756E" w:rsidRDefault="000B4E56" w:rsidP="000B4E56">
            <w:pPr>
              <w:jc w:val="right"/>
              <w:rPr>
                <w:rFonts w:ascii="Arial" w:hAnsi="Arial" w:cs="Arial"/>
                <w:b/>
                <w:sz w:val="24"/>
                <w:szCs w:val="24"/>
              </w:rPr>
            </w:pPr>
            <w:r w:rsidRPr="000D756E">
              <w:rPr>
                <w:rFonts w:ascii="Arial" w:hAnsi="Arial" w:cs="Arial"/>
                <w:b/>
                <w:sz w:val="24"/>
                <w:szCs w:val="24"/>
              </w:rPr>
              <w:t>£’000</w:t>
            </w:r>
          </w:p>
        </w:tc>
      </w:tr>
      <w:tr w:rsidR="00AC0A91" w:rsidRPr="000D756E" w14:paraId="5CF75CB8" w14:textId="77777777" w:rsidTr="000B4E56">
        <w:tc>
          <w:tcPr>
            <w:tcW w:w="1644" w:type="dxa"/>
          </w:tcPr>
          <w:p w14:paraId="1BFD04E4" w14:textId="7EF84AE5" w:rsidR="00AC0A91" w:rsidRPr="000D756E" w:rsidRDefault="00AC0A91" w:rsidP="00AC0A91">
            <w:pPr>
              <w:jc w:val="right"/>
              <w:rPr>
                <w:rFonts w:ascii="Arial" w:hAnsi="Arial" w:cs="Arial"/>
                <w:sz w:val="24"/>
                <w:szCs w:val="24"/>
              </w:rPr>
            </w:pPr>
            <w:r w:rsidRPr="000D756E">
              <w:rPr>
                <w:rFonts w:ascii="Arial" w:hAnsi="Arial" w:cs="Arial"/>
                <w:sz w:val="24"/>
                <w:szCs w:val="24"/>
              </w:rPr>
              <w:t>-2,677</w:t>
            </w:r>
          </w:p>
        </w:tc>
        <w:tc>
          <w:tcPr>
            <w:tcW w:w="5773" w:type="dxa"/>
          </w:tcPr>
          <w:p w14:paraId="79302962" w14:textId="77777777" w:rsidR="00AC0A91" w:rsidRPr="000D756E" w:rsidRDefault="00AC0A91" w:rsidP="00AC0A91">
            <w:pPr>
              <w:rPr>
                <w:rFonts w:ascii="Arial" w:hAnsi="Arial" w:cs="Arial"/>
                <w:sz w:val="24"/>
                <w:szCs w:val="24"/>
              </w:rPr>
            </w:pPr>
            <w:r w:rsidRPr="000D756E">
              <w:rPr>
                <w:rFonts w:ascii="Arial" w:hAnsi="Arial" w:cs="Arial"/>
                <w:sz w:val="24"/>
                <w:szCs w:val="24"/>
              </w:rPr>
              <w:t>Depreciation</w:t>
            </w:r>
          </w:p>
        </w:tc>
        <w:tc>
          <w:tcPr>
            <w:tcW w:w="1602" w:type="dxa"/>
          </w:tcPr>
          <w:p w14:paraId="47B09956" w14:textId="7B1B2390" w:rsidR="00AC0A91" w:rsidRPr="000D756E" w:rsidRDefault="0093413E" w:rsidP="00AC0A91">
            <w:pPr>
              <w:jc w:val="right"/>
              <w:rPr>
                <w:rFonts w:ascii="Arial" w:hAnsi="Arial" w:cs="Arial"/>
                <w:sz w:val="24"/>
                <w:szCs w:val="24"/>
              </w:rPr>
            </w:pPr>
            <w:r>
              <w:rPr>
                <w:rFonts w:ascii="Arial" w:hAnsi="Arial" w:cs="Arial"/>
                <w:sz w:val="24"/>
                <w:szCs w:val="24"/>
              </w:rPr>
              <w:t>-2,903</w:t>
            </w:r>
          </w:p>
        </w:tc>
      </w:tr>
      <w:tr w:rsidR="00AC0A91" w:rsidRPr="000D756E" w14:paraId="7A9C3B3D" w14:textId="77777777" w:rsidTr="000B4E56">
        <w:tc>
          <w:tcPr>
            <w:tcW w:w="1644" w:type="dxa"/>
          </w:tcPr>
          <w:p w14:paraId="239F0803" w14:textId="37A432E7" w:rsidR="00AC0A91" w:rsidRPr="000D756E" w:rsidRDefault="00AC0A91" w:rsidP="00AC0A91">
            <w:pPr>
              <w:jc w:val="right"/>
              <w:rPr>
                <w:rFonts w:ascii="Arial" w:hAnsi="Arial" w:cs="Arial"/>
                <w:sz w:val="24"/>
                <w:szCs w:val="24"/>
              </w:rPr>
            </w:pPr>
            <w:r w:rsidRPr="000D756E">
              <w:rPr>
                <w:rFonts w:ascii="Arial" w:hAnsi="Arial" w:cs="Arial"/>
                <w:sz w:val="24"/>
                <w:szCs w:val="24"/>
              </w:rPr>
              <w:t>-5,165</w:t>
            </w:r>
          </w:p>
        </w:tc>
        <w:tc>
          <w:tcPr>
            <w:tcW w:w="5773" w:type="dxa"/>
          </w:tcPr>
          <w:p w14:paraId="3D573CD6" w14:textId="77777777" w:rsidR="00AC0A91" w:rsidRPr="000D756E" w:rsidRDefault="00AC0A91" w:rsidP="00AC0A91">
            <w:pPr>
              <w:rPr>
                <w:rFonts w:ascii="Arial" w:hAnsi="Arial" w:cs="Arial"/>
                <w:sz w:val="24"/>
                <w:szCs w:val="24"/>
              </w:rPr>
            </w:pPr>
            <w:r w:rsidRPr="000D756E">
              <w:rPr>
                <w:rFonts w:ascii="Arial" w:hAnsi="Arial" w:cs="Arial"/>
                <w:sz w:val="24"/>
                <w:szCs w:val="24"/>
              </w:rPr>
              <w:t>Losses on asset revaluations</w:t>
            </w:r>
          </w:p>
        </w:tc>
        <w:tc>
          <w:tcPr>
            <w:tcW w:w="1602" w:type="dxa"/>
          </w:tcPr>
          <w:p w14:paraId="56C5BACD" w14:textId="6F410CD2" w:rsidR="00AC0A91" w:rsidRPr="000D756E" w:rsidRDefault="0093413E" w:rsidP="00AC0A91">
            <w:pPr>
              <w:jc w:val="right"/>
              <w:rPr>
                <w:rFonts w:ascii="Arial" w:hAnsi="Arial" w:cs="Arial"/>
                <w:sz w:val="24"/>
                <w:szCs w:val="24"/>
              </w:rPr>
            </w:pPr>
            <w:r>
              <w:rPr>
                <w:rFonts w:ascii="Arial" w:hAnsi="Arial" w:cs="Arial"/>
                <w:sz w:val="24"/>
                <w:szCs w:val="24"/>
              </w:rPr>
              <w:t>0</w:t>
            </w:r>
          </w:p>
        </w:tc>
      </w:tr>
      <w:tr w:rsidR="00AC0A91" w:rsidRPr="000D756E" w14:paraId="16AA0DD5" w14:textId="77777777" w:rsidTr="000B4E56">
        <w:tc>
          <w:tcPr>
            <w:tcW w:w="1644" w:type="dxa"/>
          </w:tcPr>
          <w:p w14:paraId="01CCB2B9" w14:textId="3E5D3BD9" w:rsidR="00AC0A91" w:rsidRPr="000D756E" w:rsidRDefault="00AC0A91" w:rsidP="00AC0A91">
            <w:pPr>
              <w:jc w:val="right"/>
              <w:rPr>
                <w:rFonts w:ascii="Arial" w:hAnsi="Arial" w:cs="Arial"/>
                <w:sz w:val="24"/>
                <w:szCs w:val="24"/>
              </w:rPr>
            </w:pPr>
            <w:r w:rsidRPr="000D756E">
              <w:rPr>
                <w:rFonts w:ascii="Arial" w:hAnsi="Arial" w:cs="Arial"/>
                <w:sz w:val="24"/>
                <w:szCs w:val="24"/>
              </w:rPr>
              <w:t>-93</w:t>
            </w:r>
          </w:p>
        </w:tc>
        <w:tc>
          <w:tcPr>
            <w:tcW w:w="5773" w:type="dxa"/>
          </w:tcPr>
          <w:p w14:paraId="24F11B1B" w14:textId="7F2A7771" w:rsidR="00AC0A91" w:rsidRPr="000D756E" w:rsidRDefault="00AC0A91" w:rsidP="00AC0A91">
            <w:pPr>
              <w:rPr>
                <w:rFonts w:ascii="Arial" w:hAnsi="Arial" w:cs="Arial"/>
                <w:sz w:val="24"/>
                <w:szCs w:val="24"/>
              </w:rPr>
            </w:pPr>
            <w:r w:rsidRPr="000D756E">
              <w:rPr>
                <w:rFonts w:ascii="Arial" w:hAnsi="Arial" w:cs="Arial"/>
                <w:sz w:val="24"/>
                <w:szCs w:val="24"/>
              </w:rPr>
              <w:t>Loss on sale of non current assets</w:t>
            </w:r>
          </w:p>
        </w:tc>
        <w:tc>
          <w:tcPr>
            <w:tcW w:w="1602" w:type="dxa"/>
          </w:tcPr>
          <w:p w14:paraId="50A9A19E" w14:textId="261E1F60" w:rsidR="00AC0A91" w:rsidRPr="000D756E" w:rsidRDefault="0093413E" w:rsidP="00AC0A91">
            <w:pPr>
              <w:jc w:val="right"/>
              <w:rPr>
                <w:rFonts w:ascii="Arial" w:hAnsi="Arial" w:cs="Arial"/>
                <w:sz w:val="24"/>
                <w:szCs w:val="24"/>
              </w:rPr>
            </w:pPr>
            <w:r>
              <w:rPr>
                <w:rFonts w:ascii="Arial" w:hAnsi="Arial" w:cs="Arial"/>
                <w:sz w:val="24"/>
                <w:szCs w:val="24"/>
              </w:rPr>
              <w:t>-117</w:t>
            </w:r>
          </w:p>
        </w:tc>
      </w:tr>
      <w:tr w:rsidR="00AC0A91" w:rsidRPr="000D756E" w14:paraId="2AAB92ED" w14:textId="77777777" w:rsidTr="000B4E56">
        <w:tc>
          <w:tcPr>
            <w:tcW w:w="1644" w:type="dxa"/>
          </w:tcPr>
          <w:p w14:paraId="02BF7151" w14:textId="04F3CCB5" w:rsidR="00AC0A91" w:rsidRPr="000D756E" w:rsidRDefault="00AC0A91" w:rsidP="00AC0A91">
            <w:pPr>
              <w:jc w:val="right"/>
              <w:rPr>
                <w:rFonts w:ascii="Arial" w:hAnsi="Arial" w:cs="Arial"/>
                <w:sz w:val="24"/>
                <w:szCs w:val="24"/>
              </w:rPr>
            </w:pPr>
            <w:r w:rsidRPr="000D756E">
              <w:rPr>
                <w:rFonts w:ascii="Arial" w:hAnsi="Arial" w:cs="Arial"/>
                <w:sz w:val="24"/>
                <w:szCs w:val="24"/>
              </w:rPr>
              <w:t>-4,831</w:t>
            </w:r>
          </w:p>
        </w:tc>
        <w:tc>
          <w:tcPr>
            <w:tcW w:w="5773" w:type="dxa"/>
          </w:tcPr>
          <w:p w14:paraId="5916B23A" w14:textId="77777777" w:rsidR="00AC0A91" w:rsidRPr="000D756E" w:rsidRDefault="00AC0A91" w:rsidP="00AC0A91">
            <w:pPr>
              <w:rPr>
                <w:rFonts w:ascii="Arial" w:hAnsi="Arial" w:cs="Arial"/>
                <w:sz w:val="24"/>
                <w:szCs w:val="24"/>
              </w:rPr>
            </w:pPr>
            <w:r w:rsidRPr="000D756E">
              <w:rPr>
                <w:rFonts w:ascii="Arial" w:hAnsi="Arial" w:cs="Arial"/>
                <w:sz w:val="24"/>
                <w:szCs w:val="24"/>
              </w:rPr>
              <w:t>IAS19 pension adjustments</w:t>
            </w:r>
          </w:p>
        </w:tc>
        <w:tc>
          <w:tcPr>
            <w:tcW w:w="1602" w:type="dxa"/>
          </w:tcPr>
          <w:p w14:paraId="56C04F35" w14:textId="1BC1046A" w:rsidR="00AC0A91" w:rsidRPr="000D756E" w:rsidRDefault="00A63AA8" w:rsidP="00AC0A91">
            <w:pPr>
              <w:jc w:val="right"/>
              <w:rPr>
                <w:rFonts w:ascii="Arial" w:hAnsi="Arial" w:cs="Arial"/>
                <w:sz w:val="24"/>
                <w:szCs w:val="24"/>
              </w:rPr>
            </w:pPr>
            <w:r>
              <w:rPr>
                <w:rFonts w:ascii="Arial" w:hAnsi="Arial" w:cs="Arial"/>
                <w:sz w:val="24"/>
                <w:szCs w:val="24"/>
              </w:rPr>
              <w:t>-8,747</w:t>
            </w:r>
          </w:p>
        </w:tc>
      </w:tr>
      <w:tr w:rsidR="00AC0A91" w:rsidRPr="000D756E" w14:paraId="37BBC8E0" w14:textId="77777777" w:rsidTr="000B4E56">
        <w:tc>
          <w:tcPr>
            <w:tcW w:w="1644" w:type="dxa"/>
          </w:tcPr>
          <w:p w14:paraId="54E06654" w14:textId="7625E4C4" w:rsidR="00AC0A91" w:rsidRPr="000D756E" w:rsidRDefault="00AC0A91" w:rsidP="00AC0A91">
            <w:pPr>
              <w:jc w:val="right"/>
              <w:rPr>
                <w:rFonts w:ascii="Arial" w:hAnsi="Arial" w:cs="Arial"/>
                <w:sz w:val="24"/>
                <w:szCs w:val="24"/>
              </w:rPr>
            </w:pPr>
            <w:r w:rsidRPr="000D756E">
              <w:rPr>
                <w:rFonts w:ascii="Arial" w:hAnsi="Arial" w:cs="Arial"/>
                <w:sz w:val="24"/>
                <w:szCs w:val="24"/>
              </w:rPr>
              <w:t>-109</w:t>
            </w:r>
          </w:p>
        </w:tc>
        <w:tc>
          <w:tcPr>
            <w:tcW w:w="5773" w:type="dxa"/>
          </w:tcPr>
          <w:p w14:paraId="3EF14353" w14:textId="77777777" w:rsidR="00AC0A91" w:rsidRPr="000D756E" w:rsidRDefault="00AC0A91" w:rsidP="00AC0A91">
            <w:pPr>
              <w:rPr>
                <w:rFonts w:ascii="Arial" w:hAnsi="Arial" w:cs="Arial"/>
                <w:sz w:val="24"/>
                <w:szCs w:val="24"/>
              </w:rPr>
            </w:pPr>
            <w:r w:rsidRPr="000D756E">
              <w:rPr>
                <w:rFonts w:ascii="Arial" w:hAnsi="Arial" w:cs="Arial"/>
                <w:sz w:val="24"/>
                <w:szCs w:val="24"/>
              </w:rPr>
              <w:t>Collection Fund adjustment</w:t>
            </w:r>
          </w:p>
        </w:tc>
        <w:tc>
          <w:tcPr>
            <w:tcW w:w="1602" w:type="dxa"/>
          </w:tcPr>
          <w:p w14:paraId="48B08A70" w14:textId="0EB9713E" w:rsidR="00AC0A91" w:rsidRPr="000D756E" w:rsidRDefault="00A63AA8" w:rsidP="00AC0A91">
            <w:pPr>
              <w:jc w:val="right"/>
              <w:rPr>
                <w:rFonts w:ascii="Arial" w:hAnsi="Arial" w:cs="Arial"/>
                <w:sz w:val="24"/>
                <w:szCs w:val="24"/>
              </w:rPr>
            </w:pPr>
            <w:r>
              <w:rPr>
                <w:rFonts w:ascii="Arial" w:hAnsi="Arial" w:cs="Arial"/>
                <w:sz w:val="24"/>
                <w:szCs w:val="24"/>
              </w:rPr>
              <w:t>266</w:t>
            </w:r>
          </w:p>
        </w:tc>
      </w:tr>
      <w:tr w:rsidR="00AC0A91" w:rsidRPr="000D756E" w14:paraId="2982DD77" w14:textId="77777777" w:rsidTr="000B4E56">
        <w:tc>
          <w:tcPr>
            <w:tcW w:w="1644" w:type="dxa"/>
          </w:tcPr>
          <w:p w14:paraId="0CF4F4BA" w14:textId="1DC00252" w:rsidR="00AC0A91" w:rsidRPr="000D756E" w:rsidRDefault="00AC0A91" w:rsidP="00AC0A91">
            <w:pPr>
              <w:jc w:val="right"/>
              <w:rPr>
                <w:rFonts w:ascii="Arial" w:hAnsi="Arial" w:cs="Arial"/>
                <w:sz w:val="24"/>
                <w:szCs w:val="24"/>
              </w:rPr>
            </w:pPr>
            <w:r w:rsidRPr="000D756E">
              <w:rPr>
                <w:rFonts w:ascii="Arial" w:hAnsi="Arial" w:cs="Arial"/>
                <w:sz w:val="24"/>
                <w:szCs w:val="24"/>
              </w:rPr>
              <w:t>-22</w:t>
            </w:r>
          </w:p>
        </w:tc>
        <w:tc>
          <w:tcPr>
            <w:tcW w:w="5773" w:type="dxa"/>
          </w:tcPr>
          <w:p w14:paraId="78068386" w14:textId="77777777" w:rsidR="00AC0A91" w:rsidRPr="000D756E" w:rsidRDefault="00AC0A91" w:rsidP="00AC0A91">
            <w:pPr>
              <w:rPr>
                <w:rFonts w:ascii="Arial" w:hAnsi="Arial" w:cs="Arial"/>
                <w:sz w:val="24"/>
                <w:szCs w:val="24"/>
              </w:rPr>
            </w:pPr>
            <w:r w:rsidRPr="000D756E">
              <w:rPr>
                <w:rFonts w:ascii="Arial" w:hAnsi="Arial" w:cs="Arial"/>
                <w:sz w:val="24"/>
                <w:szCs w:val="24"/>
              </w:rPr>
              <w:t>Accumulated Absences adjustment</w:t>
            </w:r>
          </w:p>
        </w:tc>
        <w:tc>
          <w:tcPr>
            <w:tcW w:w="1602" w:type="dxa"/>
          </w:tcPr>
          <w:p w14:paraId="2CF0B600" w14:textId="61144306" w:rsidR="00AC0A91" w:rsidRPr="000D756E" w:rsidRDefault="00A63AA8" w:rsidP="00AC0A91">
            <w:pPr>
              <w:jc w:val="right"/>
              <w:rPr>
                <w:rFonts w:ascii="Arial" w:hAnsi="Arial" w:cs="Arial"/>
                <w:sz w:val="24"/>
                <w:szCs w:val="24"/>
              </w:rPr>
            </w:pPr>
            <w:r>
              <w:rPr>
                <w:rFonts w:ascii="Arial" w:hAnsi="Arial" w:cs="Arial"/>
                <w:sz w:val="24"/>
                <w:szCs w:val="24"/>
              </w:rPr>
              <w:t>-12</w:t>
            </w:r>
          </w:p>
        </w:tc>
      </w:tr>
      <w:tr w:rsidR="00AC0A91" w:rsidRPr="000D756E" w14:paraId="27300457" w14:textId="77777777" w:rsidTr="000B4E56">
        <w:tc>
          <w:tcPr>
            <w:tcW w:w="1644" w:type="dxa"/>
          </w:tcPr>
          <w:p w14:paraId="010A0F43" w14:textId="44CC13AD" w:rsidR="00AC0A91" w:rsidRPr="000D756E" w:rsidRDefault="00AC0A91" w:rsidP="00AC0A91">
            <w:pPr>
              <w:jc w:val="right"/>
              <w:rPr>
                <w:rFonts w:ascii="Arial" w:hAnsi="Arial" w:cs="Arial"/>
                <w:sz w:val="24"/>
                <w:szCs w:val="24"/>
              </w:rPr>
            </w:pPr>
            <w:r w:rsidRPr="000D756E">
              <w:rPr>
                <w:rFonts w:ascii="Arial" w:hAnsi="Arial" w:cs="Arial"/>
                <w:sz w:val="24"/>
                <w:szCs w:val="24"/>
              </w:rPr>
              <w:t>-21</w:t>
            </w:r>
          </w:p>
        </w:tc>
        <w:tc>
          <w:tcPr>
            <w:tcW w:w="5773" w:type="dxa"/>
          </w:tcPr>
          <w:p w14:paraId="1A3A462C" w14:textId="77777777" w:rsidR="00AC0A91" w:rsidRPr="000D756E" w:rsidRDefault="00AC0A91" w:rsidP="00AC0A91">
            <w:pPr>
              <w:rPr>
                <w:rFonts w:ascii="Arial" w:hAnsi="Arial" w:cs="Arial"/>
                <w:sz w:val="24"/>
                <w:szCs w:val="24"/>
              </w:rPr>
            </w:pPr>
            <w:r w:rsidRPr="000D756E">
              <w:rPr>
                <w:rFonts w:ascii="Arial" w:hAnsi="Arial" w:cs="Arial"/>
                <w:sz w:val="24"/>
                <w:szCs w:val="24"/>
              </w:rPr>
              <w:t>Movement on stocks</w:t>
            </w:r>
          </w:p>
        </w:tc>
        <w:tc>
          <w:tcPr>
            <w:tcW w:w="1602" w:type="dxa"/>
          </w:tcPr>
          <w:p w14:paraId="48A2C36D" w14:textId="75B050C4" w:rsidR="00AC0A91" w:rsidRPr="000D756E" w:rsidRDefault="004A7486" w:rsidP="00AC0A91">
            <w:pPr>
              <w:jc w:val="right"/>
              <w:rPr>
                <w:rFonts w:ascii="Arial" w:hAnsi="Arial" w:cs="Arial"/>
                <w:sz w:val="24"/>
                <w:szCs w:val="24"/>
              </w:rPr>
            </w:pPr>
            <w:r>
              <w:rPr>
                <w:rFonts w:ascii="Arial" w:hAnsi="Arial" w:cs="Arial"/>
                <w:sz w:val="24"/>
                <w:szCs w:val="24"/>
              </w:rPr>
              <w:t>-13</w:t>
            </w:r>
          </w:p>
        </w:tc>
      </w:tr>
      <w:tr w:rsidR="00AC0A91" w:rsidRPr="000D756E" w14:paraId="3D8BF1C0" w14:textId="77777777" w:rsidTr="000B4E56">
        <w:tc>
          <w:tcPr>
            <w:tcW w:w="1644" w:type="dxa"/>
          </w:tcPr>
          <w:p w14:paraId="7545A81D" w14:textId="147E6F24" w:rsidR="00AC0A91" w:rsidRPr="000D756E" w:rsidRDefault="00AC0A91" w:rsidP="00AC0A91">
            <w:pPr>
              <w:jc w:val="right"/>
              <w:rPr>
                <w:rFonts w:ascii="Arial" w:hAnsi="Arial" w:cs="Arial"/>
                <w:sz w:val="24"/>
                <w:szCs w:val="24"/>
              </w:rPr>
            </w:pPr>
            <w:r w:rsidRPr="000D756E">
              <w:rPr>
                <w:rFonts w:ascii="Arial" w:hAnsi="Arial" w:cs="Arial"/>
                <w:sz w:val="24"/>
                <w:szCs w:val="24"/>
              </w:rPr>
              <w:t>-346</w:t>
            </w:r>
          </w:p>
        </w:tc>
        <w:tc>
          <w:tcPr>
            <w:tcW w:w="5773" w:type="dxa"/>
          </w:tcPr>
          <w:p w14:paraId="7D26B5DF" w14:textId="77777777" w:rsidR="00AC0A91" w:rsidRPr="000D756E" w:rsidRDefault="00AC0A91" w:rsidP="00AC0A91">
            <w:pPr>
              <w:rPr>
                <w:rFonts w:ascii="Arial" w:hAnsi="Arial" w:cs="Arial"/>
                <w:sz w:val="24"/>
                <w:szCs w:val="24"/>
              </w:rPr>
            </w:pPr>
            <w:r w:rsidRPr="000D756E">
              <w:rPr>
                <w:rFonts w:ascii="Arial" w:hAnsi="Arial" w:cs="Arial"/>
                <w:sz w:val="24"/>
                <w:szCs w:val="24"/>
              </w:rPr>
              <w:t>Movement on creditors</w:t>
            </w:r>
          </w:p>
        </w:tc>
        <w:tc>
          <w:tcPr>
            <w:tcW w:w="1602" w:type="dxa"/>
          </w:tcPr>
          <w:p w14:paraId="511C162F" w14:textId="3470BE02" w:rsidR="00AC0A91" w:rsidRPr="000D756E" w:rsidRDefault="004A7486" w:rsidP="00AC0A91">
            <w:pPr>
              <w:jc w:val="right"/>
              <w:rPr>
                <w:rFonts w:ascii="Arial" w:hAnsi="Arial" w:cs="Arial"/>
                <w:sz w:val="24"/>
                <w:szCs w:val="24"/>
              </w:rPr>
            </w:pPr>
            <w:r>
              <w:rPr>
                <w:rFonts w:ascii="Arial" w:hAnsi="Arial" w:cs="Arial"/>
                <w:sz w:val="24"/>
                <w:szCs w:val="24"/>
              </w:rPr>
              <w:t>-5,207</w:t>
            </w:r>
          </w:p>
        </w:tc>
      </w:tr>
      <w:tr w:rsidR="00AC0A91" w:rsidRPr="000D756E" w14:paraId="0A7B48CD" w14:textId="77777777" w:rsidTr="000B4E56">
        <w:tc>
          <w:tcPr>
            <w:tcW w:w="1644" w:type="dxa"/>
          </w:tcPr>
          <w:p w14:paraId="353CD32C" w14:textId="5F0A28F0" w:rsidR="00AC0A91" w:rsidRPr="000D756E" w:rsidRDefault="00AC0A91" w:rsidP="00AC0A91">
            <w:pPr>
              <w:jc w:val="right"/>
              <w:rPr>
                <w:rFonts w:ascii="Arial" w:hAnsi="Arial" w:cs="Arial"/>
                <w:sz w:val="24"/>
                <w:szCs w:val="24"/>
              </w:rPr>
            </w:pPr>
            <w:r w:rsidRPr="000D756E">
              <w:rPr>
                <w:rFonts w:ascii="Arial" w:hAnsi="Arial" w:cs="Arial"/>
                <w:sz w:val="24"/>
                <w:szCs w:val="24"/>
              </w:rPr>
              <w:t>-176</w:t>
            </w:r>
          </w:p>
        </w:tc>
        <w:tc>
          <w:tcPr>
            <w:tcW w:w="5773" w:type="dxa"/>
          </w:tcPr>
          <w:p w14:paraId="183C5EF4" w14:textId="77777777" w:rsidR="00AC0A91" w:rsidRPr="000D756E" w:rsidRDefault="00AC0A91" w:rsidP="00AC0A91">
            <w:pPr>
              <w:rPr>
                <w:rFonts w:ascii="Arial" w:hAnsi="Arial" w:cs="Arial"/>
                <w:sz w:val="24"/>
                <w:szCs w:val="24"/>
              </w:rPr>
            </w:pPr>
            <w:r w:rsidRPr="000D756E">
              <w:rPr>
                <w:rFonts w:ascii="Arial" w:hAnsi="Arial" w:cs="Arial"/>
                <w:sz w:val="24"/>
                <w:szCs w:val="24"/>
              </w:rPr>
              <w:t>Movement on debtors</w:t>
            </w:r>
          </w:p>
        </w:tc>
        <w:tc>
          <w:tcPr>
            <w:tcW w:w="1602" w:type="dxa"/>
          </w:tcPr>
          <w:p w14:paraId="5F138251" w14:textId="5FD8CEEE" w:rsidR="00AC0A91" w:rsidRPr="000D756E" w:rsidRDefault="004A7486" w:rsidP="00AC0A91">
            <w:pPr>
              <w:jc w:val="right"/>
              <w:rPr>
                <w:rFonts w:ascii="Arial" w:hAnsi="Arial" w:cs="Arial"/>
                <w:sz w:val="24"/>
                <w:szCs w:val="24"/>
              </w:rPr>
            </w:pPr>
            <w:r>
              <w:rPr>
                <w:rFonts w:ascii="Arial" w:hAnsi="Arial" w:cs="Arial"/>
                <w:sz w:val="24"/>
                <w:szCs w:val="24"/>
              </w:rPr>
              <w:t>-712</w:t>
            </w:r>
          </w:p>
        </w:tc>
      </w:tr>
      <w:tr w:rsidR="00AC0A91" w:rsidRPr="000D756E" w14:paraId="3BADA58F" w14:textId="77777777" w:rsidTr="000B4E56">
        <w:tc>
          <w:tcPr>
            <w:tcW w:w="1644" w:type="dxa"/>
          </w:tcPr>
          <w:p w14:paraId="14D51765" w14:textId="77777777" w:rsidR="00AC0A91" w:rsidRPr="000D756E" w:rsidRDefault="00AC0A91" w:rsidP="00AC0A91">
            <w:pPr>
              <w:jc w:val="right"/>
              <w:rPr>
                <w:rFonts w:ascii="Arial" w:hAnsi="Arial" w:cs="Arial"/>
                <w:sz w:val="24"/>
                <w:szCs w:val="24"/>
              </w:rPr>
            </w:pPr>
          </w:p>
        </w:tc>
        <w:tc>
          <w:tcPr>
            <w:tcW w:w="5773" w:type="dxa"/>
          </w:tcPr>
          <w:p w14:paraId="6478EFAD" w14:textId="77777777" w:rsidR="00AC0A91" w:rsidRPr="000D756E" w:rsidRDefault="00AC0A91" w:rsidP="00AC0A91">
            <w:pPr>
              <w:rPr>
                <w:rFonts w:ascii="Arial" w:hAnsi="Arial" w:cs="Arial"/>
                <w:sz w:val="24"/>
                <w:szCs w:val="24"/>
              </w:rPr>
            </w:pPr>
          </w:p>
        </w:tc>
        <w:tc>
          <w:tcPr>
            <w:tcW w:w="1602" w:type="dxa"/>
          </w:tcPr>
          <w:p w14:paraId="0E8FBF61" w14:textId="77777777" w:rsidR="00AC0A91" w:rsidRPr="000D756E" w:rsidRDefault="00AC0A91" w:rsidP="00AC0A91">
            <w:pPr>
              <w:jc w:val="right"/>
              <w:rPr>
                <w:rFonts w:ascii="Arial" w:hAnsi="Arial" w:cs="Arial"/>
                <w:sz w:val="24"/>
                <w:szCs w:val="24"/>
              </w:rPr>
            </w:pPr>
          </w:p>
        </w:tc>
      </w:tr>
      <w:tr w:rsidR="00AC0A91" w:rsidRPr="000D756E" w14:paraId="33B7F2E2" w14:textId="77777777" w:rsidTr="000B4E56">
        <w:tc>
          <w:tcPr>
            <w:tcW w:w="1644" w:type="dxa"/>
          </w:tcPr>
          <w:p w14:paraId="0CA275FF" w14:textId="362DDB38" w:rsidR="00AC0A91" w:rsidRPr="000D756E" w:rsidRDefault="00AC0A91" w:rsidP="00AC0A91">
            <w:pPr>
              <w:jc w:val="right"/>
              <w:rPr>
                <w:rFonts w:ascii="Arial" w:hAnsi="Arial" w:cs="Arial"/>
                <w:b/>
                <w:sz w:val="24"/>
                <w:szCs w:val="24"/>
              </w:rPr>
            </w:pPr>
            <w:r w:rsidRPr="000D756E">
              <w:rPr>
                <w:rFonts w:ascii="Arial" w:hAnsi="Arial" w:cs="Arial"/>
                <w:b/>
                <w:sz w:val="24"/>
                <w:szCs w:val="24"/>
              </w:rPr>
              <w:t>-13,440</w:t>
            </w:r>
          </w:p>
        </w:tc>
        <w:tc>
          <w:tcPr>
            <w:tcW w:w="5773" w:type="dxa"/>
          </w:tcPr>
          <w:p w14:paraId="360E5208" w14:textId="77777777" w:rsidR="00AC0A91" w:rsidRPr="000D756E" w:rsidRDefault="00AC0A91" w:rsidP="00AC0A91">
            <w:pPr>
              <w:rPr>
                <w:rFonts w:ascii="Arial" w:hAnsi="Arial" w:cs="Arial"/>
                <w:sz w:val="24"/>
                <w:szCs w:val="24"/>
              </w:rPr>
            </w:pPr>
          </w:p>
        </w:tc>
        <w:tc>
          <w:tcPr>
            <w:tcW w:w="1602" w:type="dxa"/>
          </w:tcPr>
          <w:p w14:paraId="5E6DC1FD" w14:textId="4C43A59B" w:rsidR="00AC0A91" w:rsidRPr="000D756E" w:rsidRDefault="00AB7CCF" w:rsidP="00AC0A91">
            <w:pPr>
              <w:jc w:val="right"/>
              <w:rPr>
                <w:rFonts w:ascii="Arial" w:hAnsi="Arial" w:cs="Arial"/>
                <w:b/>
                <w:sz w:val="24"/>
                <w:szCs w:val="24"/>
              </w:rPr>
            </w:pPr>
            <w:r>
              <w:rPr>
                <w:rFonts w:ascii="Arial" w:hAnsi="Arial" w:cs="Arial"/>
                <w:b/>
                <w:sz w:val="24"/>
                <w:szCs w:val="24"/>
              </w:rPr>
              <w:t>-17,445</w:t>
            </w:r>
          </w:p>
        </w:tc>
      </w:tr>
    </w:tbl>
    <w:p w14:paraId="32ED9820" w14:textId="77777777" w:rsidR="003D10E7" w:rsidRPr="000D756E" w:rsidRDefault="003D10E7" w:rsidP="003D10E7">
      <w:pPr>
        <w:rPr>
          <w:rFonts w:ascii="Arial" w:hAnsi="Arial" w:cs="Arial"/>
          <w:b/>
          <w:sz w:val="24"/>
          <w:szCs w:val="24"/>
        </w:rPr>
      </w:pPr>
    </w:p>
    <w:p w14:paraId="5FF1DD2A" w14:textId="77777777" w:rsidR="003D10E7" w:rsidRPr="000D756E" w:rsidRDefault="003D10E7" w:rsidP="003D10E7">
      <w:pPr>
        <w:rPr>
          <w:rFonts w:ascii="Arial" w:hAnsi="Arial" w:cs="Arial"/>
          <w:b/>
          <w:sz w:val="24"/>
          <w:szCs w:val="24"/>
        </w:rPr>
      </w:pPr>
    </w:p>
    <w:p w14:paraId="5CBE706B" w14:textId="109E104C" w:rsidR="002552C1" w:rsidRPr="00AB7CCF" w:rsidRDefault="00DE62E8" w:rsidP="001C227A">
      <w:pPr>
        <w:numPr>
          <w:ilvl w:val="0"/>
          <w:numId w:val="15"/>
        </w:numPr>
        <w:rPr>
          <w:rFonts w:ascii="Arial" w:hAnsi="Arial" w:cs="Arial"/>
          <w:b/>
          <w:sz w:val="24"/>
          <w:szCs w:val="24"/>
        </w:rPr>
      </w:pPr>
      <w:r w:rsidRPr="00AB7CCF">
        <w:rPr>
          <w:rFonts w:ascii="Arial" w:hAnsi="Arial" w:cs="Arial"/>
          <w:b/>
          <w:sz w:val="24"/>
          <w:szCs w:val="24"/>
        </w:rPr>
        <w:t>CASH FLOW STATEMENT – OPERATING ACTIVITIES</w:t>
      </w:r>
      <w:r w:rsidR="00B717DC" w:rsidRPr="00AB7CCF">
        <w:rPr>
          <w:rFonts w:ascii="Arial" w:hAnsi="Arial" w:cs="Arial"/>
          <w:b/>
          <w:sz w:val="24"/>
          <w:szCs w:val="24"/>
        </w:rPr>
        <w:t xml:space="preserve">  </w:t>
      </w:r>
    </w:p>
    <w:p w14:paraId="10EBA2BF" w14:textId="77777777" w:rsidR="002552C1" w:rsidRPr="000D756E" w:rsidRDefault="002552C1" w:rsidP="002A7C01">
      <w:pPr>
        <w:rPr>
          <w:rFonts w:ascii="Arial" w:hAnsi="Arial" w:cs="Arial"/>
          <w:b/>
          <w:sz w:val="24"/>
          <w:szCs w:val="24"/>
        </w:rPr>
      </w:pPr>
    </w:p>
    <w:p w14:paraId="3ACF461D" w14:textId="77777777" w:rsidR="002552C1" w:rsidRPr="000D756E" w:rsidRDefault="002552C1" w:rsidP="002A7C01">
      <w:pPr>
        <w:rPr>
          <w:rFonts w:ascii="Arial" w:hAnsi="Arial" w:cs="Arial"/>
          <w:sz w:val="24"/>
          <w:szCs w:val="24"/>
        </w:rPr>
      </w:pPr>
      <w:r w:rsidRPr="000D756E">
        <w:rPr>
          <w:rFonts w:ascii="Arial" w:hAnsi="Arial" w:cs="Arial"/>
          <w:sz w:val="24"/>
          <w:szCs w:val="24"/>
        </w:rPr>
        <w:t>The cash flows for operating activities include the following items:</w:t>
      </w:r>
    </w:p>
    <w:p w14:paraId="3CC1A060" w14:textId="77777777" w:rsidR="002552C1" w:rsidRPr="000D756E" w:rsidRDefault="002552C1" w:rsidP="002A7C01">
      <w:pPr>
        <w:rPr>
          <w:rFonts w:ascii="Arial" w:hAnsi="Arial" w:cs="Arial"/>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5748"/>
        <w:gridCol w:w="1654"/>
      </w:tblGrid>
      <w:tr w:rsidR="006329E6" w:rsidRPr="000D756E" w14:paraId="2CF0CCA7" w14:textId="77777777" w:rsidTr="000B4E56">
        <w:tc>
          <w:tcPr>
            <w:tcW w:w="1617" w:type="dxa"/>
          </w:tcPr>
          <w:p w14:paraId="409B13CC" w14:textId="6E9D4EAF" w:rsidR="000B4E56" w:rsidRPr="000D756E" w:rsidRDefault="000B4E56" w:rsidP="000B4E56">
            <w:pPr>
              <w:jc w:val="right"/>
              <w:rPr>
                <w:rFonts w:ascii="Arial" w:hAnsi="Arial" w:cs="Arial"/>
                <w:b/>
                <w:sz w:val="24"/>
                <w:szCs w:val="24"/>
              </w:rPr>
            </w:pPr>
            <w:r w:rsidRPr="000D756E">
              <w:rPr>
                <w:rFonts w:ascii="Arial" w:hAnsi="Arial" w:cs="Arial"/>
                <w:b/>
                <w:sz w:val="24"/>
                <w:szCs w:val="24"/>
              </w:rPr>
              <w:t>20</w:t>
            </w:r>
            <w:r w:rsidR="00462154" w:rsidRPr="000D756E">
              <w:rPr>
                <w:rFonts w:ascii="Arial" w:hAnsi="Arial" w:cs="Arial"/>
                <w:b/>
                <w:sz w:val="24"/>
                <w:szCs w:val="24"/>
              </w:rPr>
              <w:t>2</w:t>
            </w:r>
            <w:r w:rsidR="00AC0A91">
              <w:rPr>
                <w:rFonts w:ascii="Arial" w:hAnsi="Arial" w:cs="Arial"/>
                <w:b/>
                <w:sz w:val="24"/>
                <w:szCs w:val="24"/>
              </w:rPr>
              <w:t>3/24</w:t>
            </w:r>
          </w:p>
          <w:p w14:paraId="15896C14" w14:textId="18534F34" w:rsidR="000B4E56" w:rsidRPr="000D756E" w:rsidRDefault="000B4E56" w:rsidP="000B4E56">
            <w:pPr>
              <w:jc w:val="right"/>
              <w:rPr>
                <w:rFonts w:ascii="Arial" w:hAnsi="Arial" w:cs="Arial"/>
                <w:b/>
                <w:sz w:val="24"/>
                <w:szCs w:val="24"/>
              </w:rPr>
            </w:pPr>
            <w:r w:rsidRPr="000D756E">
              <w:rPr>
                <w:rFonts w:ascii="Arial" w:hAnsi="Arial" w:cs="Arial"/>
                <w:b/>
                <w:sz w:val="24"/>
                <w:szCs w:val="24"/>
              </w:rPr>
              <w:t>£’000</w:t>
            </w:r>
          </w:p>
        </w:tc>
        <w:tc>
          <w:tcPr>
            <w:tcW w:w="5748" w:type="dxa"/>
          </w:tcPr>
          <w:p w14:paraId="5DF1BCF1" w14:textId="77777777" w:rsidR="000B4E56" w:rsidRPr="000D756E" w:rsidRDefault="000B4E56" w:rsidP="000B4E56">
            <w:pPr>
              <w:rPr>
                <w:rFonts w:ascii="Arial" w:hAnsi="Arial" w:cs="Arial"/>
                <w:b/>
                <w:sz w:val="24"/>
                <w:szCs w:val="24"/>
              </w:rPr>
            </w:pPr>
          </w:p>
        </w:tc>
        <w:tc>
          <w:tcPr>
            <w:tcW w:w="1654" w:type="dxa"/>
          </w:tcPr>
          <w:p w14:paraId="1DEA57C6" w14:textId="324230A2" w:rsidR="000B4E56" w:rsidRPr="000D756E" w:rsidRDefault="000B4E56" w:rsidP="000B4E56">
            <w:pPr>
              <w:jc w:val="right"/>
              <w:rPr>
                <w:rFonts w:ascii="Arial" w:hAnsi="Arial" w:cs="Arial"/>
                <w:b/>
                <w:sz w:val="24"/>
                <w:szCs w:val="24"/>
              </w:rPr>
            </w:pPr>
            <w:r w:rsidRPr="000D756E">
              <w:rPr>
                <w:rFonts w:ascii="Arial" w:hAnsi="Arial" w:cs="Arial"/>
                <w:b/>
                <w:sz w:val="24"/>
                <w:szCs w:val="24"/>
              </w:rPr>
              <w:t>202</w:t>
            </w:r>
            <w:r w:rsidR="00AC0A91">
              <w:rPr>
                <w:rFonts w:ascii="Arial" w:hAnsi="Arial" w:cs="Arial"/>
                <w:b/>
                <w:sz w:val="24"/>
                <w:szCs w:val="24"/>
              </w:rPr>
              <w:t>4/25</w:t>
            </w:r>
          </w:p>
          <w:p w14:paraId="423601D3" w14:textId="77777777" w:rsidR="000B4E56" w:rsidRPr="000D756E" w:rsidRDefault="000B4E56" w:rsidP="000B4E56">
            <w:pPr>
              <w:jc w:val="right"/>
              <w:rPr>
                <w:rFonts w:ascii="Arial" w:hAnsi="Arial" w:cs="Arial"/>
                <w:b/>
                <w:sz w:val="24"/>
                <w:szCs w:val="24"/>
              </w:rPr>
            </w:pPr>
            <w:r w:rsidRPr="000D756E">
              <w:rPr>
                <w:rFonts w:ascii="Arial" w:hAnsi="Arial" w:cs="Arial"/>
                <w:b/>
                <w:sz w:val="24"/>
                <w:szCs w:val="24"/>
              </w:rPr>
              <w:t>£’000</w:t>
            </w:r>
          </w:p>
        </w:tc>
      </w:tr>
      <w:tr w:rsidR="00AC0A91" w:rsidRPr="000D756E" w14:paraId="67750705" w14:textId="77777777" w:rsidTr="000B4E56">
        <w:trPr>
          <w:trHeight w:val="357"/>
        </w:trPr>
        <w:tc>
          <w:tcPr>
            <w:tcW w:w="1617" w:type="dxa"/>
          </w:tcPr>
          <w:p w14:paraId="77FD68C6" w14:textId="5EDAF327" w:rsidR="00AC0A91" w:rsidRPr="000D756E" w:rsidRDefault="00AC0A91" w:rsidP="00AC0A91">
            <w:pPr>
              <w:jc w:val="right"/>
              <w:rPr>
                <w:rFonts w:ascii="Arial" w:hAnsi="Arial" w:cs="Arial"/>
                <w:sz w:val="24"/>
                <w:szCs w:val="24"/>
              </w:rPr>
            </w:pPr>
            <w:r w:rsidRPr="000D756E">
              <w:rPr>
                <w:rFonts w:ascii="Arial" w:hAnsi="Arial" w:cs="Arial"/>
                <w:sz w:val="24"/>
                <w:szCs w:val="24"/>
              </w:rPr>
              <w:t>543</w:t>
            </w:r>
          </w:p>
        </w:tc>
        <w:tc>
          <w:tcPr>
            <w:tcW w:w="5748" w:type="dxa"/>
          </w:tcPr>
          <w:p w14:paraId="571763B4" w14:textId="77777777" w:rsidR="00AC0A91" w:rsidRPr="000D756E" w:rsidRDefault="00AC0A91" w:rsidP="00AC0A91">
            <w:pPr>
              <w:rPr>
                <w:rFonts w:ascii="Arial" w:hAnsi="Arial" w:cs="Arial"/>
                <w:sz w:val="24"/>
                <w:szCs w:val="24"/>
              </w:rPr>
            </w:pPr>
            <w:r w:rsidRPr="000D756E">
              <w:rPr>
                <w:rFonts w:ascii="Arial" w:hAnsi="Arial" w:cs="Arial"/>
                <w:sz w:val="24"/>
                <w:szCs w:val="24"/>
              </w:rPr>
              <w:t>Interest received</w:t>
            </w:r>
          </w:p>
        </w:tc>
        <w:tc>
          <w:tcPr>
            <w:tcW w:w="1654" w:type="dxa"/>
          </w:tcPr>
          <w:p w14:paraId="3758DF23" w14:textId="3A9B50A1" w:rsidR="00AC0A91" w:rsidRPr="000D756E" w:rsidRDefault="003E4EBA" w:rsidP="00AC0A91">
            <w:pPr>
              <w:jc w:val="right"/>
              <w:rPr>
                <w:rFonts w:ascii="Arial" w:hAnsi="Arial" w:cs="Arial"/>
                <w:sz w:val="24"/>
                <w:szCs w:val="24"/>
              </w:rPr>
            </w:pPr>
            <w:r>
              <w:rPr>
                <w:rFonts w:ascii="Arial" w:hAnsi="Arial" w:cs="Arial"/>
                <w:sz w:val="24"/>
                <w:szCs w:val="24"/>
              </w:rPr>
              <w:t>4</w:t>
            </w:r>
            <w:r w:rsidR="009400E6">
              <w:rPr>
                <w:rFonts w:ascii="Arial" w:hAnsi="Arial" w:cs="Arial"/>
                <w:sz w:val="24"/>
                <w:szCs w:val="24"/>
              </w:rPr>
              <w:t>74</w:t>
            </w:r>
          </w:p>
        </w:tc>
      </w:tr>
      <w:tr w:rsidR="00AC0A91" w:rsidRPr="000D756E" w14:paraId="259F6C86" w14:textId="77777777" w:rsidTr="000B4E56">
        <w:trPr>
          <w:trHeight w:val="405"/>
        </w:trPr>
        <w:tc>
          <w:tcPr>
            <w:tcW w:w="1617" w:type="dxa"/>
          </w:tcPr>
          <w:p w14:paraId="5616A780" w14:textId="26E66D1F" w:rsidR="00AC0A91" w:rsidRPr="000D756E" w:rsidRDefault="00AC0A91" w:rsidP="00AC0A91">
            <w:pPr>
              <w:jc w:val="right"/>
              <w:rPr>
                <w:rFonts w:ascii="Arial" w:hAnsi="Arial" w:cs="Arial"/>
                <w:sz w:val="24"/>
                <w:szCs w:val="24"/>
              </w:rPr>
            </w:pPr>
            <w:r w:rsidRPr="000D756E">
              <w:rPr>
                <w:rFonts w:ascii="Arial" w:hAnsi="Arial" w:cs="Arial"/>
                <w:sz w:val="24"/>
                <w:szCs w:val="24"/>
              </w:rPr>
              <w:t>-234</w:t>
            </w:r>
          </w:p>
        </w:tc>
        <w:tc>
          <w:tcPr>
            <w:tcW w:w="5748" w:type="dxa"/>
          </w:tcPr>
          <w:p w14:paraId="53B3AF53" w14:textId="77777777" w:rsidR="00AC0A91" w:rsidRPr="000D756E" w:rsidRDefault="00AC0A91" w:rsidP="00AC0A91">
            <w:pPr>
              <w:rPr>
                <w:rFonts w:ascii="Arial" w:hAnsi="Arial" w:cs="Arial"/>
                <w:sz w:val="24"/>
                <w:szCs w:val="24"/>
              </w:rPr>
            </w:pPr>
            <w:r w:rsidRPr="000D756E">
              <w:rPr>
                <w:rFonts w:ascii="Arial" w:hAnsi="Arial" w:cs="Arial"/>
                <w:sz w:val="24"/>
                <w:szCs w:val="24"/>
              </w:rPr>
              <w:t>Interest paid</w:t>
            </w:r>
          </w:p>
        </w:tc>
        <w:tc>
          <w:tcPr>
            <w:tcW w:w="1654" w:type="dxa"/>
          </w:tcPr>
          <w:p w14:paraId="2F59DDD1" w14:textId="57D69BCB" w:rsidR="00AC0A91" w:rsidRPr="000D756E" w:rsidRDefault="009400E6" w:rsidP="00AC0A91">
            <w:pPr>
              <w:jc w:val="right"/>
              <w:rPr>
                <w:rFonts w:ascii="Arial" w:hAnsi="Arial" w:cs="Arial"/>
                <w:sz w:val="24"/>
                <w:szCs w:val="24"/>
              </w:rPr>
            </w:pPr>
            <w:r>
              <w:rPr>
                <w:rFonts w:ascii="Arial" w:hAnsi="Arial" w:cs="Arial"/>
                <w:sz w:val="24"/>
                <w:szCs w:val="24"/>
              </w:rPr>
              <w:t>-232</w:t>
            </w:r>
          </w:p>
        </w:tc>
      </w:tr>
      <w:tr w:rsidR="00AC0A91" w:rsidRPr="000D756E" w14:paraId="00E3D400" w14:textId="77777777" w:rsidTr="000B4E56">
        <w:trPr>
          <w:trHeight w:val="405"/>
        </w:trPr>
        <w:tc>
          <w:tcPr>
            <w:tcW w:w="1617" w:type="dxa"/>
          </w:tcPr>
          <w:p w14:paraId="321FCD6D" w14:textId="010464AA" w:rsidR="00AC0A91" w:rsidRPr="000D756E" w:rsidRDefault="00AC0A91" w:rsidP="00AC0A91">
            <w:pPr>
              <w:jc w:val="right"/>
              <w:rPr>
                <w:rFonts w:ascii="Arial" w:hAnsi="Arial" w:cs="Arial"/>
                <w:b/>
                <w:sz w:val="24"/>
                <w:szCs w:val="24"/>
              </w:rPr>
            </w:pPr>
            <w:r w:rsidRPr="000D756E">
              <w:rPr>
                <w:rFonts w:ascii="Arial" w:hAnsi="Arial" w:cs="Arial"/>
                <w:b/>
                <w:sz w:val="24"/>
                <w:szCs w:val="24"/>
              </w:rPr>
              <w:t>309</w:t>
            </w:r>
          </w:p>
        </w:tc>
        <w:tc>
          <w:tcPr>
            <w:tcW w:w="5748" w:type="dxa"/>
          </w:tcPr>
          <w:p w14:paraId="29366ECB" w14:textId="77777777" w:rsidR="00AC0A91" w:rsidRPr="000D756E" w:rsidRDefault="00AC0A91" w:rsidP="00AC0A91">
            <w:pPr>
              <w:rPr>
                <w:rFonts w:ascii="Arial" w:hAnsi="Arial" w:cs="Arial"/>
                <w:b/>
                <w:sz w:val="24"/>
                <w:szCs w:val="24"/>
              </w:rPr>
            </w:pPr>
            <w:r w:rsidRPr="000D756E">
              <w:rPr>
                <w:rFonts w:ascii="Arial" w:hAnsi="Arial" w:cs="Arial"/>
                <w:b/>
                <w:sz w:val="24"/>
                <w:szCs w:val="24"/>
              </w:rPr>
              <w:t>Net Interest</w:t>
            </w:r>
          </w:p>
        </w:tc>
        <w:tc>
          <w:tcPr>
            <w:tcW w:w="1654" w:type="dxa"/>
          </w:tcPr>
          <w:p w14:paraId="28452D33" w14:textId="533B8376" w:rsidR="00AC0A91" w:rsidRPr="000D756E" w:rsidRDefault="003E4EBA" w:rsidP="00AC0A91">
            <w:pPr>
              <w:jc w:val="right"/>
              <w:rPr>
                <w:rFonts w:ascii="Arial" w:hAnsi="Arial" w:cs="Arial"/>
                <w:b/>
                <w:sz w:val="24"/>
                <w:szCs w:val="24"/>
              </w:rPr>
            </w:pPr>
            <w:r>
              <w:rPr>
                <w:rFonts w:ascii="Arial" w:hAnsi="Arial" w:cs="Arial"/>
                <w:b/>
                <w:sz w:val="24"/>
                <w:szCs w:val="24"/>
              </w:rPr>
              <w:t>2</w:t>
            </w:r>
            <w:r w:rsidR="00003ACF">
              <w:rPr>
                <w:rFonts w:ascii="Arial" w:hAnsi="Arial" w:cs="Arial"/>
                <w:b/>
                <w:sz w:val="24"/>
                <w:szCs w:val="24"/>
              </w:rPr>
              <w:t>42</w:t>
            </w:r>
          </w:p>
        </w:tc>
      </w:tr>
    </w:tbl>
    <w:p w14:paraId="3F48A8A4" w14:textId="77777777" w:rsidR="002A572B" w:rsidRPr="000D756E" w:rsidRDefault="002A572B" w:rsidP="002A7C01">
      <w:pPr>
        <w:rPr>
          <w:rFonts w:ascii="Arial" w:hAnsi="Arial" w:cs="Arial"/>
          <w:sz w:val="24"/>
          <w:szCs w:val="24"/>
        </w:rPr>
      </w:pPr>
    </w:p>
    <w:p w14:paraId="617A6E99" w14:textId="209B8CDF" w:rsidR="002552C1" w:rsidRPr="000D756E" w:rsidRDefault="00DE62E8" w:rsidP="001C227A">
      <w:pPr>
        <w:numPr>
          <w:ilvl w:val="0"/>
          <w:numId w:val="15"/>
        </w:numPr>
        <w:rPr>
          <w:rFonts w:ascii="Arial" w:hAnsi="Arial" w:cs="Arial"/>
          <w:b/>
          <w:sz w:val="24"/>
          <w:szCs w:val="24"/>
        </w:rPr>
      </w:pPr>
      <w:r w:rsidRPr="006350C4">
        <w:rPr>
          <w:rFonts w:ascii="Arial" w:hAnsi="Arial" w:cs="Arial"/>
          <w:b/>
          <w:sz w:val="24"/>
          <w:szCs w:val="24"/>
        </w:rPr>
        <w:t>CASH FLOW STATEMENT – INVESTING ACTIVITIES</w:t>
      </w:r>
      <w:r w:rsidR="00B717DC" w:rsidRPr="000D756E">
        <w:rPr>
          <w:rFonts w:ascii="Arial" w:hAnsi="Arial" w:cs="Arial"/>
          <w:b/>
          <w:sz w:val="24"/>
          <w:szCs w:val="24"/>
        </w:rPr>
        <w:t xml:space="preserve">  </w:t>
      </w:r>
    </w:p>
    <w:p w14:paraId="30F1D2C7" w14:textId="77777777" w:rsidR="002552C1" w:rsidRPr="000D756E" w:rsidRDefault="002552C1" w:rsidP="002A7C01">
      <w:pPr>
        <w:rPr>
          <w:rFonts w:ascii="Arial" w:hAnsi="Arial" w:cs="Arial"/>
          <w:b/>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5750"/>
        <w:gridCol w:w="1653"/>
      </w:tblGrid>
      <w:tr w:rsidR="006329E6" w:rsidRPr="000D756E" w14:paraId="106B5701" w14:textId="77777777" w:rsidTr="00394A85">
        <w:tc>
          <w:tcPr>
            <w:tcW w:w="1616" w:type="dxa"/>
          </w:tcPr>
          <w:p w14:paraId="753C7B3D" w14:textId="7CE67776" w:rsidR="00394A85" w:rsidRPr="000D756E" w:rsidRDefault="00394A85" w:rsidP="00394A85">
            <w:pPr>
              <w:jc w:val="right"/>
              <w:rPr>
                <w:rFonts w:ascii="Arial" w:hAnsi="Arial" w:cs="Arial"/>
                <w:b/>
                <w:sz w:val="24"/>
                <w:szCs w:val="24"/>
              </w:rPr>
            </w:pPr>
            <w:r w:rsidRPr="000D756E">
              <w:rPr>
                <w:rFonts w:ascii="Arial" w:hAnsi="Arial" w:cs="Arial"/>
                <w:b/>
                <w:sz w:val="24"/>
                <w:szCs w:val="24"/>
              </w:rPr>
              <w:t>20</w:t>
            </w:r>
            <w:r w:rsidR="00462154" w:rsidRPr="000D756E">
              <w:rPr>
                <w:rFonts w:ascii="Arial" w:hAnsi="Arial" w:cs="Arial"/>
                <w:b/>
                <w:sz w:val="24"/>
                <w:szCs w:val="24"/>
              </w:rPr>
              <w:t>2</w:t>
            </w:r>
            <w:r w:rsidR="00AC0A91">
              <w:rPr>
                <w:rFonts w:ascii="Arial" w:hAnsi="Arial" w:cs="Arial"/>
                <w:b/>
                <w:sz w:val="24"/>
                <w:szCs w:val="24"/>
              </w:rPr>
              <w:t>3/24</w:t>
            </w:r>
          </w:p>
          <w:p w14:paraId="22CD6E70" w14:textId="2C50D17E" w:rsidR="00394A85" w:rsidRPr="000D756E" w:rsidRDefault="00394A85" w:rsidP="00394A85">
            <w:pPr>
              <w:jc w:val="right"/>
              <w:rPr>
                <w:rFonts w:ascii="Arial" w:hAnsi="Arial" w:cs="Arial"/>
                <w:b/>
                <w:sz w:val="24"/>
                <w:szCs w:val="24"/>
              </w:rPr>
            </w:pPr>
            <w:r w:rsidRPr="000D756E">
              <w:rPr>
                <w:rFonts w:ascii="Arial" w:hAnsi="Arial" w:cs="Arial"/>
                <w:b/>
                <w:sz w:val="24"/>
                <w:szCs w:val="24"/>
              </w:rPr>
              <w:t>£’000</w:t>
            </w:r>
          </w:p>
        </w:tc>
        <w:tc>
          <w:tcPr>
            <w:tcW w:w="5750" w:type="dxa"/>
          </w:tcPr>
          <w:p w14:paraId="3D762C1C" w14:textId="77777777" w:rsidR="00394A85" w:rsidRPr="000D756E" w:rsidRDefault="00394A85" w:rsidP="00394A85">
            <w:pPr>
              <w:rPr>
                <w:rFonts w:ascii="Arial" w:hAnsi="Arial" w:cs="Arial"/>
                <w:b/>
                <w:sz w:val="24"/>
                <w:szCs w:val="24"/>
              </w:rPr>
            </w:pPr>
          </w:p>
        </w:tc>
        <w:tc>
          <w:tcPr>
            <w:tcW w:w="1653" w:type="dxa"/>
          </w:tcPr>
          <w:p w14:paraId="7986FE32" w14:textId="427A04C0" w:rsidR="00394A85" w:rsidRPr="000D756E" w:rsidRDefault="00394A85" w:rsidP="00394A85">
            <w:pPr>
              <w:jc w:val="right"/>
              <w:rPr>
                <w:rFonts w:ascii="Arial" w:hAnsi="Arial" w:cs="Arial"/>
                <w:b/>
                <w:sz w:val="24"/>
                <w:szCs w:val="24"/>
              </w:rPr>
            </w:pPr>
            <w:r w:rsidRPr="000D756E">
              <w:rPr>
                <w:rFonts w:ascii="Arial" w:hAnsi="Arial" w:cs="Arial"/>
                <w:b/>
                <w:sz w:val="24"/>
                <w:szCs w:val="24"/>
              </w:rPr>
              <w:t>202</w:t>
            </w:r>
            <w:r w:rsidR="00AC0A91">
              <w:rPr>
                <w:rFonts w:ascii="Arial" w:hAnsi="Arial" w:cs="Arial"/>
                <w:b/>
                <w:sz w:val="24"/>
                <w:szCs w:val="24"/>
              </w:rPr>
              <w:t>4/25</w:t>
            </w:r>
          </w:p>
          <w:p w14:paraId="4AD2B4B5" w14:textId="77777777" w:rsidR="00394A85" w:rsidRPr="000D756E" w:rsidRDefault="00394A85" w:rsidP="00394A85">
            <w:pPr>
              <w:jc w:val="right"/>
              <w:rPr>
                <w:rFonts w:ascii="Arial" w:hAnsi="Arial" w:cs="Arial"/>
                <w:b/>
                <w:sz w:val="24"/>
                <w:szCs w:val="24"/>
              </w:rPr>
            </w:pPr>
            <w:r w:rsidRPr="000D756E">
              <w:rPr>
                <w:rFonts w:ascii="Arial" w:hAnsi="Arial" w:cs="Arial"/>
                <w:b/>
                <w:sz w:val="24"/>
                <w:szCs w:val="24"/>
              </w:rPr>
              <w:t>£’000</w:t>
            </w:r>
          </w:p>
        </w:tc>
      </w:tr>
      <w:tr w:rsidR="00AC0A91" w:rsidRPr="000D756E" w14:paraId="3259E2C9" w14:textId="77777777" w:rsidTr="00394A85">
        <w:trPr>
          <w:trHeight w:val="357"/>
        </w:trPr>
        <w:tc>
          <w:tcPr>
            <w:tcW w:w="1616" w:type="dxa"/>
          </w:tcPr>
          <w:p w14:paraId="771B2538" w14:textId="75791988" w:rsidR="00AC0A91" w:rsidRPr="000D756E" w:rsidRDefault="00AC0A91" w:rsidP="00AC0A91">
            <w:pPr>
              <w:jc w:val="right"/>
              <w:rPr>
                <w:rFonts w:ascii="Arial" w:hAnsi="Arial" w:cs="Arial"/>
                <w:sz w:val="24"/>
                <w:szCs w:val="24"/>
              </w:rPr>
            </w:pPr>
            <w:r w:rsidRPr="000D756E">
              <w:rPr>
                <w:rFonts w:ascii="Arial" w:hAnsi="Arial" w:cs="Arial"/>
                <w:sz w:val="24"/>
                <w:szCs w:val="24"/>
              </w:rPr>
              <w:t>6,509</w:t>
            </w:r>
          </w:p>
        </w:tc>
        <w:tc>
          <w:tcPr>
            <w:tcW w:w="5750" w:type="dxa"/>
          </w:tcPr>
          <w:p w14:paraId="626DDAD6" w14:textId="77777777" w:rsidR="00AC0A91" w:rsidRPr="000D756E" w:rsidRDefault="00AC0A91" w:rsidP="00AC0A91">
            <w:pPr>
              <w:rPr>
                <w:rFonts w:ascii="Arial" w:hAnsi="Arial" w:cs="Arial"/>
                <w:sz w:val="24"/>
                <w:szCs w:val="24"/>
              </w:rPr>
            </w:pPr>
            <w:r w:rsidRPr="000D756E">
              <w:rPr>
                <w:rFonts w:ascii="Arial" w:hAnsi="Arial" w:cs="Arial"/>
                <w:sz w:val="24"/>
                <w:szCs w:val="24"/>
              </w:rPr>
              <w:t>Purchase of property plant and equipment</w:t>
            </w:r>
          </w:p>
        </w:tc>
        <w:tc>
          <w:tcPr>
            <w:tcW w:w="1653" w:type="dxa"/>
          </w:tcPr>
          <w:p w14:paraId="2B713DBA" w14:textId="195297B7" w:rsidR="00AC0A91" w:rsidRPr="000D756E" w:rsidRDefault="00003ACF" w:rsidP="00AC0A91">
            <w:pPr>
              <w:jc w:val="right"/>
              <w:rPr>
                <w:rFonts w:ascii="Arial" w:hAnsi="Arial" w:cs="Arial"/>
                <w:sz w:val="24"/>
                <w:szCs w:val="24"/>
              </w:rPr>
            </w:pPr>
            <w:r>
              <w:rPr>
                <w:rFonts w:ascii="Arial" w:hAnsi="Arial" w:cs="Arial"/>
                <w:sz w:val="24"/>
                <w:szCs w:val="24"/>
              </w:rPr>
              <w:t>6,16</w:t>
            </w:r>
            <w:r w:rsidR="006350C4">
              <w:rPr>
                <w:rFonts w:ascii="Arial" w:hAnsi="Arial" w:cs="Arial"/>
                <w:sz w:val="24"/>
                <w:szCs w:val="24"/>
              </w:rPr>
              <w:t>2</w:t>
            </w:r>
          </w:p>
        </w:tc>
      </w:tr>
      <w:tr w:rsidR="00AC0A91" w:rsidRPr="000D756E" w14:paraId="60929A44" w14:textId="77777777" w:rsidTr="00394A85">
        <w:trPr>
          <w:trHeight w:val="405"/>
        </w:trPr>
        <w:tc>
          <w:tcPr>
            <w:tcW w:w="1616" w:type="dxa"/>
          </w:tcPr>
          <w:p w14:paraId="5926D03D" w14:textId="45CB5D3F" w:rsidR="00AC0A91" w:rsidRPr="000D756E" w:rsidRDefault="00AC0A91" w:rsidP="00AC0A91">
            <w:pPr>
              <w:jc w:val="right"/>
              <w:rPr>
                <w:rFonts w:ascii="Arial" w:hAnsi="Arial" w:cs="Arial"/>
                <w:sz w:val="24"/>
                <w:szCs w:val="24"/>
              </w:rPr>
            </w:pPr>
            <w:r w:rsidRPr="000D756E">
              <w:rPr>
                <w:rFonts w:ascii="Arial" w:hAnsi="Arial" w:cs="Arial"/>
                <w:sz w:val="24"/>
                <w:szCs w:val="24"/>
              </w:rPr>
              <w:t>-5</w:t>
            </w:r>
            <w:r w:rsidR="00003ACF">
              <w:rPr>
                <w:rFonts w:ascii="Arial" w:hAnsi="Arial" w:cs="Arial"/>
                <w:sz w:val="24"/>
                <w:szCs w:val="24"/>
              </w:rPr>
              <w:t>,</w:t>
            </w:r>
            <w:r w:rsidRPr="000D756E">
              <w:rPr>
                <w:rFonts w:ascii="Arial" w:hAnsi="Arial" w:cs="Arial"/>
                <w:sz w:val="24"/>
                <w:szCs w:val="24"/>
              </w:rPr>
              <w:t>000</w:t>
            </w:r>
          </w:p>
        </w:tc>
        <w:tc>
          <w:tcPr>
            <w:tcW w:w="5750" w:type="dxa"/>
          </w:tcPr>
          <w:p w14:paraId="5B45E7C4" w14:textId="77777777" w:rsidR="00AC0A91" w:rsidRPr="000D756E" w:rsidRDefault="00AC0A91" w:rsidP="00AC0A91">
            <w:pPr>
              <w:rPr>
                <w:rFonts w:ascii="Arial" w:hAnsi="Arial" w:cs="Arial"/>
                <w:sz w:val="24"/>
                <w:szCs w:val="24"/>
              </w:rPr>
            </w:pPr>
            <w:r w:rsidRPr="000D756E">
              <w:rPr>
                <w:rFonts w:ascii="Arial" w:hAnsi="Arial" w:cs="Arial"/>
                <w:sz w:val="24"/>
                <w:szCs w:val="24"/>
              </w:rPr>
              <w:t>Other payments from investing activities</w:t>
            </w:r>
          </w:p>
        </w:tc>
        <w:tc>
          <w:tcPr>
            <w:tcW w:w="1653" w:type="dxa"/>
          </w:tcPr>
          <w:p w14:paraId="23D940AB" w14:textId="02A0A3F8" w:rsidR="00AC0A91" w:rsidRPr="000D756E" w:rsidRDefault="004D39EF" w:rsidP="00AC0A91">
            <w:pPr>
              <w:jc w:val="right"/>
              <w:rPr>
                <w:rFonts w:ascii="Arial" w:hAnsi="Arial" w:cs="Arial"/>
                <w:sz w:val="24"/>
                <w:szCs w:val="24"/>
              </w:rPr>
            </w:pPr>
            <w:r>
              <w:rPr>
                <w:rFonts w:ascii="Arial" w:hAnsi="Arial" w:cs="Arial"/>
                <w:sz w:val="24"/>
                <w:szCs w:val="24"/>
              </w:rPr>
              <w:t>-1,000</w:t>
            </w:r>
          </w:p>
        </w:tc>
      </w:tr>
      <w:tr w:rsidR="00AC0A91" w:rsidRPr="000D756E" w14:paraId="56F1FD30" w14:textId="77777777" w:rsidTr="00394A85">
        <w:trPr>
          <w:trHeight w:val="405"/>
        </w:trPr>
        <w:tc>
          <w:tcPr>
            <w:tcW w:w="1616" w:type="dxa"/>
          </w:tcPr>
          <w:p w14:paraId="47DE4195" w14:textId="15B551AD" w:rsidR="00AC0A91" w:rsidRPr="000D756E" w:rsidRDefault="00AC0A91" w:rsidP="00AC0A91">
            <w:pPr>
              <w:jc w:val="right"/>
              <w:rPr>
                <w:rFonts w:ascii="Arial" w:hAnsi="Arial" w:cs="Arial"/>
                <w:b/>
                <w:sz w:val="24"/>
                <w:szCs w:val="24"/>
              </w:rPr>
            </w:pPr>
            <w:r w:rsidRPr="000D756E">
              <w:rPr>
                <w:rFonts w:ascii="Arial" w:hAnsi="Arial" w:cs="Arial"/>
                <w:b/>
                <w:sz w:val="24"/>
                <w:szCs w:val="24"/>
              </w:rPr>
              <w:t>1,509</w:t>
            </w:r>
          </w:p>
        </w:tc>
        <w:tc>
          <w:tcPr>
            <w:tcW w:w="5750" w:type="dxa"/>
          </w:tcPr>
          <w:p w14:paraId="52843545" w14:textId="77777777" w:rsidR="00AC0A91" w:rsidRPr="000D756E" w:rsidRDefault="00AC0A91" w:rsidP="00AC0A91">
            <w:pPr>
              <w:rPr>
                <w:rFonts w:ascii="Arial" w:hAnsi="Arial" w:cs="Arial"/>
                <w:sz w:val="24"/>
                <w:szCs w:val="24"/>
              </w:rPr>
            </w:pPr>
            <w:r w:rsidRPr="000D756E">
              <w:rPr>
                <w:rFonts w:ascii="Arial" w:hAnsi="Arial" w:cs="Arial"/>
                <w:sz w:val="24"/>
                <w:szCs w:val="24"/>
              </w:rPr>
              <w:t>Net cash flows from investing activities</w:t>
            </w:r>
          </w:p>
        </w:tc>
        <w:tc>
          <w:tcPr>
            <w:tcW w:w="1653" w:type="dxa"/>
          </w:tcPr>
          <w:p w14:paraId="34FC87C9" w14:textId="6D0EDD13" w:rsidR="00AC0A91" w:rsidRPr="000D756E" w:rsidRDefault="006350C4" w:rsidP="00AC0A91">
            <w:pPr>
              <w:jc w:val="right"/>
              <w:rPr>
                <w:rFonts w:ascii="Arial" w:hAnsi="Arial" w:cs="Arial"/>
                <w:b/>
                <w:sz w:val="24"/>
                <w:szCs w:val="24"/>
              </w:rPr>
            </w:pPr>
            <w:r>
              <w:rPr>
                <w:rFonts w:ascii="Arial" w:hAnsi="Arial" w:cs="Arial"/>
                <w:b/>
                <w:sz w:val="24"/>
                <w:szCs w:val="24"/>
              </w:rPr>
              <w:t>5,162</w:t>
            </w:r>
          </w:p>
        </w:tc>
      </w:tr>
    </w:tbl>
    <w:p w14:paraId="1C8B0C1B" w14:textId="77777777" w:rsidR="004B62CA" w:rsidRPr="000D756E" w:rsidRDefault="004B62CA" w:rsidP="002A7C01">
      <w:pPr>
        <w:rPr>
          <w:rFonts w:ascii="Arial" w:hAnsi="Arial" w:cs="Arial"/>
          <w:sz w:val="24"/>
          <w:szCs w:val="24"/>
        </w:rPr>
      </w:pPr>
    </w:p>
    <w:p w14:paraId="1D5C3057" w14:textId="77777777" w:rsidR="004B62CA" w:rsidRPr="000D756E" w:rsidRDefault="007A16E1" w:rsidP="002A7C01">
      <w:pPr>
        <w:rPr>
          <w:rFonts w:ascii="Arial" w:hAnsi="Arial" w:cs="Arial"/>
          <w:sz w:val="24"/>
          <w:szCs w:val="24"/>
        </w:rPr>
      </w:pPr>
      <w:r w:rsidRPr="000D756E">
        <w:rPr>
          <w:rFonts w:ascii="Arial" w:hAnsi="Arial" w:cs="Arial"/>
          <w:sz w:val="24"/>
          <w:szCs w:val="24"/>
        </w:rPr>
        <w:br w:type="page"/>
      </w:r>
    </w:p>
    <w:p w14:paraId="74B74CD9" w14:textId="2A051A23" w:rsidR="002552C1" w:rsidRPr="002F014C" w:rsidRDefault="00DE62E8" w:rsidP="001C227A">
      <w:pPr>
        <w:numPr>
          <w:ilvl w:val="0"/>
          <w:numId w:val="15"/>
        </w:numPr>
        <w:rPr>
          <w:rFonts w:ascii="Arial" w:hAnsi="Arial" w:cs="Arial"/>
          <w:b/>
          <w:sz w:val="24"/>
          <w:szCs w:val="24"/>
        </w:rPr>
      </w:pPr>
      <w:r w:rsidRPr="002F014C">
        <w:rPr>
          <w:rFonts w:ascii="Arial" w:hAnsi="Arial" w:cs="Arial"/>
          <w:b/>
          <w:sz w:val="24"/>
          <w:szCs w:val="24"/>
        </w:rPr>
        <w:lastRenderedPageBreak/>
        <w:t>CASH FLOW STATEMENT – FINANCING ACTIVITIES</w:t>
      </w:r>
      <w:r w:rsidR="00B717DC" w:rsidRPr="002F014C">
        <w:rPr>
          <w:rFonts w:ascii="Arial" w:hAnsi="Arial" w:cs="Arial"/>
          <w:b/>
          <w:sz w:val="24"/>
          <w:szCs w:val="24"/>
        </w:rPr>
        <w:t xml:space="preserve"> </w:t>
      </w:r>
    </w:p>
    <w:p w14:paraId="370C1978" w14:textId="77777777" w:rsidR="002552C1" w:rsidRPr="000D756E" w:rsidRDefault="002552C1" w:rsidP="002A7C01">
      <w:pPr>
        <w:rPr>
          <w:rFonts w:ascii="Arial" w:hAnsi="Arial" w:cs="Arial"/>
          <w:b/>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5750"/>
        <w:gridCol w:w="1653"/>
      </w:tblGrid>
      <w:tr w:rsidR="006329E6" w:rsidRPr="000D756E" w14:paraId="6A9AF15E" w14:textId="77777777" w:rsidTr="00CA0C51">
        <w:tc>
          <w:tcPr>
            <w:tcW w:w="1616" w:type="dxa"/>
          </w:tcPr>
          <w:p w14:paraId="6882D3B3" w14:textId="30DC8C84" w:rsidR="00CA0C51" w:rsidRPr="000D756E" w:rsidRDefault="00CA0C51" w:rsidP="00CA0C51">
            <w:pPr>
              <w:jc w:val="right"/>
              <w:rPr>
                <w:rFonts w:ascii="Arial" w:hAnsi="Arial" w:cs="Arial"/>
                <w:b/>
                <w:sz w:val="24"/>
                <w:szCs w:val="24"/>
              </w:rPr>
            </w:pPr>
            <w:r w:rsidRPr="000D756E">
              <w:rPr>
                <w:rFonts w:ascii="Arial" w:hAnsi="Arial" w:cs="Arial"/>
                <w:b/>
                <w:sz w:val="24"/>
                <w:szCs w:val="24"/>
              </w:rPr>
              <w:t>20</w:t>
            </w:r>
            <w:r w:rsidR="00462154" w:rsidRPr="000D756E">
              <w:rPr>
                <w:rFonts w:ascii="Arial" w:hAnsi="Arial" w:cs="Arial"/>
                <w:b/>
                <w:sz w:val="24"/>
                <w:szCs w:val="24"/>
              </w:rPr>
              <w:t>2</w:t>
            </w:r>
            <w:r w:rsidR="00AC0A91">
              <w:rPr>
                <w:rFonts w:ascii="Arial" w:hAnsi="Arial" w:cs="Arial"/>
                <w:b/>
                <w:sz w:val="24"/>
                <w:szCs w:val="24"/>
              </w:rPr>
              <w:t>3/24</w:t>
            </w:r>
          </w:p>
          <w:p w14:paraId="68BC26E7" w14:textId="7E006CE4" w:rsidR="00CA0C51" w:rsidRPr="000D756E" w:rsidRDefault="00CA0C51" w:rsidP="00CA0C51">
            <w:pPr>
              <w:jc w:val="right"/>
              <w:rPr>
                <w:rFonts w:ascii="Arial" w:hAnsi="Arial" w:cs="Arial"/>
                <w:b/>
                <w:sz w:val="24"/>
                <w:szCs w:val="24"/>
              </w:rPr>
            </w:pPr>
            <w:r w:rsidRPr="000D756E">
              <w:rPr>
                <w:rFonts w:ascii="Arial" w:hAnsi="Arial" w:cs="Arial"/>
                <w:b/>
                <w:sz w:val="24"/>
                <w:szCs w:val="24"/>
              </w:rPr>
              <w:t>£’000</w:t>
            </w:r>
          </w:p>
        </w:tc>
        <w:tc>
          <w:tcPr>
            <w:tcW w:w="5750" w:type="dxa"/>
          </w:tcPr>
          <w:p w14:paraId="59498E2E" w14:textId="77777777" w:rsidR="00CA0C51" w:rsidRPr="000D756E" w:rsidRDefault="00CA0C51" w:rsidP="00CA0C51">
            <w:pPr>
              <w:rPr>
                <w:rFonts w:ascii="Arial" w:hAnsi="Arial" w:cs="Arial"/>
                <w:b/>
                <w:sz w:val="24"/>
                <w:szCs w:val="24"/>
              </w:rPr>
            </w:pPr>
          </w:p>
        </w:tc>
        <w:tc>
          <w:tcPr>
            <w:tcW w:w="1653" w:type="dxa"/>
          </w:tcPr>
          <w:p w14:paraId="75E06F85" w14:textId="3D9A10FA" w:rsidR="00CA0C51" w:rsidRPr="000D756E" w:rsidRDefault="00CA0C51" w:rsidP="00CA0C51">
            <w:pPr>
              <w:jc w:val="right"/>
              <w:rPr>
                <w:rFonts w:ascii="Arial" w:hAnsi="Arial" w:cs="Arial"/>
                <w:b/>
                <w:sz w:val="24"/>
                <w:szCs w:val="24"/>
              </w:rPr>
            </w:pPr>
            <w:r w:rsidRPr="000D756E">
              <w:rPr>
                <w:rFonts w:ascii="Arial" w:hAnsi="Arial" w:cs="Arial"/>
                <w:b/>
                <w:sz w:val="24"/>
                <w:szCs w:val="24"/>
              </w:rPr>
              <w:t>202</w:t>
            </w:r>
            <w:r w:rsidR="00AC0A91">
              <w:rPr>
                <w:rFonts w:ascii="Arial" w:hAnsi="Arial" w:cs="Arial"/>
                <w:b/>
                <w:sz w:val="24"/>
                <w:szCs w:val="24"/>
              </w:rPr>
              <w:t>4/25</w:t>
            </w:r>
          </w:p>
          <w:p w14:paraId="3E234856" w14:textId="77777777" w:rsidR="00CA0C51" w:rsidRPr="000D756E" w:rsidRDefault="00CA0C51" w:rsidP="00CA0C51">
            <w:pPr>
              <w:jc w:val="right"/>
              <w:rPr>
                <w:rFonts w:ascii="Arial" w:hAnsi="Arial" w:cs="Arial"/>
                <w:b/>
                <w:sz w:val="24"/>
                <w:szCs w:val="24"/>
              </w:rPr>
            </w:pPr>
            <w:r w:rsidRPr="000D756E">
              <w:rPr>
                <w:rFonts w:ascii="Arial" w:hAnsi="Arial" w:cs="Arial"/>
                <w:b/>
                <w:sz w:val="24"/>
                <w:szCs w:val="24"/>
              </w:rPr>
              <w:t>£’000</w:t>
            </w:r>
          </w:p>
        </w:tc>
      </w:tr>
      <w:tr w:rsidR="00AC0A91" w:rsidRPr="000D756E" w14:paraId="5F1EC05B" w14:textId="77777777" w:rsidTr="00CA0C51">
        <w:trPr>
          <w:trHeight w:val="405"/>
        </w:trPr>
        <w:tc>
          <w:tcPr>
            <w:tcW w:w="1616" w:type="dxa"/>
          </w:tcPr>
          <w:p w14:paraId="19508CF7" w14:textId="1C52A689" w:rsidR="00AC0A91" w:rsidRPr="000D756E" w:rsidRDefault="00AC0A91" w:rsidP="00AC0A91">
            <w:pPr>
              <w:jc w:val="right"/>
              <w:rPr>
                <w:rFonts w:ascii="Arial" w:hAnsi="Arial" w:cs="Arial"/>
                <w:sz w:val="24"/>
                <w:szCs w:val="24"/>
              </w:rPr>
            </w:pPr>
            <w:r w:rsidRPr="000D756E">
              <w:rPr>
                <w:rFonts w:ascii="Arial" w:hAnsi="Arial" w:cs="Arial"/>
                <w:sz w:val="24"/>
                <w:szCs w:val="24"/>
              </w:rPr>
              <w:t>-543</w:t>
            </w:r>
          </w:p>
        </w:tc>
        <w:tc>
          <w:tcPr>
            <w:tcW w:w="5750" w:type="dxa"/>
          </w:tcPr>
          <w:p w14:paraId="5D59C16E" w14:textId="77777777" w:rsidR="00AC0A91" w:rsidRPr="000D756E" w:rsidRDefault="00AC0A91" w:rsidP="00AC0A91">
            <w:pPr>
              <w:rPr>
                <w:rFonts w:ascii="Arial" w:hAnsi="Arial" w:cs="Arial"/>
                <w:sz w:val="24"/>
                <w:szCs w:val="24"/>
              </w:rPr>
            </w:pPr>
            <w:r w:rsidRPr="000D756E">
              <w:rPr>
                <w:rFonts w:ascii="Arial" w:hAnsi="Arial" w:cs="Arial"/>
                <w:sz w:val="24"/>
                <w:szCs w:val="24"/>
              </w:rPr>
              <w:t>Other receipts from financing activities</w:t>
            </w:r>
          </w:p>
        </w:tc>
        <w:tc>
          <w:tcPr>
            <w:tcW w:w="1653" w:type="dxa"/>
          </w:tcPr>
          <w:p w14:paraId="575E7E43" w14:textId="06361988" w:rsidR="00AC0A91" w:rsidRPr="000D756E" w:rsidRDefault="000A44D1" w:rsidP="00AC0A91">
            <w:pPr>
              <w:jc w:val="right"/>
              <w:rPr>
                <w:rFonts w:ascii="Arial" w:hAnsi="Arial" w:cs="Arial"/>
                <w:sz w:val="24"/>
                <w:szCs w:val="24"/>
              </w:rPr>
            </w:pPr>
            <w:r>
              <w:rPr>
                <w:rFonts w:ascii="Arial" w:hAnsi="Arial" w:cs="Arial"/>
                <w:sz w:val="24"/>
                <w:szCs w:val="24"/>
              </w:rPr>
              <w:t>-</w:t>
            </w:r>
            <w:r w:rsidR="003E4EBA">
              <w:rPr>
                <w:rFonts w:ascii="Arial" w:hAnsi="Arial" w:cs="Arial"/>
                <w:sz w:val="24"/>
                <w:szCs w:val="24"/>
              </w:rPr>
              <w:t>4</w:t>
            </w:r>
            <w:r w:rsidR="00415EEF">
              <w:rPr>
                <w:rFonts w:ascii="Arial" w:hAnsi="Arial" w:cs="Arial"/>
                <w:sz w:val="24"/>
                <w:szCs w:val="24"/>
              </w:rPr>
              <w:t>74</w:t>
            </w:r>
          </w:p>
        </w:tc>
      </w:tr>
      <w:tr w:rsidR="00AC0A91" w:rsidRPr="000D756E" w14:paraId="758EC579" w14:textId="77777777" w:rsidTr="00CA0C51">
        <w:trPr>
          <w:trHeight w:val="616"/>
        </w:trPr>
        <w:tc>
          <w:tcPr>
            <w:tcW w:w="1616" w:type="dxa"/>
          </w:tcPr>
          <w:p w14:paraId="708CCE2D" w14:textId="049B96AD" w:rsidR="00AC0A91" w:rsidRPr="000D756E" w:rsidRDefault="00AC0A91" w:rsidP="00AC0A91">
            <w:pPr>
              <w:jc w:val="right"/>
              <w:rPr>
                <w:rFonts w:ascii="Arial" w:hAnsi="Arial" w:cs="Arial"/>
                <w:sz w:val="24"/>
                <w:szCs w:val="24"/>
              </w:rPr>
            </w:pPr>
            <w:r w:rsidRPr="000D756E">
              <w:rPr>
                <w:rFonts w:ascii="Arial" w:hAnsi="Arial" w:cs="Arial"/>
                <w:sz w:val="24"/>
                <w:szCs w:val="24"/>
              </w:rPr>
              <w:t>234</w:t>
            </w:r>
          </w:p>
        </w:tc>
        <w:tc>
          <w:tcPr>
            <w:tcW w:w="5750" w:type="dxa"/>
          </w:tcPr>
          <w:p w14:paraId="084890A2" w14:textId="77777777" w:rsidR="00AC0A91" w:rsidRPr="000D756E" w:rsidRDefault="00AC0A91" w:rsidP="00AC0A91">
            <w:pPr>
              <w:rPr>
                <w:rFonts w:ascii="Arial" w:hAnsi="Arial" w:cs="Arial"/>
                <w:sz w:val="24"/>
                <w:szCs w:val="24"/>
              </w:rPr>
            </w:pPr>
            <w:r w:rsidRPr="000D756E">
              <w:rPr>
                <w:rFonts w:ascii="Arial" w:hAnsi="Arial" w:cs="Arial"/>
                <w:sz w:val="24"/>
                <w:szCs w:val="24"/>
              </w:rPr>
              <w:t>Other payments for financing activities</w:t>
            </w:r>
          </w:p>
        </w:tc>
        <w:tc>
          <w:tcPr>
            <w:tcW w:w="1653" w:type="dxa"/>
          </w:tcPr>
          <w:p w14:paraId="62E13A84" w14:textId="4F1BC22F" w:rsidR="00AC0A91" w:rsidRPr="000D756E" w:rsidRDefault="00D421B3" w:rsidP="00AC0A91">
            <w:pPr>
              <w:jc w:val="right"/>
              <w:rPr>
                <w:rFonts w:ascii="Arial" w:hAnsi="Arial" w:cs="Arial"/>
                <w:sz w:val="24"/>
                <w:szCs w:val="24"/>
              </w:rPr>
            </w:pPr>
            <w:r>
              <w:rPr>
                <w:rFonts w:ascii="Arial" w:hAnsi="Arial" w:cs="Arial"/>
                <w:sz w:val="24"/>
                <w:szCs w:val="24"/>
              </w:rPr>
              <w:t>442</w:t>
            </w:r>
          </w:p>
        </w:tc>
      </w:tr>
      <w:tr w:rsidR="00AC0A91" w:rsidRPr="000D756E" w14:paraId="63DF2EC1" w14:textId="77777777" w:rsidTr="00CA0C51">
        <w:trPr>
          <w:trHeight w:val="405"/>
        </w:trPr>
        <w:tc>
          <w:tcPr>
            <w:tcW w:w="1616" w:type="dxa"/>
          </w:tcPr>
          <w:p w14:paraId="3F4B25A5" w14:textId="1BFB8E7B" w:rsidR="00AC0A91" w:rsidRPr="000D756E" w:rsidRDefault="00AC0A91" w:rsidP="00AC0A91">
            <w:pPr>
              <w:jc w:val="right"/>
              <w:rPr>
                <w:rFonts w:ascii="Arial" w:hAnsi="Arial" w:cs="Arial"/>
                <w:b/>
                <w:sz w:val="24"/>
                <w:szCs w:val="24"/>
              </w:rPr>
            </w:pPr>
            <w:r w:rsidRPr="000D756E">
              <w:rPr>
                <w:rFonts w:ascii="Arial" w:hAnsi="Arial" w:cs="Arial"/>
                <w:b/>
                <w:sz w:val="24"/>
                <w:szCs w:val="24"/>
              </w:rPr>
              <w:t>-309</w:t>
            </w:r>
          </w:p>
        </w:tc>
        <w:tc>
          <w:tcPr>
            <w:tcW w:w="5750" w:type="dxa"/>
          </w:tcPr>
          <w:p w14:paraId="41FB349B" w14:textId="77777777" w:rsidR="00AC0A91" w:rsidRPr="000D756E" w:rsidRDefault="00AC0A91" w:rsidP="00AC0A91">
            <w:pPr>
              <w:rPr>
                <w:rFonts w:ascii="Arial" w:hAnsi="Arial" w:cs="Arial"/>
                <w:sz w:val="24"/>
                <w:szCs w:val="24"/>
              </w:rPr>
            </w:pPr>
            <w:r w:rsidRPr="000D756E">
              <w:rPr>
                <w:rFonts w:ascii="Arial" w:hAnsi="Arial" w:cs="Arial"/>
                <w:sz w:val="24"/>
                <w:szCs w:val="24"/>
              </w:rPr>
              <w:t>Net cash flows from financing activities</w:t>
            </w:r>
          </w:p>
        </w:tc>
        <w:tc>
          <w:tcPr>
            <w:tcW w:w="1653" w:type="dxa"/>
          </w:tcPr>
          <w:p w14:paraId="5D1E0629" w14:textId="647E1C3E" w:rsidR="00AC0A91" w:rsidRPr="000D756E" w:rsidRDefault="00A1625D" w:rsidP="00AC0A91">
            <w:pPr>
              <w:jc w:val="right"/>
              <w:rPr>
                <w:rFonts w:ascii="Arial" w:hAnsi="Arial" w:cs="Arial"/>
                <w:b/>
                <w:sz w:val="24"/>
                <w:szCs w:val="24"/>
              </w:rPr>
            </w:pPr>
            <w:r>
              <w:rPr>
                <w:rFonts w:ascii="Arial" w:hAnsi="Arial" w:cs="Arial"/>
                <w:b/>
                <w:sz w:val="24"/>
                <w:szCs w:val="24"/>
              </w:rPr>
              <w:t>-32</w:t>
            </w:r>
          </w:p>
        </w:tc>
      </w:tr>
    </w:tbl>
    <w:p w14:paraId="0411967B" w14:textId="77777777" w:rsidR="002A572B" w:rsidRPr="000D756E" w:rsidRDefault="002A572B" w:rsidP="002A7C01">
      <w:pPr>
        <w:rPr>
          <w:rFonts w:ascii="Arial" w:hAnsi="Arial" w:cs="Arial"/>
          <w:sz w:val="22"/>
        </w:rPr>
      </w:pPr>
    </w:p>
    <w:p w14:paraId="31C6A388" w14:textId="77777777" w:rsidR="00D87832" w:rsidRPr="000D756E" w:rsidRDefault="00D87832" w:rsidP="002A7C01">
      <w:pPr>
        <w:rPr>
          <w:rFonts w:ascii="Arial" w:hAnsi="Arial" w:cs="Arial"/>
          <w:b/>
          <w:sz w:val="24"/>
          <w:szCs w:val="24"/>
        </w:rPr>
      </w:pPr>
    </w:p>
    <w:p w14:paraId="2C7C70C0" w14:textId="77777777" w:rsidR="00D87832" w:rsidRPr="000D756E" w:rsidRDefault="00D87832" w:rsidP="002A7C01">
      <w:pPr>
        <w:rPr>
          <w:rFonts w:ascii="Arial" w:hAnsi="Arial" w:cs="Arial"/>
          <w:sz w:val="24"/>
          <w:szCs w:val="24"/>
        </w:rPr>
      </w:pPr>
    </w:p>
    <w:p w14:paraId="3CFE2F25" w14:textId="77777777" w:rsidR="00D87832" w:rsidRPr="000D756E" w:rsidRDefault="00D87832" w:rsidP="002A7C01">
      <w:pPr>
        <w:rPr>
          <w:rFonts w:ascii="Arial" w:hAnsi="Arial" w:cs="Arial"/>
          <w:sz w:val="22"/>
        </w:rPr>
        <w:sectPr w:rsidR="00D87832" w:rsidRPr="000D756E" w:rsidSect="00540FFA">
          <w:headerReference w:type="default" r:id="rId35"/>
          <w:pgSz w:w="11909" w:h="16834" w:code="9"/>
          <w:pgMar w:top="1440" w:right="1440" w:bottom="1276" w:left="1440" w:header="431" w:footer="431" w:gutter="0"/>
          <w:paperSrc w:first="260"/>
          <w:cols w:space="720"/>
        </w:sect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6095"/>
        <w:gridCol w:w="1559"/>
      </w:tblGrid>
      <w:tr w:rsidR="006329E6" w:rsidRPr="000D756E" w14:paraId="40AD7B30" w14:textId="77777777" w:rsidTr="00CA0C51">
        <w:trPr>
          <w:trHeight w:val="315"/>
        </w:trPr>
        <w:tc>
          <w:tcPr>
            <w:tcW w:w="1575" w:type="dxa"/>
          </w:tcPr>
          <w:p w14:paraId="5BB11397" w14:textId="75445C2E" w:rsidR="00CA0C51" w:rsidRPr="000D756E" w:rsidRDefault="00CA0C51" w:rsidP="00CA0C51">
            <w:pPr>
              <w:jc w:val="right"/>
              <w:rPr>
                <w:rFonts w:ascii="Arial" w:hAnsi="Arial" w:cs="Arial"/>
                <w:b/>
                <w:bCs/>
                <w:sz w:val="24"/>
                <w:szCs w:val="24"/>
                <w:lang w:val="en-US"/>
              </w:rPr>
            </w:pPr>
            <w:r w:rsidRPr="000D756E">
              <w:rPr>
                <w:rFonts w:ascii="Arial" w:hAnsi="Arial" w:cs="Arial"/>
                <w:b/>
                <w:bCs/>
                <w:sz w:val="24"/>
                <w:szCs w:val="24"/>
                <w:lang w:val="en-US"/>
              </w:rPr>
              <w:lastRenderedPageBreak/>
              <w:t>Year ended 31 March 202</w:t>
            </w:r>
            <w:r w:rsidR="00AC0A91">
              <w:rPr>
                <w:rFonts w:ascii="Arial" w:hAnsi="Arial" w:cs="Arial"/>
                <w:b/>
                <w:bCs/>
                <w:sz w:val="24"/>
                <w:szCs w:val="24"/>
                <w:lang w:val="en-US"/>
              </w:rPr>
              <w:t>4</w:t>
            </w:r>
          </w:p>
          <w:p w14:paraId="126163A9" w14:textId="334977E0" w:rsidR="00CA0C51" w:rsidRPr="000D756E" w:rsidRDefault="00CA0C51" w:rsidP="00CA0C51">
            <w:pPr>
              <w:jc w:val="right"/>
              <w:rPr>
                <w:rFonts w:ascii="Arial" w:hAnsi="Arial" w:cs="Arial"/>
                <w:b/>
                <w:bCs/>
                <w:sz w:val="24"/>
                <w:szCs w:val="24"/>
                <w:lang w:val="en-US"/>
              </w:rPr>
            </w:pPr>
            <w:r w:rsidRPr="000D756E">
              <w:rPr>
                <w:rFonts w:ascii="Arial" w:hAnsi="Arial" w:cs="Arial"/>
                <w:b/>
                <w:bCs/>
                <w:sz w:val="24"/>
                <w:szCs w:val="24"/>
                <w:lang w:val="en-US"/>
              </w:rPr>
              <w:t>£’000</w:t>
            </w:r>
          </w:p>
        </w:tc>
        <w:tc>
          <w:tcPr>
            <w:tcW w:w="6095" w:type="dxa"/>
          </w:tcPr>
          <w:p w14:paraId="4EB419C0" w14:textId="77777777" w:rsidR="00CA0C51" w:rsidRPr="000D756E" w:rsidRDefault="00CA0C51" w:rsidP="00CA0C51">
            <w:pPr>
              <w:rPr>
                <w:rFonts w:ascii="Arial" w:hAnsi="Arial" w:cs="Arial"/>
                <w:b/>
                <w:bCs/>
                <w:sz w:val="24"/>
                <w:szCs w:val="24"/>
                <w:lang w:val="en-US"/>
              </w:rPr>
            </w:pPr>
            <w:r w:rsidRPr="000D756E">
              <w:rPr>
                <w:rFonts w:ascii="Arial" w:hAnsi="Arial" w:cs="Arial"/>
                <w:b/>
                <w:bCs/>
                <w:sz w:val="24"/>
                <w:szCs w:val="24"/>
                <w:lang w:val="en-US"/>
              </w:rPr>
              <w:t xml:space="preserve">   </w:t>
            </w:r>
          </w:p>
        </w:tc>
        <w:tc>
          <w:tcPr>
            <w:tcW w:w="1559" w:type="dxa"/>
          </w:tcPr>
          <w:p w14:paraId="6E4CC333" w14:textId="0FACA2DE" w:rsidR="00CA0C51" w:rsidRPr="000D756E" w:rsidRDefault="00CA0C51" w:rsidP="00CA0C51">
            <w:pPr>
              <w:jc w:val="right"/>
              <w:rPr>
                <w:rFonts w:ascii="Arial" w:hAnsi="Arial" w:cs="Arial"/>
                <w:b/>
                <w:bCs/>
                <w:sz w:val="24"/>
                <w:szCs w:val="24"/>
                <w:lang w:val="en-US"/>
              </w:rPr>
            </w:pPr>
            <w:r w:rsidRPr="000D756E">
              <w:rPr>
                <w:rFonts w:ascii="Arial" w:hAnsi="Arial" w:cs="Arial"/>
                <w:b/>
                <w:bCs/>
                <w:sz w:val="24"/>
                <w:szCs w:val="24"/>
                <w:lang w:val="en-US"/>
              </w:rPr>
              <w:t>Year ended 31 March 202</w:t>
            </w:r>
            <w:r w:rsidR="00AC0A91">
              <w:rPr>
                <w:rFonts w:ascii="Arial" w:hAnsi="Arial" w:cs="Arial"/>
                <w:b/>
                <w:bCs/>
                <w:sz w:val="24"/>
                <w:szCs w:val="24"/>
                <w:lang w:val="en-US"/>
              </w:rPr>
              <w:t>5</w:t>
            </w:r>
          </w:p>
          <w:p w14:paraId="11E95D50" w14:textId="77777777" w:rsidR="00CA0C51" w:rsidRPr="000D756E" w:rsidRDefault="00CA0C51" w:rsidP="00CA0C51">
            <w:pPr>
              <w:jc w:val="right"/>
              <w:rPr>
                <w:rFonts w:ascii="Arial" w:hAnsi="Arial" w:cs="Arial"/>
                <w:b/>
                <w:bCs/>
                <w:sz w:val="24"/>
                <w:szCs w:val="24"/>
                <w:lang w:val="en-US"/>
              </w:rPr>
            </w:pPr>
            <w:r w:rsidRPr="000D756E">
              <w:rPr>
                <w:rFonts w:ascii="Arial" w:hAnsi="Arial" w:cs="Arial"/>
                <w:b/>
                <w:bCs/>
                <w:sz w:val="24"/>
                <w:szCs w:val="24"/>
                <w:lang w:val="en-US"/>
              </w:rPr>
              <w:t>£’000</w:t>
            </w:r>
          </w:p>
        </w:tc>
      </w:tr>
      <w:tr w:rsidR="006329E6" w:rsidRPr="000D756E" w14:paraId="01CC91B5" w14:textId="77777777" w:rsidTr="00CA0C51">
        <w:trPr>
          <w:trHeight w:val="315"/>
        </w:trPr>
        <w:tc>
          <w:tcPr>
            <w:tcW w:w="1575" w:type="dxa"/>
          </w:tcPr>
          <w:p w14:paraId="0DBD9CDE" w14:textId="77777777" w:rsidR="00866EFA" w:rsidRPr="000D756E" w:rsidRDefault="00866EFA" w:rsidP="00866EFA">
            <w:pPr>
              <w:jc w:val="right"/>
              <w:rPr>
                <w:rFonts w:ascii="Arial" w:hAnsi="Arial" w:cs="Arial"/>
                <w:b/>
                <w:bCs/>
                <w:sz w:val="24"/>
                <w:szCs w:val="24"/>
                <w:lang w:val="en-US"/>
              </w:rPr>
            </w:pPr>
          </w:p>
        </w:tc>
        <w:tc>
          <w:tcPr>
            <w:tcW w:w="6095" w:type="dxa"/>
            <w:vAlign w:val="center"/>
          </w:tcPr>
          <w:p w14:paraId="0AC6F5D3" w14:textId="77777777" w:rsidR="00866EFA" w:rsidRPr="000D756E" w:rsidRDefault="00866EFA" w:rsidP="00866EFA">
            <w:pPr>
              <w:rPr>
                <w:rFonts w:ascii="Arial" w:hAnsi="Arial" w:cs="Arial"/>
                <w:b/>
                <w:bCs/>
                <w:sz w:val="24"/>
                <w:szCs w:val="24"/>
                <w:lang w:val="en-US"/>
              </w:rPr>
            </w:pPr>
          </w:p>
          <w:p w14:paraId="0DD14FC2" w14:textId="77777777" w:rsidR="00866EFA" w:rsidRPr="000D756E" w:rsidRDefault="00866EFA" w:rsidP="00866EFA">
            <w:pPr>
              <w:rPr>
                <w:rFonts w:ascii="Arial" w:hAnsi="Arial" w:cs="Arial"/>
                <w:b/>
                <w:bCs/>
                <w:sz w:val="24"/>
                <w:szCs w:val="24"/>
                <w:lang w:val="en-US"/>
              </w:rPr>
            </w:pPr>
            <w:r w:rsidRPr="000D756E">
              <w:rPr>
                <w:rFonts w:ascii="Arial" w:hAnsi="Arial" w:cs="Arial"/>
                <w:b/>
                <w:bCs/>
                <w:sz w:val="24"/>
                <w:szCs w:val="24"/>
                <w:lang w:val="en-US"/>
              </w:rPr>
              <w:t xml:space="preserve">Income to the fund      </w:t>
            </w:r>
          </w:p>
        </w:tc>
        <w:tc>
          <w:tcPr>
            <w:tcW w:w="1559" w:type="dxa"/>
          </w:tcPr>
          <w:p w14:paraId="31ED907B" w14:textId="77777777" w:rsidR="00866EFA" w:rsidRPr="000D756E" w:rsidRDefault="00866EFA" w:rsidP="00866EFA">
            <w:pPr>
              <w:jc w:val="right"/>
              <w:rPr>
                <w:rFonts w:ascii="Arial" w:hAnsi="Arial" w:cs="Arial"/>
                <w:b/>
                <w:bCs/>
                <w:sz w:val="24"/>
                <w:szCs w:val="24"/>
                <w:lang w:val="en-US"/>
              </w:rPr>
            </w:pPr>
          </w:p>
        </w:tc>
      </w:tr>
      <w:tr w:rsidR="006329E6" w:rsidRPr="000D756E" w14:paraId="75C0A7D0" w14:textId="77777777" w:rsidTr="00CA0C51">
        <w:trPr>
          <w:trHeight w:val="300"/>
        </w:trPr>
        <w:tc>
          <w:tcPr>
            <w:tcW w:w="1575" w:type="dxa"/>
          </w:tcPr>
          <w:p w14:paraId="2C21BE17" w14:textId="77777777" w:rsidR="00866EFA" w:rsidRPr="000D756E" w:rsidRDefault="00866EFA" w:rsidP="00866EFA">
            <w:pPr>
              <w:jc w:val="right"/>
              <w:rPr>
                <w:rFonts w:ascii="Arial" w:hAnsi="Arial" w:cs="Arial"/>
                <w:sz w:val="24"/>
                <w:szCs w:val="24"/>
                <w:lang w:val="en-US"/>
              </w:rPr>
            </w:pPr>
          </w:p>
        </w:tc>
        <w:tc>
          <w:tcPr>
            <w:tcW w:w="6095" w:type="dxa"/>
            <w:vAlign w:val="bottom"/>
          </w:tcPr>
          <w:p w14:paraId="0305980A" w14:textId="77777777" w:rsidR="00866EFA" w:rsidRPr="000D756E" w:rsidRDefault="00866EFA" w:rsidP="00866EFA">
            <w:pPr>
              <w:rPr>
                <w:rFonts w:ascii="Arial" w:hAnsi="Arial" w:cs="Arial"/>
                <w:b/>
                <w:sz w:val="24"/>
                <w:szCs w:val="24"/>
                <w:lang w:val="en-US"/>
              </w:rPr>
            </w:pPr>
            <w:r w:rsidRPr="000D756E">
              <w:rPr>
                <w:rFonts w:ascii="Arial" w:hAnsi="Arial" w:cs="Arial"/>
                <w:b/>
                <w:sz w:val="24"/>
                <w:szCs w:val="24"/>
                <w:lang w:val="en-US"/>
              </w:rPr>
              <w:t>Contributions receivable:</w:t>
            </w:r>
          </w:p>
        </w:tc>
        <w:tc>
          <w:tcPr>
            <w:tcW w:w="1559" w:type="dxa"/>
          </w:tcPr>
          <w:p w14:paraId="08A67AC6" w14:textId="77777777" w:rsidR="00866EFA" w:rsidRPr="000D756E" w:rsidRDefault="00866EFA" w:rsidP="00866EFA">
            <w:pPr>
              <w:jc w:val="right"/>
              <w:rPr>
                <w:rFonts w:ascii="Arial" w:hAnsi="Arial" w:cs="Arial"/>
                <w:sz w:val="24"/>
                <w:szCs w:val="24"/>
                <w:lang w:val="en-US"/>
              </w:rPr>
            </w:pPr>
          </w:p>
        </w:tc>
      </w:tr>
      <w:tr w:rsidR="006329E6" w:rsidRPr="000D756E" w14:paraId="03A3D3A7" w14:textId="77777777" w:rsidTr="00CA0C51">
        <w:trPr>
          <w:trHeight w:val="300"/>
        </w:trPr>
        <w:tc>
          <w:tcPr>
            <w:tcW w:w="1575" w:type="dxa"/>
          </w:tcPr>
          <w:p w14:paraId="46F14A2C" w14:textId="77777777" w:rsidR="00866EFA" w:rsidRPr="000D756E" w:rsidRDefault="00866EFA" w:rsidP="00866EFA">
            <w:pPr>
              <w:jc w:val="right"/>
              <w:rPr>
                <w:rFonts w:ascii="Arial" w:hAnsi="Arial" w:cs="Arial"/>
                <w:sz w:val="24"/>
                <w:szCs w:val="24"/>
                <w:lang w:val="en-US"/>
              </w:rPr>
            </w:pPr>
          </w:p>
        </w:tc>
        <w:tc>
          <w:tcPr>
            <w:tcW w:w="6095" w:type="dxa"/>
            <w:vAlign w:val="bottom"/>
          </w:tcPr>
          <w:p w14:paraId="51EEC9E2" w14:textId="77777777" w:rsidR="00866EFA" w:rsidRPr="000D756E" w:rsidRDefault="00866EFA" w:rsidP="00866EFA">
            <w:pPr>
              <w:rPr>
                <w:rFonts w:ascii="Arial" w:hAnsi="Arial" w:cs="Arial"/>
                <w:b/>
                <w:sz w:val="24"/>
                <w:szCs w:val="24"/>
                <w:lang w:val="en-US"/>
              </w:rPr>
            </w:pPr>
            <w:r w:rsidRPr="000D756E">
              <w:rPr>
                <w:rFonts w:ascii="Arial" w:hAnsi="Arial" w:cs="Arial"/>
                <w:b/>
                <w:sz w:val="24"/>
                <w:szCs w:val="24"/>
                <w:lang w:val="en-US"/>
              </w:rPr>
              <w:t>From employer:</w:t>
            </w:r>
          </w:p>
        </w:tc>
        <w:tc>
          <w:tcPr>
            <w:tcW w:w="1559" w:type="dxa"/>
          </w:tcPr>
          <w:p w14:paraId="50C3D3DE" w14:textId="77777777" w:rsidR="00866EFA" w:rsidRPr="000D756E" w:rsidRDefault="00866EFA" w:rsidP="00866EFA">
            <w:pPr>
              <w:jc w:val="right"/>
              <w:rPr>
                <w:rFonts w:ascii="Arial" w:hAnsi="Arial" w:cs="Arial"/>
                <w:sz w:val="24"/>
                <w:szCs w:val="24"/>
                <w:lang w:val="en-US"/>
              </w:rPr>
            </w:pPr>
          </w:p>
        </w:tc>
      </w:tr>
      <w:tr w:rsidR="00AC0A91" w:rsidRPr="000D756E" w14:paraId="492B17DB" w14:textId="77777777" w:rsidTr="00CA0C51">
        <w:trPr>
          <w:trHeight w:val="300"/>
        </w:trPr>
        <w:tc>
          <w:tcPr>
            <w:tcW w:w="1575" w:type="dxa"/>
          </w:tcPr>
          <w:p w14:paraId="129CC355" w14:textId="5EEC973E" w:rsidR="00AC0A91" w:rsidRPr="000D756E" w:rsidRDefault="00AC0A91" w:rsidP="00AC0A91">
            <w:pPr>
              <w:jc w:val="right"/>
              <w:rPr>
                <w:rFonts w:ascii="Arial" w:hAnsi="Arial" w:cs="Arial"/>
                <w:sz w:val="24"/>
                <w:szCs w:val="24"/>
              </w:rPr>
            </w:pPr>
            <w:r w:rsidRPr="000D756E">
              <w:rPr>
                <w:rFonts w:ascii="Arial" w:hAnsi="Arial" w:cs="Arial"/>
                <w:sz w:val="24"/>
                <w:szCs w:val="24"/>
              </w:rPr>
              <w:t>-2,811</w:t>
            </w:r>
          </w:p>
        </w:tc>
        <w:tc>
          <w:tcPr>
            <w:tcW w:w="6095" w:type="dxa"/>
            <w:vAlign w:val="bottom"/>
          </w:tcPr>
          <w:p w14:paraId="583D0A32" w14:textId="77777777"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Normal: 2015 scheme</w:t>
            </w:r>
          </w:p>
        </w:tc>
        <w:tc>
          <w:tcPr>
            <w:tcW w:w="1559" w:type="dxa"/>
          </w:tcPr>
          <w:p w14:paraId="38BD1713" w14:textId="23EDAA31" w:rsidR="00AC0A91" w:rsidRPr="000D756E" w:rsidRDefault="00AC0A91" w:rsidP="00AC0A91">
            <w:pPr>
              <w:jc w:val="right"/>
              <w:rPr>
                <w:rFonts w:ascii="Arial" w:hAnsi="Arial" w:cs="Arial"/>
                <w:sz w:val="24"/>
                <w:szCs w:val="24"/>
              </w:rPr>
            </w:pPr>
            <w:r w:rsidRPr="000D756E">
              <w:rPr>
                <w:rFonts w:ascii="Arial" w:hAnsi="Arial" w:cs="Arial"/>
                <w:sz w:val="24"/>
                <w:szCs w:val="24"/>
              </w:rPr>
              <w:t>-</w:t>
            </w:r>
            <w:r w:rsidR="001361F9">
              <w:rPr>
                <w:rFonts w:ascii="Arial" w:hAnsi="Arial" w:cs="Arial"/>
                <w:sz w:val="24"/>
                <w:szCs w:val="24"/>
              </w:rPr>
              <w:t>3,91</w:t>
            </w:r>
            <w:r w:rsidR="009F4A74">
              <w:rPr>
                <w:rFonts w:ascii="Arial" w:hAnsi="Arial" w:cs="Arial"/>
                <w:sz w:val="24"/>
                <w:szCs w:val="24"/>
              </w:rPr>
              <w:t>6</w:t>
            </w:r>
          </w:p>
        </w:tc>
      </w:tr>
      <w:tr w:rsidR="00AC0A91" w:rsidRPr="000D756E" w14:paraId="14938BA2" w14:textId="77777777" w:rsidTr="00CA0C51">
        <w:trPr>
          <w:trHeight w:val="300"/>
        </w:trPr>
        <w:tc>
          <w:tcPr>
            <w:tcW w:w="1575" w:type="dxa"/>
          </w:tcPr>
          <w:p w14:paraId="2541C6F1" w14:textId="1AF45F58" w:rsidR="00AC0A91" w:rsidRPr="000D756E" w:rsidRDefault="00AC0A91" w:rsidP="00AC0A91">
            <w:pPr>
              <w:jc w:val="right"/>
              <w:rPr>
                <w:rFonts w:ascii="Arial" w:hAnsi="Arial" w:cs="Arial"/>
                <w:sz w:val="24"/>
                <w:szCs w:val="24"/>
              </w:rPr>
            </w:pPr>
            <w:r w:rsidRPr="000D756E">
              <w:rPr>
                <w:rFonts w:ascii="Arial" w:hAnsi="Arial" w:cs="Arial"/>
                <w:sz w:val="24"/>
                <w:szCs w:val="24"/>
              </w:rPr>
              <w:t>-76</w:t>
            </w:r>
          </w:p>
        </w:tc>
        <w:tc>
          <w:tcPr>
            <w:tcW w:w="6095" w:type="dxa"/>
            <w:vAlign w:val="bottom"/>
          </w:tcPr>
          <w:p w14:paraId="2FAB744B" w14:textId="77777777"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 xml:space="preserve">Early Retirements   </w:t>
            </w:r>
          </w:p>
        </w:tc>
        <w:tc>
          <w:tcPr>
            <w:tcW w:w="1559" w:type="dxa"/>
          </w:tcPr>
          <w:p w14:paraId="5F993BAF" w14:textId="0D124F83" w:rsidR="00AC0A91" w:rsidRPr="000D756E" w:rsidRDefault="00AC0A91" w:rsidP="00AC0A91">
            <w:pPr>
              <w:jc w:val="right"/>
              <w:rPr>
                <w:rFonts w:ascii="Arial" w:hAnsi="Arial" w:cs="Arial"/>
                <w:sz w:val="24"/>
                <w:szCs w:val="24"/>
              </w:rPr>
            </w:pPr>
            <w:r w:rsidRPr="000D756E">
              <w:rPr>
                <w:rFonts w:ascii="Arial" w:hAnsi="Arial" w:cs="Arial"/>
                <w:sz w:val="24"/>
                <w:szCs w:val="24"/>
              </w:rPr>
              <w:t>-</w:t>
            </w:r>
            <w:r w:rsidR="00B44CCB">
              <w:rPr>
                <w:rFonts w:ascii="Arial" w:hAnsi="Arial" w:cs="Arial"/>
                <w:sz w:val="24"/>
                <w:szCs w:val="24"/>
              </w:rPr>
              <w:t>19</w:t>
            </w:r>
          </w:p>
        </w:tc>
      </w:tr>
      <w:tr w:rsidR="00AC0A91" w:rsidRPr="000D756E" w14:paraId="67C1E79F" w14:textId="77777777" w:rsidTr="00CA0C51">
        <w:trPr>
          <w:trHeight w:val="300"/>
        </w:trPr>
        <w:tc>
          <w:tcPr>
            <w:tcW w:w="1575" w:type="dxa"/>
          </w:tcPr>
          <w:p w14:paraId="787E01EA" w14:textId="77777777" w:rsidR="00AC0A91" w:rsidRPr="000D756E" w:rsidRDefault="00AC0A91" w:rsidP="00AC0A91">
            <w:pPr>
              <w:jc w:val="right"/>
              <w:rPr>
                <w:rFonts w:ascii="Arial" w:hAnsi="Arial" w:cs="Arial"/>
                <w:sz w:val="24"/>
                <w:szCs w:val="24"/>
              </w:rPr>
            </w:pPr>
          </w:p>
        </w:tc>
        <w:tc>
          <w:tcPr>
            <w:tcW w:w="6095" w:type="dxa"/>
            <w:vAlign w:val="bottom"/>
          </w:tcPr>
          <w:p w14:paraId="3FD914A7" w14:textId="77777777" w:rsidR="00AC0A91" w:rsidRPr="000D756E" w:rsidRDefault="00AC0A91" w:rsidP="00AC0A91">
            <w:pPr>
              <w:rPr>
                <w:rFonts w:ascii="Arial" w:hAnsi="Arial" w:cs="Arial"/>
                <w:b/>
                <w:sz w:val="24"/>
                <w:szCs w:val="24"/>
                <w:lang w:val="en-US"/>
              </w:rPr>
            </w:pPr>
            <w:r w:rsidRPr="000D756E">
              <w:rPr>
                <w:rFonts w:ascii="Arial" w:hAnsi="Arial" w:cs="Arial"/>
                <w:b/>
                <w:sz w:val="24"/>
                <w:szCs w:val="24"/>
                <w:lang w:val="en-US"/>
              </w:rPr>
              <w:t>From members:</w:t>
            </w:r>
          </w:p>
        </w:tc>
        <w:tc>
          <w:tcPr>
            <w:tcW w:w="1559" w:type="dxa"/>
          </w:tcPr>
          <w:p w14:paraId="05FA209D" w14:textId="77777777" w:rsidR="00AC0A91" w:rsidRPr="000D756E" w:rsidRDefault="00AC0A91" w:rsidP="00AC0A91">
            <w:pPr>
              <w:jc w:val="right"/>
              <w:rPr>
                <w:rFonts w:ascii="Arial" w:hAnsi="Arial" w:cs="Arial"/>
                <w:sz w:val="24"/>
                <w:szCs w:val="24"/>
              </w:rPr>
            </w:pPr>
          </w:p>
        </w:tc>
      </w:tr>
      <w:tr w:rsidR="00AC0A91" w:rsidRPr="000D756E" w14:paraId="05E331D9" w14:textId="77777777" w:rsidTr="00CA0C51">
        <w:trPr>
          <w:trHeight w:val="300"/>
        </w:trPr>
        <w:tc>
          <w:tcPr>
            <w:tcW w:w="1575" w:type="dxa"/>
          </w:tcPr>
          <w:p w14:paraId="332E0E33" w14:textId="4121CA9C" w:rsidR="00AC0A91" w:rsidRPr="000D756E" w:rsidRDefault="00AC0A91" w:rsidP="00AC0A91">
            <w:pPr>
              <w:jc w:val="right"/>
              <w:rPr>
                <w:rFonts w:ascii="Arial" w:hAnsi="Arial" w:cs="Arial"/>
                <w:sz w:val="24"/>
                <w:szCs w:val="24"/>
              </w:rPr>
            </w:pPr>
            <w:r w:rsidRPr="000D756E">
              <w:rPr>
                <w:rFonts w:ascii="Arial" w:hAnsi="Arial" w:cs="Arial"/>
                <w:sz w:val="24"/>
                <w:szCs w:val="24"/>
              </w:rPr>
              <w:t>-1,261</w:t>
            </w:r>
          </w:p>
        </w:tc>
        <w:tc>
          <w:tcPr>
            <w:tcW w:w="6095" w:type="dxa"/>
            <w:vAlign w:val="bottom"/>
          </w:tcPr>
          <w:p w14:paraId="45E9A083" w14:textId="77777777"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Normal: 2015 scheme</w:t>
            </w:r>
          </w:p>
        </w:tc>
        <w:tc>
          <w:tcPr>
            <w:tcW w:w="1559" w:type="dxa"/>
          </w:tcPr>
          <w:p w14:paraId="2EBF8F24" w14:textId="6FFAED7C" w:rsidR="00AC0A91" w:rsidRPr="000D756E" w:rsidRDefault="00AC0A91" w:rsidP="00AC0A91">
            <w:pPr>
              <w:jc w:val="right"/>
              <w:rPr>
                <w:rFonts w:ascii="Arial" w:hAnsi="Arial" w:cs="Arial"/>
                <w:sz w:val="24"/>
                <w:szCs w:val="24"/>
              </w:rPr>
            </w:pPr>
            <w:r w:rsidRPr="000D756E">
              <w:rPr>
                <w:rFonts w:ascii="Arial" w:hAnsi="Arial" w:cs="Arial"/>
                <w:sz w:val="24"/>
                <w:szCs w:val="24"/>
              </w:rPr>
              <w:t>-1,</w:t>
            </w:r>
            <w:r w:rsidR="00B44CCB">
              <w:rPr>
                <w:rFonts w:ascii="Arial" w:hAnsi="Arial" w:cs="Arial"/>
                <w:sz w:val="24"/>
                <w:szCs w:val="24"/>
              </w:rPr>
              <w:t>35</w:t>
            </w:r>
            <w:r w:rsidR="009F4A74">
              <w:rPr>
                <w:rFonts w:ascii="Arial" w:hAnsi="Arial" w:cs="Arial"/>
                <w:sz w:val="24"/>
                <w:szCs w:val="24"/>
              </w:rPr>
              <w:t>5</w:t>
            </w:r>
          </w:p>
        </w:tc>
      </w:tr>
      <w:tr w:rsidR="00AC0A91" w:rsidRPr="000D756E" w14:paraId="0C24C530" w14:textId="77777777" w:rsidTr="00CA0C51">
        <w:trPr>
          <w:trHeight w:val="300"/>
        </w:trPr>
        <w:tc>
          <w:tcPr>
            <w:tcW w:w="1575" w:type="dxa"/>
          </w:tcPr>
          <w:p w14:paraId="761DA0D3" w14:textId="2535AC41" w:rsidR="00AC0A91" w:rsidRPr="000D756E" w:rsidRDefault="00AC0A91" w:rsidP="00AC0A91">
            <w:pPr>
              <w:jc w:val="right"/>
              <w:rPr>
                <w:rFonts w:ascii="Arial" w:hAnsi="Arial" w:cs="Arial"/>
                <w:sz w:val="24"/>
                <w:szCs w:val="24"/>
              </w:rPr>
            </w:pPr>
            <w:r w:rsidRPr="000D756E">
              <w:rPr>
                <w:rFonts w:ascii="Arial" w:hAnsi="Arial" w:cs="Arial"/>
                <w:sz w:val="24"/>
                <w:szCs w:val="24"/>
              </w:rPr>
              <w:t>-23</w:t>
            </w:r>
          </w:p>
        </w:tc>
        <w:tc>
          <w:tcPr>
            <w:tcW w:w="6095" w:type="dxa"/>
            <w:vAlign w:val="bottom"/>
          </w:tcPr>
          <w:p w14:paraId="181FD37F" w14:textId="77777777"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Past Service: 2006 modified scheme</w:t>
            </w:r>
          </w:p>
        </w:tc>
        <w:tc>
          <w:tcPr>
            <w:tcW w:w="1559" w:type="dxa"/>
          </w:tcPr>
          <w:p w14:paraId="18017CFD" w14:textId="235A79A4" w:rsidR="00AC0A91" w:rsidRPr="000D756E" w:rsidRDefault="00AC0A91" w:rsidP="00AC0A91">
            <w:pPr>
              <w:jc w:val="right"/>
              <w:rPr>
                <w:rFonts w:ascii="Arial" w:hAnsi="Arial" w:cs="Arial"/>
                <w:sz w:val="24"/>
                <w:szCs w:val="24"/>
              </w:rPr>
            </w:pPr>
            <w:r w:rsidRPr="000D756E">
              <w:rPr>
                <w:rFonts w:ascii="Arial" w:hAnsi="Arial" w:cs="Arial"/>
                <w:sz w:val="24"/>
                <w:szCs w:val="24"/>
              </w:rPr>
              <w:t>-</w:t>
            </w:r>
            <w:r w:rsidR="00357F45">
              <w:rPr>
                <w:rFonts w:ascii="Arial" w:hAnsi="Arial" w:cs="Arial"/>
                <w:sz w:val="24"/>
                <w:szCs w:val="24"/>
              </w:rPr>
              <w:t>17</w:t>
            </w:r>
            <w:r w:rsidR="009F4A74">
              <w:rPr>
                <w:rFonts w:ascii="Arial" w:hAnsi="Arial" w:cs="Arial"/>
                <w:sz w:val="24"/>
                <w:szCs w:val="24"/>
              </w:rPr>
              <w:t>8</w:t>
            </w:r>
          </w:p>
        </w:tc>
      </w:tr>
      <w:tr w:rsidR="00AC0A91" w:rsidRPr="000D756E" w14:paraId="0B618B6C" w14:textId="77777777" w:rsidTr="00CA0C51">
        <w:trPr>
          <w:trHeight w:val="300"/>
        </w:trPr>
        <w:tc>
          <w:tcPr>
            <w:tcW w:w="1575" w:type="dxa"/>
          </w:tcPr>
          <w:p w14:paraId="2B355459" w14:textId="77777777" w:rsidR="00AC0A91" w:rsidRPr="000D756E" w:rsidRDefault="00AC0A91" w:rsidP="00AC0A91">
            <w:pPr>
              <w:jc w:val="right"/>
              <w:rPr>
                <w:rFonts w:ascii="Arial" w:hAnsi="Arial" w:cs="Arial"/>
                <w:sz w:val="24"/>
                <w:szCs w:val="24"/>
              </w:rPr>
            </w:pPr>
          </w:p>
        </w:tc>
        <w:tc>
          <w:tcPr>
            <w:tcW w:w="6095" w:type="dxa"/>
            <w:vAlign w:val="bottom"/>
          </w:tcPr>
          <w:p w14:paraId="0F94180B" w14:textId="77777777" w:rsidR="00AC0A91" w:rsidRPr="000D756E" w:rsidRDefault="00AC0A91" w:rsidP="00AC0A91">
            <w:pPr>
              <w:rPr>
                <w:rFonts w:ascii="Arial" w:hAnsi="Arial" w:cs="Arial"/>
                <w:b/>
                <w:sz w:val="24"/>
                <w:szCs w:val="24"/>
                <w:lang w:val="en-US"/>
              </w:rPr>
            </w:pPr>
            <w:r w:rsidRPr="000D756E">
              <w:rPr>
                <w:rFonts w:ascii="Arial" w:hAnsi="Arial" w:cs="Arial"/>
                <w:b/>
                <w:sz w:val="24"/>
                <w:szCs w:val="24"/>
                <w:lang w:val="en-US"/>
              </w:rPr>
              <w:t>Transfers in:</w:t>
            </w:r>
          </w:p>
        </w:tc>
        <w:tc>
          <w:tcPr>
            <w:tcW w:w="1559" w:type="dxa"/>
          </w:tcPr>
          <w:p w14:paraId="3F6B1DC3" w14:textId="77777777" w:rsidR="00AC0A91" w:rsidRPr="000D756E" w:rsidRDefault="00AC0A91" w:rsidP="00AC0A91">
            <w:pPr>
              <w:jc w:val="right"/>
              <w:rPr>
                <w:rFonts w:ascii="Arial" w:hAnsi="Arial" w:cs="Arial"/>
                <w:sz w:val="24"/>
                <w:szCs w:val="24"/>
              </w:rPr>
            </w:pPr>
          </w:p>
        </w:tc>
      </w:tr>
      <w:tr w:rsidR="00AC0A91" w:rsidRPr="000D756E" w14:paraId="2F10DAAF" w14:textId="77777777" w:rsidTr="00CA0C51">
        <w:trPr>
          <w:trHeight w:val="300"/>
        </w:trPr>
        <w:tc>
          <w:tcPr>
            <w:tcW w:w="1575" w:type="dxa"/>
          </w:tcPr>
          <w:p w14:paraId="7D2BFB2F" w14:textId="733FAFF6" w:rsidR="00AC0A91" w:rsidRPr="000D756E" w:rsidRDefault="00AC0A91" w:rsidP="00AC0A91">
            <w:pPr>
              <w:jc w:val="right"/>
              <w:rPr>
                <w:rFonts w:ascii="Arial" w:hAnsi="Arial" w:cs="Arial"/>
                <w:sz w:val="24"/>
                <w:szCs w:val="24"/>
              </w:rPr>
            </w:pPr>
            <w:r w:rsidRPr="000D756E">
              <w:rPr>
                <w:rFonts w:ascii="Arial" w:hAnsi="Arial" w:cs="Arial"/>
                <w:sz w:val="24"/>
                <w:szCs w:val="24"/>
              </w:rPr>
              <w:t>-96</w:t>
            </w:r>
          </w:p>
        </w:tc>
        <w:tc>
          <w:tcPr>
            <w:tcW w:w="6095" w:type="dxa"/>
            <w:vAlign w:val="bottom"/>
          </w:tcPr>
          <w:p w14:paraId="68897C37" w14:textId="77777777"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Individual transfers from other schemes</w:t>
            </w:r>
          </w:p>
        </w:tc>
        <w:tc>
          <w:tcPr>
            <w:tcW w:w="1559" w:type="dxa"/>
          </w:tcPr>
          <w:p w14:paraId="7D6F39FF" w14:textId="599381BC" w:rsidR="00AC0A91" w:rsidRPr="000D756E" w:rsidRDefault="00AC0A91" w:rsidP="00AC0A91">
            <w:pPr>
              <w:jc w:val="right"/>
              <w:rPr>
                <w:rFonts w:ascii="Arial" w:hAnsi="Arial" w:cs="Arial"/>
                <w:sz w:val="24"/>
                <w:szCs w:val="24"/>
              </w:rPr>
            </w:pPr>
            <w:r w:rsidRPr="000D756E">
              <w:rPr>
                <w:rFonts w:ascii="Arial" w:hAnsi="Arial" w:cs="Arial"/>
                <w:sz w:val="24"/>
                <w:szCs w:val="24"/>
              </w:rPr>
              <w:t>-</w:t>
            </w:r>
            <w:r w:rsidR="00B44CCB">
              <w:rPr>
                <w:rFonts w:ascii="Arial" w:hAnsi="Arial" w:cs="Arial"/>
                <w:sz w:val="24"/>
                <w:szCs w:val="24"/>
              </w:rPr>
              <w:t>10</w:t>
            </w:r>
          </w:p>
        </w:tc>
      </w:tr>
      <w:tr w:rsidR="00AC0A91" w:rsidRPr="000D756E" w14:paraId="03205322" w14:textId="77777777" w:rsidTr="00CA0C51">
        <w:trPr>
          <w:trHeight w:val="300"/>
        </w:trPr>
        <w:tc>
          <w:tcPr>
            <w:tcW w:w="1575" w:type="dxa"/>
          </w:tcPr>
          <w:p w14:paraId="780C62E7" w14:textId="77777777" w:rsidR="00AC0A91" w:rsidRPr="000D756E" w:rsidRDefault="00AC0A91" w:rsidP="00AC0A91">
            <w:pPr>
              <w:jc w:val="right"/>
              <w:rPr>
                <w:rFonts w:ascii="Arial" w:hAnsi="Arial" w:cs="Arial"/>
                <w:sz w:val="24"/>
                <w:szCs w:val="24"/>
              </w:rPr>
            </w:pPr>
          </w:p>
        </w:tc>
        <w:tc>
          <w:tcPr>
            <w:tcW w:w="6095" w:type="dxa"/>
            <w:vAlign w:val="bottom"/>
          </w:tcPr>
          <w:p w14:paraId="4BAD7A76" w14:textId="77777777" w:rsidR="00AC0A91" w:rsidRPr="000D756E" w:rsidRDefault="00AC0A91" w:rsidP="00AC0A91">
            <w:pPr>
              <w:rPr>
                <w:rFonts w:ascii="Arial" w:hAnsi="Arial" w:cs="Arial"/>
                <w:sz w:val="24"/>
                <w:szCs w:val="24"/>
                <w:lang w:val="en-US"/>
              </w:rPr>
            </w:pPr>
          </w:p>
        </w:tc>
        <w:tc>
          <w:tcPr>
            <w:tcW w:w="1559" w:type="dxa"/>
          </w:tcPr>
          <w:p w14:paraId="593FE425" w14:textId="77777777" w:rsidR="00AC0A91" w:rsidRPr="000D756E" w:rsidRDefault="00AC0A91" w:rsidP="00AC0A91">
            <w:pPr>
              <w:jc w:val="right"/>
              <w:rPr>
                <w:rFonts w:ascii="Arial" w:hAnsi="Arial" w:cs="Arial"/>
                <w:sz w:val="24"/>
                <w:szCs w:val="24"/>
              </w:rPr>
            </w:pPr>
          </w:p>
        </w:tc>
      </w:tr>
      <w:tr w:rsidR="00AC0A91" w:rsidRPr="000D756E" w14:paraId="23E36512" w14:textId="77777777" w:rsidTr="00CA0C51">
        <w:trPr>
          <w:trHeight w:val="300"/>
        </w:trPr>
        <w:tc>
          <w:tcPr>
            <w:tcW w:w="1575" w:type="dxa"/>
          </w:tcPr>
          <w:p w14:paraId="223F3366" w14:textId="760D79AD" w:rsidR="00AC0A91" w:rsidRPr="000D756E" w:rsidRDefault="00AC0A91" w:rsidP="00AC0A91">
            <w:pPr>
              <w:jc w:val="right"/>
              <w:rPr>
                <w:rFonts w:ascii="Arial" w:hAnsi="Arial" w:cs="Arial"/>
                <w:b/>
                <w:sz w:val="24"/>
                <w:szCs w:val="24"/>
              </w:rPr>
            </w:pPr>
            <w:r w:rsidRPr="000D756E">
              <w:rPr>
                <w:rFonts w:ascii="Arial" w:hAnsi="Arial" w:cs="Arial"/>
                <w:b/>
                <w:sz w:val="24"/>
                <w:szCs w:val="24"/>
              </w:rPr>
              <w:t>-4,267</w:t>
            </w:r>
          </w:p>
        </w:tc>
        <w:tc>
          <w:tcPr>
            <w:tcW w:w="6095" w:type="dxa"/>
            <w:vAlign w:val="bottom"/>
          </w:tcPr>
          <w:p w14:paraId="560862AF" w14:textId="77777777" w:rsidR="00AC0A91" w:rsidRPr="000D756E" w:rsidRDefault="00AC0A91" w:rsidP="00AC0A91">
            <w:pPr>
              <w:rPr>
                <w:rFonts w:ascii="Arial" w:hAnsi="Arial" w:cs="Arial"/>
                <w:b/>
                <w:sz w:val="24"/>
                <w:szCs w:val="24"/>
                <w:lang w:val="en-US"/>
              </w:rPr>
            </w:pPr>
            <w:r w:rsidRPr="000D756E">
              <w:rPr>
                <w:rFonts w:ascii="Arial" w:hAnsi="Arial" w:cs="Arial"/>
                <w:b/>
                <w:sz w:val="24"/>
                <w:szCs w:val="24"/>
                <w:lang w:val="en-US"/>
              </w:rPr>
              <w:t>Income to the Fund</w:t>
            </w:r>
          </w:p>
        </w:tc>
        <w:tc>
          <w:tcPr>
            <w:tcW w:w="1559" w:type="dxa"/>
          </w:tcPr>
          <w:p w14:paraId="1ABEC6F5" w14:textId="7E4775E7" w:rsidR="00AC0A91" w:rsidRPr="000D756E" w:rsidRDefault="00AC0A91" w:rsidP="00AC0A91">
            <w:pPr>
              <w:jc w:val="right"/>
              <w:rPr>
                <w:rFonts w:ascii="Arial" w:hAnsi="Arial" w:cs="Arial"/>
                <w:b/>
                <w:sz w:val="24"/>
                <w:szCs w:val="24"/>
              </w:rPr>
            </w:pPr>
            <w:r w:rsidRPr="000D756E">
              <w:rPr>
                <w:rFonts w:ascii="Arial" w:hAnsi="Arial" w:cs="Arial"/>
                <w:b/>
                <w:sz w:val="24"/>
                <w:szCs w:val="24"/>
              </w:rPr>
              <w:t>-</w:t>
            </w:r>
            <w:r w:rsidR="009F4A74">
              <w:rPr>
                <w:rFonts w:ascii="Arial" w:hAnsi="Arial" w:cs="Arial"/>
                <w:b/>
                <w:sz w:val="24"/>
                <w:szCs w:val="24"/>
              </w:rPr>
              <w:t>5,</w:t>
            </w:r>
            <w:r w:rsidR="00B06101">
              <w:rPr>
                <w:rFonts w:ascii="Arial" w:hAnsi="Arial" w:cs="Arial"/>
                <w:b/>
                <w:sz w:val="24"/>
                <w:szCs w:val="24"/>
              </w:rPr>
              <w:t>478</w:t>
            </w:r>
          </w:p>
        </w:tc>
      </w:tr>
      <w:tr w:rsidR="00AC0A91" w:rsidRPr="000D756E" w14:paraId="6D851B28" w14:textId="77777777" w:rsidTr="00CA0C51">
        <w:trPr>
          <w:trHeight w:val="315"/>
        </w:trPr>
        <w:tc>
          <w:tcPr>
            <w:tcW w:w="1575" w:type="dxa"/>
          </w:tcPr>
          <w:p w14:paraId="6B2F2B15" w14:textId="77777777" w:rsidR="00AC0A91" w:rsidRPr="000D756E" w:rsidRDefault="00AC0A91" w:rsidP="00AC0A91">
            <w:pPr>
              <w:jc w:val="right"/>
              <w:rPr>
                <w:rFonts w:ascii="Arial" w:hAnsi="Arial" w:cs="Arial"/>
                <w:sz w:val="24"/>
                <w:szCs w:val="24"/>
              </w:rPr>
            </w:pPr>
          </w:p>
        </w:tc>
        <w:tc>
          <w:tcPr>
            <w:tcW w:w="6095" w:type="dxa"/>
            <w:vAlign w:val="bottom"/>
          </w:tcPr>
          <w:p w14:paraId="24A25215" w14:textId="77777777" w:rsidR="00AC0A91" w:rsidRPr="000D756E" w:rsidRDefault="00AC0A91" w:rsidP="00AC0A91">
            <w:pPr>
              <w:rPr>
                <w:rFonts w:ascii="Arial" w:hAnsi="Arial" w:cs="Arial"/>
                <w:b/>
                <w:bCs/>
                <w:sz w:val="24"/>
                <w:szCs w:val="24"/>
                <w:lang w:val="en-US"/>
              </w:rPr>
            </w:pPr>
          </w:p>
          <w:p w14:paraId="0233B012" w14:textId="77777777" w:rsidR="00AC0A91" w:rsidRPr="000D756E" w:rsidRDefault="00AC0A91" w:rsidP="00AC0A91">
            <w:pPr>
              <w:rPr>
                <w:rFonts w:ascii="Arial" w:hAnsi="Arial" w:cs="Arial"/>
                <w:b/>
                <w:bCs/>
                <w:sz w:val="24"/>
                <w:szCs w:val="24"/>
                <w:lang w:val="en-US"/>
              </w:rPr>
            </w:pPr>
            <w:r w:rsidRPr="000D756E">
              <w:rPr>
                <w:rFonts w:ascii="Arial" w:hAnsi="Arial" w:cs="Arial"/>
                <w:b/>
                <w:bCs/>
                <w:sz w:val="24"/>
                <w:szCs w:val="24"/>
                <w:lang w:val="en-US"/>
              </w:rPr>
              <w:t>Spending from the Fund:</w:t>
            </w:r>
          </w:p>
        </w:tc>
        <w:tc>
          <w:tcPr>
            <w:tcW w:w="1559" w:type="dxa"/>
          </w:tcPr>
          <w:p w14:paraId="13F65E1C" w14:textId="77777777" w:rsidR="00AC0A91" w:rsidRPr="000D756E" w:rsidRDefault="00AC0A91" w:rsidP="00AC0A91">
            <w:pPr>
              <w:jc w:val="right"/>
              <w:rPr>
                <w:rFonts w:ascii="Arial" w:hAnsi="Arial" w:cs="Arial"/>
                <w:sz w:val="24"/>
                <w:szCs w:val="24"/>
              </w:rPr>
            </w:pPr>
          </w:p>
        </w:tc>
      </w:tr>
      <w:tr w:rsidR="00AC0A91" w:rsidRPr="000D756E" w14:paraId="39F4EEDA" w14:textId="77777777" w:rsidTr="00CA0C51">
        <w:trPr>
          <w:trHeight w:val="300"/>
        </w:trPr>
        <w:tc>
          <w:tcPr>
            <w:tcW w:w="1575" w:type="dxa"/>
          </w:tcPr>
          <w:p w14:paraId="794C0FAD" w14:textId="77777777" w:rsidR="00AC0A91" w:rsidRPr="000D756E" w:rsidRDefault="00AC0A91" w:rsidP="00AC0A91">
            <w:pPr>
              <w:jc w:val="right"/>
              <w:rPr>
                <w:rFonts w:ascii="Arial" w:hAnsi="Arial" w:cs="Arial"/>
                <w:sz w:val="24"/>
                <w:szCs w:val="24"/>
              </w:rPr>
            </w:pPr>
          </w:p>
        </w:tc>
        <w:tc>
          <w:tcPr>
            <w:tcW w:w="6095" w:type="dxa"/>
            <w:vAlign w:val="bottom"/>
          </w:tcPr>
          <w:p w14:paraId="2A2057E0" w14:textId="77777777" w:rsidR="00AC0A91" w:rsidRPr="000D756E" w:rsidRDefault="00AC0A91" w:rsidP="00AC0A91">
            <w:pPr>
              <w:rPr>
                <w:rFonts w:ascii="Arial" w:hAnsi="Arial" w:cs="Arial"/>
                <w:b/>
                <w:sz w:val="24"/>
                <w:szCs w:val="24"/>
                <w:lang w:val="en-US"/>
              </w:rPr>
            </w:pPr>
            <w:r w:rsidRPr="000D756E">
              <w:rPr>
                <w:rFonts w:ascii="Arial" w:hAnsi="Arial" w:cs="Arial"/>
                <w:b/>
                <w:sz w:val="24"/>
                <w:szCs w:val="24"/>
                <w:lang w:val="en-US"/>
              </w:rPr>
              <w:t>Benefits payable:</w:t>
            </w:r>
          </w:p>
        </w:tc>
        <w:tc>
          <w:tcPr>
            <w:tcW w:w="1559" w:type="dxa"/>
          </w:tcPr>
          <w:p w14:paraId="35D7FC40" w14:textId="77777777" w:rsidR="00AC0A91" w:rsidRPr="000D756E" w:rsidRDefault="00AC0A91" w:rsidP="00AC0A91">
            <w:pPr>
              <w:jc w:val="right"/>
              <w:rPr>
                <w:rFonts w:ascii="Arial" w:hAnsi="Arial" w:cs="Arial"/>
                <w:sz w:val="24"/>
                <w:szCs w:val="24"/>
              </w:rPr>
            </w:pPr>
          </w:p>
        </w:tc>
      </w:tr>
      <w:tr w:rsidR="00AC0A91" w:rsidRPr="000D756E" w14:paraId="6E2B575D" w14:textId="77777777" w:rsidTr="00CA0C51">
        <w:trPr>
          <w:trHeight w:val="300"/>
        </w:trPr>
        <w:tc>
          <w:tcPr>
            <w:tcW w:w="1575" w:type="dxa"/>
          </w:tcPr>
          <w:p w14:paraId="66834681" w14:textId="27B77094" w:rsidR="00AC0A91" w:rsidRPr="000D756E" w:rsidRDefault="00AC0A91" w:rsidP="00AC0A91">
            <w:pPr>
              <w:jc w:val="right"/>
              <w:rPr>
                <w:rFonts w:ascii="Arial" w:hAnsi="Arial" w:cs="Arial"/>
                <w:sz w:val="24"/>
                <w:szCs w:val="24"/>
              </w:rPr>
            </w:pPr>
            <w:r w:rsidRPr="000D756E">
              <w:rPr>
                <w:rFonts w:ascii="Arial" w:hAnsi="Arial" w:cs="Arial"/>
                <w:sz w:val="24"/>
                <w:szCs w:val="24"/>
              </w:rPr>
              <w:t>6,204</w:t>
            </w:r>
          </w:p>
        </w:tc>
        <w:tc>
          <w:tcPr>
            <w:tcW w:w="6095" w:type="dxa"/>
            <w:vAlign w:val="bottom"/>
          </w:tcPr>
          <w:p w14:paraId="24EFA7B5" w14:textId="77777777"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Pensions</w:t>
            </w:r>
          </w:p>
        </w:tc>
        <w:tc>
          <w:tcPr>
            <w:tcW w:w="1559" w:type="dxa"/>
          </w:tcPr>
          <w:p w14:paraId="19019E87" w14:textId="36E0F7C9" w:rsidR="00AC0A91" w:rsidRPr="000D756E" w:rsidRDefault="00AC0A91" w:rsidP="00AC0A91">
            <w:pPr>
              <w:jc w:val="right"/>
              <w:rPr>
                <w:rFonts w:ascii="Arial" w:hAnsi="Arial" w:cs="Arial"/>
                <w:sz w:val="24"/>
                <w:szCs w:val="24"/>
              </w:rPr>
            </w:pPr>
            <w:r w:rsidRPr="000D756E">
              <w:rPr>
                <w:rFonts w:ascii="Arial" w:hAnsi="Arial" w:cs="Arial"/>
                <w:sz w:val="24"/>
                <w:szCs w:val="24"/>
              </w:rPr>
              <w:t>6,</w:t>
            </w:r>
            <w:r w:rsidR="00B06101">
              <w:rPr>
                <w:rFonts w:ascii="Arial" w:hAnsi="Arial" w:cs="Arial"/>
                <w:sz w:val="24"/>
                <w:szCs w:val="24"/>
              </w:rPr>
              <w:t>675</w:t>
            </w:r>
          </w:p>
        </w:tc>
      </w:tr>
      <w:tr w:rsidR="00AC0A91" w:rsidRPr="000D756E" w14:paraId="241ECE95" w14:textId="77777777" w:rsidTr="00CA0C51">
        <w:trPr>
          <w:trHeight w:val="300"/>
        </w:trPr>
        <w:tc>
          <w:tcPr>
            <w:tcW w:w="1575" w:type="dxa"/>
          </w:tcPr>
          <w:p w14:paraId="52153B3A" w14:textId="77777777" w:rsidR="00AC0A91" w:rsidRPr="000D756E" w:rsidRDefault="00AC0A91" w:rsidP="00AC0A91">
            <w:pPr>
              <w:jc w:val="right"/>
              <w:rPr>
                <w:rFonts w:ascii="Arial" w:hAnsi="Arial" w:cs="Arial"/>
                <w:sz w:val="24"/>
                <w:szCs w:val="24"/>
              </w:rPr>
            </w:pPr>
          </w:p>
          <w:p w14:paraId="4504B287" w14:textId="138E08C0" w:rsidR="00AC0A91" w:rsidRPr="000D756E" w:rsidRDefault="00AC0A91" w:rsidP="00AC0A91">
            <w:pPr>
              <w:jc w:val="right"/>
              <w:rPr>
                <w:rFonts w:ascii="Arial" w:hAnsi="Arial" w:cs="Arial"/>
                <w:sz w:val="24"/>
                <w:szCs w:val="24"/>
              </w:rPr>
            </w:pPr>
            <w:r w:rsidRPr="000D756E">
              <w:rPr>
                <w:rFonts w:ascii="Arial" w:hAnsi="Arial" w:cs="Arial"/>
                <w:sz w:val="24"/>
                <w:szCs w:val="24"/>
              </w:rPr>
              <w:t>1,220</w:t>
            </w:r>
          </w:p>
        </w:tc>
        <w:tc>
          <w:tcPr>
            <w:tcW w:w="6095" w:type="dxa"/>
            <w:vAlign w:val="bottom"/>
          </w:tcPr>
          <w:p w14:paraId="3A00B1E7" w14:textId="77777777"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Commutations on pensions and lump sum retirement benefits</w:t>
            </w:r>
          </w:p>
        </w:tc>
        <w:tc>
          <w:tcPr>
            <w:tcW w:w="1559" w:type="dxa"/>
          </w:tcPr>
          <w:p w14:paraId="4DAA8386" w14:textId="77777777" w:rsidR="00AC0A91" w:rsidRPr="000D756E" w:rsidRDefault="00AC0A91" w:rsidP="00AC0A91">
            <w:pPr>
              <w:jc w:val="right"/>
              <w:rPr>
                <w:rFonts w:ascii="Arial" w:hAnsi="Arial" w:cs="Arial"/>
                <w:sz w:val="24"/>
                <w:szCs w:val="24"/>
              </w:rPr>
            </w:pPr>
          </w:p>
          <w:p w14:paraId="47B5CA4D" w14:textId="3D7BFE30" w:rsidR="00AC0A91" w:rsidRPr="000D756E" w:rsidRDefault="00AC0A91" w:rsidP="00AC0A91">
            <w:pPr>
              <w:jc w:val="right"/>
              <w:rPr>
                <w:rFonts w:ascii="Arial" w:hAnsi="Arial" w:cs="Arial"/>
                <w:sz w:val="24"/>
                <w:szCs w:val="24"/>
              </w:rPr>
            </w:pPr>
            <w:r w:rsidRPr="000D756E">
              <w:rPr>
                <w:rFonts w:ascii="Arial" w:hAnsi="Arial" w:cs="Arial"/>
                <w:sz w:val="24"/>
                <w:szCs w:val="24"/>
              </w:rPr>
              <w:t>1,</w:t>
            </w:r>
            <w:r w:rsidR="00B06101">
              <w:rPr>
                <w:rFonts w:ascii="Arial" w:hAnsi="Arial" w:cs="Arial"/>
                <w:sz w:val="24"/>
                <w:szCs w:val="24"/>
              </w:rPr>
              <w:t>169</w:t>
            </w:r>
          </w:p>
        </w:tc>
      </w:tr>
      <w:tr w:rsidR="00AC0A91" w:rsidRPr="000D756E" w14:paraId="288CEBC2" w14:textId="77777777" w:rsidTr="00CA0C51">
        <w:trPr>
          <w:trHeight w:val="300"/>
        </w:trPr>
        <w:tc>
          <w:tcPr>
            <w:tcW w:w="1575" w:type="dxa"/>
          </w:tcPr>
          <w:p w14:paraId="4AD712F4" w14:textId="77777777" w:rsidR="00AC0A91" w:rsidRPr="000D756E" w:rsidRDefault="00AC0A91" w:rsidP="00AC0A91">
            <w:pPr>
              <w:jc w:val="right"/>
              <w:rPr>
                <w:rFonts w:ascii="Arial" w:hAnsi="Arial" w:cs="Arial"/>
                <w:sz w:val="24"/>
                <w:szCs w:val="24"/>
              </w:rPr>
            </w:pPr>
          </w:p>
        </w:tc>
        <w:tc>
          <w:tcPr>
            <w:tcW w:w="6095" w:type="dxa"/>
            <w:vAlign w:val="bottom"/>
          </w:tcPr>
          <w:p w14:paraId="7666D264" w14:textId="77777777" w:rsidR="00AC0A91" w:rsidRPr="000D756E" w:rsidRDefault="00AC0A91" w:rsidP="00AC0A91">
            <w:pPr>
              <w:rPr>
                <w:rFonts w:ascii="Arial" w:hAnsi="Arial" w:cs="Arial"/>
                <w:b/>
                <w:sz w:val="24"/>
                <w:szCs w:val="24"/>
                <w:lang w:val="en-US"/>
              </w:rPr>
            </w:pPr>
            <w:r w:rsidRPr="000D756E">
              <w:rPr>
                <w:rFonts w:ascii="Arial" w:hAnsi="Arial" w:cs="Arial"/>
                <w:b/>
                <w:sz w:val="24"/>
                <w:szCs w:val="24"/>
                <w:lang w:val="en-US"/>
              </w:rPr>
              <w:t>Payments to and on account of leavers:</w:t>
            </w:r>
          </w:p>
        </w:tc>
        <w:tc>
          <w:tcPr>
            <w:tcW w:w="1559" w:type="dxa"/>
          </w:tcPr>
          <w:p w14:paraId="61A24062" w14:textId="77777777" w:rsidR="00AC0A91" w:rsidRPr="000D756E" w:rsidRDefault="00AC0A91" w:rsidP="00AC0A91">
            <w:pPr>
              <w:jc w:val="right"/>
              <w:rPr>
                <w:rFonts w:ascii="Arial" w:hAnsi="Arial" w:cs="Arial"/>
                <w:sz w:val="24"/>
                <w:szCs w:val="24"/>
              </w:rPr>
            </w:pPr>
          </w:p>
        </w:tc>
      </w:tr>
      <w:tr w:rsidR="00AC0A91" w:rsidRPr="000D756E" w14:paraId="3AB289F4" w14:textId="77777777" w:rsidTr="00CA0C51">
        <w:trPr>
          <w:trHeight w:val="300"/>
        </w:trPr>
        <w:tc>
          <w:tcPr>
            <w:tcW w:w="1575" w:type="dxa"/>
          </w:tcPr>
          <w:p w14:paraId="1C7B152D" w14:textId="4E1BB02A" w:rsidR="00AC0A91" w:rsidRPr="000D756E" w:rsidRDefault="00AC0A91" w:rsidP="00AC0A91">
            <w:pPr>
              <w:jc w:val="right"/>
              <w:rPr>
                <w:rFonts w:ascii="Arial" w:hAnsi="Arial" w:cs="Arial"/>
                <w:sz w:val="24"/>
                <w:szCs w:val="24"/>
              </w:rPr>
            </w:pPr>
            <w:r w:rsidRPr="000D756E">
              <w:rPr>
                <w:rFonts w:ascii="Arial" w:hAnsi="Arial" w:cs="Arial"/>
                <w:sz w:val="24"/>
                <w:szCs w:val="24"/>
              </w:rPr>
              <w:t>0</w:t>
            </w:r>
          </w:p>
        </w:tc>
        <w:tc>
          <w:tcPr>
            <w:tcW w:w="6095" w:type="dxa"/>
            <w:vAlign w:val="bottom"/>
          </w:tcPr>
          <w:p w14:paraId="675F9585" w14:textId="77777777"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Individual transfers out of the scheme</w:t>
            </w:r>
          </w:p>
        </w:tc>
        <w:tc>
          <w:tcPr>
            <w:tcW w:w="1559" w:type="dxa"/>
          </w:tcPr>
          <w:p w14:paraId="58F7EFAC" w14:textId="62EA1924" w:rsidR="00AC0A91" w:rsidRPr="000D756E" w:rsidRDefault="00AC0A91" w:rsidP="00AC0A91">
            <w:pPr>
              <w:jc w:val="right"/>
              <w:rPr>
                <w:rFonts w:ascii="Arial" w:hAnsi="Arial" w:cs="Arial"/>
                <w:sz w:val="24"/>
                <w:szCs w:val="24"/>
              </w:rPr>
            </w:pPr>
            <w:r w:rsidRPr="000D756E">
              <w:rPr>
                <w:rFonts w:ascii="Arial" w:hAnsi="Arial" w:cs="Arial"/>
                <w:sz w:val="24"/>
                <w:szCs w:val="24"/>
              </w:rPr>
              <w:t>0</w:t>
            </w:r>
          </w:p>
        </w:tc>
      </w:tr>
      <w:tr w:rsidR="00AC0A91" w:rsidRPr="000D756E" w14:paraId="060BCBD8" w14:textId="77777777" w:rsidTr="00CA0C51">
        <w:trPr>
          <w:trHeight w:val="300"/>
        </w:trPr>
        <w:tc>
          <w:tcPr>
            <w:tcW w:w="1575" w:type="dxa"/>
          </w:tcPr>
          <w:p w14:paraId="5A00B431" w14:textId="77777777" w:rsidR="00AC0A91" w:rsidRPr="000D756E" w:rsidRDefault="00AC0A91" w:rsidP="00AC0A91">
            <w:pPr>
              <w:jc w:val="right"/>
              <w:rPr>
                <w:rFonts w:ascii="Arial" w:hAnsi="Arial" w:cs="Arial"/>
                <w:sz w:val="24"/>
                <w:szCs w:val="24"/>
              </w:rPr>
            </w:pPr>
          </w:p>
        </w:tc>
        <w:tc>
          <w:tcPr>
            <w:tcW w:w="6095" w:type="dxa"/>
            <w:vAlign w:val="bottom"/>
          </w:tcPr>
          <w:p w14:paraId="6C134B05" w14:textId="77777777" w:rsidR="00AC0A91" w:rsidRPr="000D756E" w:rsidRDefault="00AC0A91" w:rsidP="00AC0A91">
            <w:pPr>
              <w:rPr>
                <w:rFonts w:ascii="Arial" w:hAnsi="Arial" w:cs="Arial"/>
                <w:sz w:val="24"/>
                <w:szCs w:val="24"/>
                <w:lang w:val="en-US"/>
              </w:rPr>
            </w:pPr>
          </w:p>
        </w:tc>
        <w:tc>
          <w:tcPr>
            <w:tcW w:w="1559" w:type="dxa"/>
          </w:tcPr>
          <w:p w14:paraId="3B31F188" w14:textId="77777777" w:rsidR="00AC0A91" w:rsidRPr="000D756E" w:rsidRDefault="00AC0A91" w:rsidP="00AC0A91">
            <w:pPr>
              <w:jc w:val="right"/>
              <w:rPr>
                <w:rFonts w:ascii="Arial" w:hAnsi="Arial" w:cs="Arial"/>
                <w:sz w:val="24"/>
                <w:szCs w:val="24"/>
              </w:rPr>
            </w:pPr>
          </w:p>
        </w:tc>
      </w:tr>
      <w:tr w:rsidR="00AC0A91" w:rsidRPr="000D756E" w14:paraId="1B0C84D9" w14:textId="77777777" w:rsidTr="00CA0C51">
        <w:trPr>
          <w:trHeight w:val="300"/>
        </w:trPr>
        <w:tc>
          <w:tcPr>
            <w:tcW w:w="1575" w:type="dxa"/>
          </w:tcPr>
          <w:p w14:paraId="2FB1AAB8" w14:textId="60D0A7FB" w:rsidR="00AC0A91" w:rsidRPr="000D756E" w:rsidRDefault="00AC0A91" w:rsidP="00AC0A91">
            <w:pPr>
              <w:jc w:val="right"/>
              <w:rPr>
                <w:rFonts w:ascii="Arial" w:hAnsi="Arial" w:cs="Arial"/>
                <w:b/>
                <w:sz w:val="24"/>
                <w:szCs w:val="24"/>
              </w:rPr>
            </w:pPr>
            <w:r w:rsidRPr="000D756E">
              <w:rPr>
                <w:rFonts w:ascii="Arial" w:hAnsi="Arial" w:cs="Arial"/>
                <w:b/>
                <w:sz w:val="24"/>
                <w:szCs w:val="24"/>
              </w:rPr>
              <w:t>3,157</w:t>
            </w:r>
          </w:p>
        </w:tc>
        <w:tc>
          <w:tcPr>
            <w:tcW w:w="6095" w:type="dxa"/>
            <w:vAlign w:val="bottom"/>
          </w:tcPr>
          <w:p w14:paraId="17202418" w14:textId="58BA5070" w:rsidR="00AC0A91" w:rsidRPr="000D756E" w:rsidRDefault="00AC0A91" w:rsidP="00AC0A91">
            <w:pPr>
              <w:rPr>
                <w:rFonts w:ascii="Arial" w:hAnsi="Arial" w:cs="Arial"/>
                <w:b/>
                <w:sz w:val="24"/>
                <w:szCs w:val="24"/>
                <w:lang w:val="en-US"/>
              </w:rPr>
            </w:pPr>
            <w:r w:rsidRPr="000D756E">
              <w:rPr>
                <w:rFonts w:ascii="Arial" w:hAnsi="Arial" w:cs="Arial"/>
                <w:b/>
                <w:sz w:val="24"/>
                <w:szCs w:val="24"/>
                <w:lang w:val="en-US"/>
              </w:rPr>
              <w:t>Deficit for the year before top up grant receivable from Central Government</w:t>
            </w:r>
          </w:p>
        </w:tc>
        <w:tc>
          <w:tcPr>
            <w:tcW w:w="1559" w:type="dxa"/>
          </w:tcPr>
          <w:p w14:paraId="47156690" w14:textId="7A906025" w:rsidR="00AC0A91" w:rsidRPr="000D756E" w:rsidRDefault="004714E6" w:rsidP="00AC0A91">
            <w:pPr>
              <w:jc w:val="right"/>
              <w:rPr>
                <w:rFonts w:ascii="Arial" w:hAnsi="Arial" w:cs="Arial"/>
                <w:b/>
                <w:sz w:val="24"/>
                <w:szCs w:val="24"/>
              </w:rPr>
            </w:pPr>
            <w:r>
              <w:rPr>
                <w:rFonts w:ascii="Arial" w:hAnsi="Arial" w:cs="Arial"/>
                <w:b/>
                <w:sz w:val="24"/>
                <w:szCs w:val="24"/>
              </w:rPr>
              <w:t>2,366</w:t>
            </w:r>
          </w:p>
        </w:tc>
      </w:tr>
      <w:tr w:rsidR="00AC0A91" w:rsidRPr="000D756E" w14:paraId="7CBAF256" w14:textId="77777777" w:rsidTr="00CA0C51">
        <w:trPr>
          <w:trHeight w:val="300"/>
        </w:trPr>
        <w:tc>
          <w:tcPr>
            <w:tcW w:w="1575" w:type="dxa"/>
          </w:tcPr>
          <w:p w14:paraId="4F03AC5B" w14:textId="77777777" w:rsidR="00AC0A91" w:rsidRPr="000D756E" w:rsidRDefault="00AC0A91" w:rsidP="00AC0A91">
            <w:pPr>
              <w:jc w:val="right"/>
              <w:rPr>
                <w:rFonts w:ascii="Arial" w:hAnsi="Arial" w:cs="Arial"/>
                <w:sz w:val="24"/>
                <w:szCs w:val="24"/>
              </w:rPr>
            </w:pPr>
          </w:p>
        </w:tc>
        <w:tc>
          <w:tcPr>
            <w:tcW w:w="6095" w:type="dxa"/>
            <w:vAlign w:val="bottom"/>
          </w:tcPr>
          <w:p w14:paraId="264BCDD0" w14:textId="77777777" w:rsidR="00AC0A91" w:rsidRPr="000D756E" w:rsidRDefault="00AC0A91" w:rsidP="00AC0A91">
            <w:pPr>
              <w:rPr>
                <w:rFonts w:ascii="Arial" w:hAnsi="Arial" w:cs="Arial"/>
                <w:sz w:val="24"/>
                <w:szCs w:val="24"/>
                <w:lang w:val="en-US"/>
              </w:rPr>
            </w:pPr>
          </w:p>
        </w:tc>
        <w:tc>
          <w:tcPr>
            <w:tcW w:w="1559" w:type="dxa"/>
          </w:tcPr>
          <w:p w14:paraId="452377E2" w14:textId="77777777" w:rsidR="00AC0A91" w:rsidRPr="000D756E" w:rsidRDefault="00AC0A91" w:rsidP="00AC0A91">
            <w:pPr>
              <w:jc w:val="right"/>
              <w:rPr>
                <w:rFonts w:ascii="Arial" w:hAnsi="Arial" w:cs="Arial"/>
                <w:sz w:val="24"/>
                <w:szCs w:val="24"/>
              </w:rPr>
            </w:pPr>
          </w:p>
        </w:tc>
      </w:tr>
      <w:tr w:rsidR="00AC0A91" w:rsidRPr="000D756E" w14:paraId="42D9B548" w14:textId="77777777" w:rsidTr="00CA0C51">
        <w:trPr>
          <w:trHeight w:val="300"/>
        </w:trPr>
        <w:tc>
          <w:tcPr>
            <w:tcW w:w="1575" w:type="dxa"/>
          </w:tcPr>
          <w:p w14:paraId="0DC4E54B" w14:textId="23D75E96" w:rsidR="00AC0A91" w:rsidRPr="000D756E" w:rsidRDefault="00AC0A91" w:rsidP="00AC0A91">
            <w:pPr>
              <w:jc w:val="right"/>
              <w:rPr>
                <w:rFonts w:ascii="Arial" w:hAnsi="Arial" w:cs="Arial"/>
                <w:sz w:val="24"/>
                <w:szCs w:val="24"/>
              </w:rPr>
            </w:pPr>
            <w:r w:rsidRPr="000D756E">
              <w:rPr>
                <w:rFonts w:ascii="Arial" w:hAnsi="Arial" w:cs="Arial"/>
                <w:sz w:val="24"/>
                <w:szCs w:val="24"/>
              </w:rPr>
              <w:t>-2,405</w:t>
            </w:r>
          </w:p>
        </w:tc>
        <w:tc>
          <w:tcPr>
            <w:tcW w:w="6095" w:type="dxa"/>
            <w:vAlign w:val="bottom"/>
          </w:tcPr>
          <w:p w14:paraId="4E94EA1F" w14:textId="77777777"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Top Up grant received</w:t>
            </w:r>
          </w:p>
        </w:tc>
        <w:tc>
          <w:tcPr>
            <w:tcW w:w="1559" w:type="dxa"/>
          </w:tcPr>
          <w:p w14:paraId="41E6806D" w14:textId="4236D191" w:rsidR="00AC0A91" w:rsidRPr="000D756E" w:rsidRDefault="00AC0A91" w:rsidP="00AC0A91">
            <w:pPr>
              <w:jc w:val="right"/>
              <w:rPr>
                <w:rFonts w:ascii="Arial" w:hAnsi="Arial" w:cs="Arial"/>
                <w:sz w:val="24"/>
                <w:szCs w:val="24"/>
              </w:rPr>
            </w:pPr>
            <w:r w:rsidRPr="000D756E">
              <w:rPr>
                <w:rFonts w:ascii="Arial" w:hAnsi="Arial" w:cs="Arial"/>
                <w:sz w:val="24"/>
                <w:szCs w:val="24"/>
              </w:rPr>
              <w:t>-</w:t>
            </w:r>
            <w:r w:rsidR="00E93A08">
              <w:rPr>
                <w:rFonts w:ascii="Arial" w:hAnsi="Arial" w:cs="Arial"/>
                <w:sz w:val="24"/>
                <w:szCs w:val="24"/>
              </w:rPr>
              <w:t>7,699</w:t>
            </w:r>
          </w:p>
        </w:tc>
      </w:tr>
      <w:tr w:rsidR="00AC0A91" w:rsidRPr="000D756E" w14:paraId="74A437EA" w14:textId="77777777" w:rsidTr="00CA0C51">
        <w:trPr>
          <w:trHeight w:val="300"/>
        </w:trPr>
        <w:tc>
          <w:tcPr>
            <w:tcW w:w="1575" w:type="dxa"/>
          </w:tcPr>
          <w:p w14:paraId="3A7B8B12" w14:textId="760C43ED" w:rsidR="00AC0A91" w:rsidRPr="000D756E" w:rsidRDefault="00AC0A91" w:rsidP="00AC0A91">
            <w:pPr>
              <w:jc w:val="right"/>
              <w:rPr>
                <w:rFonts w:ascii="Arial" w:hAnsi="Arial" w:cs="Arial"/>
                <w:sz w:val="24"/>
                <w:szCs w:val="24"/>
              </w:rPr>
            </w:pPr>
            <w:r w:rsidRPr="000D756E">
              <w:rPr>
                <w:rFonts w:ascii="Arial" w:hAnsi="Arial" w:cs="Arial"/>
                <w:sz w:val="24"/>
                <w:szCs w:val="24"/>
              </w:rPr>
              <w:t>-752</w:t>
            </w:r>
          </w:p>
        </w:tc>
        <w:tc>
          <w:tcPr>
            <w:tcW w:w="6095" w:type="dxa"/>
            <w:vAlign w:val="bottom"/>
          </w:tcPr>
          <w:p w14:paraId="37493F49" w14:textId="1E2A8776" w:rsidR="00AC0A91" w:rsidRPr="000D756E" w:rsidRDefault="00AC0A91" w:rsidP="00AC0A91">
            <w:pPr>
              <w:rPr>
                <w:rFonts w:ascii="Arial" w:hAnsi="Arial" w:cs="Arial"/>
                <w:sz w:val="24"/>
                <w:szCs w:val="24"/>
                <w:lang w:val="en-US"/>
              </w:rPr>
            </w:pPr>
            <w:r w:rsidRPr="000D756E">
              <w:rPr>
                <w:rFonts w:ascii="Arial" w:hAnsi="Arial" w:cs="Arial"/>
                <w:sz w:val="24"/>
                <w:szCs w:val="24"/>
                <w:lang w:val="en-US"/>
              </w:rPr>
              <w:t xml:space="preserve">Top Up grant </w:t>
            </w:r>
          </w:p>
        </w:tc>
        <w:tc>
          <w:tcPr>
            <w:tcW w:w="1559" w:type="dxa"/>
          </w:tcPr>
          <w:p w14:paraId="100D989B" w14:textId="550E6C4F" w:rsidR="00AC0A91" w:rsidRPr="000D756E" w:rsidRDefault="00AC0A91" w:rsidP="00AC0A91">
            <w:pPr>
              <w:jc w:val="right"/>
              <w:rPr>
                <w:rFonts w:ascii="Arial" w:hAnsi="Arial" w:cs="Arial"/>
                <w:sz w:val="24"/>
                <w:szCs w:val="24"/>
              </w:rPr>
            </w:pPr>
            <w:r w:rsidRPr="000D756E">
              <w:rPr>
                <w:rFonts w:ascii="Arial" w:hAnsi="Arial" w:cs="Arial"/>
                <w:sz w:val="24"/>
                <w:szCs w:val="24"/>
              </w:rPr>
              <w:t>752</w:t>
            </w:r>
          </w:p>
        </w:tc>
      </w:tr>
      <w:tr w:rsidR="00AC0A91" w:rsidRPr="000D756E" w14:paraId="1F369E3F" w14:textId="77777777" w:rsidTr="00CA0C51">
        <w:trPr>
          <w:trHeight w:val="300"/>
        </w:trPr>
        <w:tc>
          <w:tcPr>
            <w:tcW w:w="1575" w:type="dxa"/>
          </w:tcPr>
          <w:p w14:paraId="3FB76EBE" w14:textId="77777777" w:rsidR="00AC0A91" w:rsidRPr="000D756E" w:rsidRDefault="00AC0A91" w:rsidP="00AC0A91">
            <w:pPr>
              <w:jc w:val="right"/>
              <w:rPr>
                <w:rFonts w:ascii="Arial" w:hAnsi="Arial" w:cs="Arial"/>
                <w:sz w:val="24"/>
                <w:szCs w:val="24"/>
              </w:rPr>
            </w:pPr>
          </w:p>
        </w:tc>
        <w:tc>
          <w:tcPr>
            <w:tcW w:w="6095" w:type="dxa"/>
            <w:vAlign w:val="bottom"/>
          </w:tcPr>
          <w:p w14:paraId="7722B63A" w14:textId="77777777" w:rsidR="00AC0A91" w:rsidRPr="000D756E" w:rsidRDefault="00AC0A91" w:rsidP="00AC0A91">
            <w:pPr>
              <w:rPr>
                <w:rFonts w:ascii="Arial" w:hAnsi="Arial" w:cs="Arial"/>
                <w:sz w:val="24"/>
                <w:szCs w:val="24"/>
                <w:lang w:val="en-US"/>
              </w:rPr>
            </w:pPr>
          </w:p>
        </w:tc>
        <w:tc>
          <w:tcPr>
            <w:tcW w:w="1559" w:type="dxa"/>
          </w:tcPr>
          <w:p w14:paraId="09B5D199" w14:textId="77777777" w:rsidR="00AC0A91" w:rsidRPr="000D756E" w:rsidRDefault="00AC0A91" w:rsidP="00AC0A91">
            <w:pPr>
              <w:jc w:val="right"/>
              <w:rPr>
                <w:rFonts w:ascii="Arial" w:hAnsi="Arial" w:cs="Arial"/>
                <w:sz w:val="24"/>
                <w:szCs w:val="24"/>
              </w:rPr>
            </w:pPr>
          </w:p>
        </w:tc>
      </w:tr>
      <w:tr w:rsidR="00AC0A91" w:rsidRPr="000D756E" w14:paraId="581C09A5" w14:textId="77777777" w:rsidTr="00CA0C51">
        <w:trPr>
          <w:trHeight w:val="315"/>
        </w:trPr>
        <w:tc>
          <w:tcPr>
            <w:tcW w:w="1575" w:type="dxa"/>
          </w:tcPr>
          <w:p w14:paraId="5385D671" w14:textId="6925CD9E" w:rsidR="00AC0A91" w:rsidRPr="000D756E" w:rsidRDefault="00AC0A91" w:rsidP="00AC0A91">
            <w:pPr>
              <w:jc w:val="right"/>
              <w:rPr>
                <w:rFonts w:ascii="Arial" w:hAnsi="Arial" w:cs="Arial"/>
                <w:b/>
                <w:bCs/>
                <w:sz w:val="24"/>
                <w:szCs w:val="24"/>
              </w:rPr>
            </w:pPr>
            <w:r w:rsidRPr="000D756E">
              <w:rPr>
                <w:rFonts w:ascii="Arial" w:hAnsi="Arial" w:cs="Arial"/>
                <w:b/>
                <w:bCs/>
                <w:sz w:val="24"/>
                <w:szCs w:val="24"/>
              </w:rPr>
              <w:t>0</w:t>
            </w:r>
          </w:p>
        </w:tc>
        <w:tc>
          <w:tcPr>
            <w:tcW w:w="6095" w:type="dxa"/>
            <w:vAlign w:val="bottom"/>
          </w:tcPr>
          <w:p w14:paraId="72258208" w14:textId="359C0389" w:rsidR="00AC0A91" w:rsidRPr="000D756E" w:rsidRDefault="00AC0A91" w:rsidP="00AC0A91">
            <w:pPr>
              <w:rPr>
                <w:rFonts w:ascii="Arial" w:hAnsi="Arial" w:cs="Arial"/>
                <w:b/>
                <w:bCs/>
                <w:sz w:val="24"/>
                <w:szCs w:val="24"/>
                <w:lang w:val="en-US"/>
              </w:rPr>
            </w:pPr>
            <w:r w:rsidRPr="000D756E">
              <w:rPr>
                <w:rFonts w:ascii="Arial" w:hAnsi="Arial" w:cs="Arial"/>
                <w:b/>
                <w:bCs/>
                <w:sz w:val="24"/>
                <w:szCs w:val="24"/>
                <w:lang w:val="en-US"/>
              </w:rPr>
              <w:t xml:space="preserve">Net amount receivable for the year </w:t>
            </w:r>
          </w:p>
        </w:tc>
        <w:tc>
          <w:tcPr>
            <w:tcW w:w="1559" w:type="dxa"/>
          </w:tcPr>
          <w:p w14:paraId="23FA65B1" w14:textId="336A3DB9" w:rsidR="00AC0A91" w:rsidRPr="000D756E" w:rsidRDefault="00E93A08" w:rsidP="00AC0A91">
            <w:pPr>
              <w:jc w:val="right"/>
              <w:rPr>
                <w:rFonts w:ascii="Arial" w:hAnsi="Arial" w:cs="Arial"/>
                <w:b/>
                <w:bCs/>
                <w:sz w:val="24"/>
                <w:szCs w:val="24"/>
              </w:rPr>
            </w:pPr>
            <w:r>
              <w:rPr>
                <w:rFonts w:ascii="Arial" w:hAnsi="Arial" w:cs="Arial"/>
                <w:b/>
                <w:bCs/>
                <w:sz w:val="24"/>
                <w:szCs w:val="24"/>
              </w:rPr>
              <w:t>-4,581</w:t>
            </w:r>
          </w:p>
        </w:tc>
      </w:tr>
    </w:tbl>
    <w:p w14:paraId="46AAF0AF" w14:textId="77777777" w:rsidR="00F7427C" w:rsidRPr="000D756E" w:rsidRDefault="00F7427C" w:rsidP="002A7C01">
      <w:pPr>
        <w:rPr>
          <w:rFonts w:ascii="Arial" w:hAnsi="Arial" w:cs="Arial"/>
          <w:sz w:val="24"/>
          <w:szCs w:val="24"/>
        </w:rPr>
      </w:pPr>
    </w:p>
    <w:p w14:paraId="26E03913" w14:textId="77777777" w:rsidR="00187F7B" w:rsidRPr="000D756E" w:rsidRDefault="00845765" w:rsidP="002A7C01">
      <w:pPr>
        <w:rPr>
          <w:rFonts w:ascii="Arial" w:hAnsi="Arial" w:cs="Arial"/>
          <w:sz w:val="24"/>
          <w:szCs w:val="24"/>
        </w:rPr>
      </w:pPr>
      <w:r w:rsidRPr="000D756E">
        <w:rPr>
          <w:rFonts w:ascii="Arial" w:hAnsi="Arial" w:cs="Arial"/>
          <w:sz w:val="24"/>
          <w:szCs w:val="24"/>
        </w:rPr>
        <w:br w:type="page"/>
      </w:r>
    </w:p>
    <w:tbl>
      <w:tblPr>
        <w:tblW w:w="0" w:type="auto"/>
        <w:tblLook w:val="01E0" w:firstRow="1" w:lastRow="1" w:firstColumn="1" w:lastColumn="1" w:noHBand="0" w:noVBand="0"/>
      </w:tblPr>
      <w:tblGrid>
        <w:gridCol w:w="1509"/>
        <w:gridCol w:w="6190"/>
        <w:gridCol w:w="1330"/>
      </w:tblGrid>
      <w:tr w:rsidR="006329E6" w:rsidRPr="000D756E" w14:paraId="0E7420B2" w14:textId="77777777" w:rsidTr="00AE20B7">
        <w:trPr>
          <w:gridAfter w:val="1"/>
          <w:wAfter w:w="1330" w:type="dxa"/>
        </w:trPr>
        <w:tc>
          <w:tcPr>
            <w:tcW w:w="1509" w:type="dxa"/>
          </w:tcPr>
          <w:p w14:paraId="02FA5D08" w14:textId="77777777" w:rsidR="00C92B2A" w:rsidRPr="000D756E" w:rsidRDefault="00C92B2A" w:rsidP="002A7C01">
            <w:pPr>
              <w:rPr>
                <w:rFonts w:ascii="Arial" w:hAnsi="Arial" w:cs="Arial"/>
                <w:b/>
                <w:sz w:val="28"/>
                <w:szCs w:val="28"/>
              </w:rPr>
            </w:pPr>
          </w:p>
        </w:tc>
        <w:tc>
          <w:tcPr>
            <w:tcW w:w="6190" w:type="dxa"/>
          </w:tcPr>
          <w:p w14:paraId="59CFA830" w14:textId="7A1B7998" w:rsidR="00C92B2A" w:rsidRPr="000D756E" w:rsidRDefault="00C92B2A" w:rsidP="00580885">
            <w:pPr>
              <w:rPr>
                <w:rFonts w:ascii="Arial" w:hAnsi="Arial" w:cs="Arial"/>
                <w:b/>
                <w:sz w:val="28"/>
                <w:szCs w:val="28"/>
              </w:rPr>
            </w:pPr>
            <w:r w:rsidRPr="000D756E">
              <w:rPr>
                <w:rFonts w:ascii="Arial" w:hAnsi="Arial" w:cs="Arial"/>
                <w:b/>
                <w:sz w:val="28"/>
                <w:szCs w:val="28"/>
              </w:rPr>
              <w:t xml:space="preserve"> Net Asse</w:t>
            </w:r>
            <w:r w:rsidR="00340B87" w:rsidRPr="000D756E">
              <w:rPr>
                <w:rFonts w:ascii="Arial" w:hAnsi="Arial" w:cs="Arial"/>
                <w:b/>
                <w:sz w:val="28"/>
                <w:szCs w:val="28"/>
              </w:rPr>
              <w:t>ts Statement as at 31 March 20</w:t>
            </w:r>
            <w:r w:rsidR="00AE20B7" w:rsidRPr="000D756E">
              <w:rPr>
                <w:rFonts w:ascii="Arial" w:hAnsi="Arial" w:cs="Arial"/>
                <w:b/>
                <w:sz w:val="28"/>
                <w:szCs w:val="28"/>
              </w:rPr>
              <w:t>2</w:t>
            </w:r>
            <w:r w:rsidR="00DF74C8">
              <w:rPr>
                <w:rFonts w:ascii="Arial" w:hAnsi="Arial" w:cs="Arial"/>
                <w:b/>
                <w:sz w:val="28"/>
                <w:szCs w:val="28"/>
              </w:rPr>
              <w:t>5</w:t>
            </w:r>
          </w:p>
        </w:tc>
      </w:tr>
      <w:tr w:rsidR="006329E6" w:rsidRPr="000D756E" w14:paraId="6C3461F6" w14:textId="77777777" w:rsidTr="00AE20B7">
        <w:tc>
          <w:tcPr>
            <w:tcW w:w="1509" w:type="dxa"/>
            <w:tcBorders>
              <w:bottom w:val="single" w:sz="4" w:space="0" w:color="auto"/>
            </w:tcBorders>
          </w:tcPr>
          <w:p w14:paraId="1816FC52" w14:textId="77777777" w:rsidR="00C92B2A" w:rsidRPr="000D756E" w:rsidRDefault="00C92B2A" w:rsidP="002A7C01">
            <w:pPr>
              <w:rPr>
                <w:rFonts w:ascii="Arial" w:hAnsi="Arial" w:cs="Arial"/>
                <w:b/>
                <w:sz w:val="24"/>
                <w:szCs w:val="24"/>
              </w:rPr>
            </w:pPr>
          </w:p>
        </w:tc>
        <w:tc>
          <w:tcPr>
            <w:tcW w:w="6190" w:type="dxa"/>
            <w:tcBorders>
              <w:bottom w:val="single" w:sz="4" w:space="0" w:color="auto"/>
            </w:tcBorders>
          </w:tcPr>
          <w:p w14:paraId="44DA9D58" w14:textId="77777777" w:rsidR="00C92B2A" w:rsidRPr="000D756E" w:rsidRDefault="00C92B2A" w:rsidP="002A7C01">
            <w:pPr>
              <w:rPr>
                <w:rFonts w:ascii="Arial" w:hAnsi="Arial" w:cs="Arial"/>
                <w:b/>
                <w:sz w:val="24"/>
                <w:szCs w:val="24"/>
              </w:rPr>
            </w:pPr>
          </w:p>
        </w:tc>
        <w:tc>
          <w:tcPr>
            <w:tcW w:w="1330" w:type="dxa"/>
            <w:tcBorders>
              <w:bottom w:val="single" w:sz="4" w:space="0" w:color="auto"/>
            </w:tcBorders>
          </w:tcPr>
          <w:p w14:paraId="11D324B8" w14:textId="77777777" w:rsidR="00C92B2A" w:rsidRPr="000D756E" w:rsidRDefault="00C92B2A" w:rsidP="002A7C01">
            <w:pPr>
              <w:rPr>
                <w:rFonts w:ascii="Arial" w:hAnsi="Arial" w:cs="Arial"/>
                <w:b/>
                <w:sz w:val="24"/>
                <w:szCs w:val="24"/>
              </w:rPr>
            </w:pPr>
          </w:p>
        </w:tc>
      </w:tr>
      <w:tr w:rsidR="006329E6" w:rsidRPr="000D756E" w14:paraId="4A896E93" w14:textId="77777777" w:rsidTr="00AE20B7">
        <w:tc>
          <w:tcPr>
            <w:tcW w:w="1509" w:type="dxa"/>
            <w:tcBorders>
              <w:top w:val="single" w:sz="4" w:space="0" w:color="auto"/>
              <w:left w:val="single" w:sz="4" w:space="0" w:color="auto"/>
              <w:bottom w:val="single" w:sz="4" w:space="0" w:color="auto"/>
              <w:right w:val="single" w:sz="4" w:space="0" w:color="auto"/>
            </w:tcBorders>
          </w:tcPr>
          <w:p w14:paraId="5BCE0494" w14:textId="76C4CAD0" w:rsidR="00CA0C51" w:rsidRPr="000D756E" w:rsidRDefault="00CA0C51" w:rsidP="00CA0C51">
            <w:pPr>
              <w:jc w:val="right"/>
              <w:rPr>
                <w:rFonts w:ascii="Arial" w:hAnsi="Arial" w:cs="Arial"/>
                <w:b/>
                <w:sz w:val="24"/>
                <w:szCs w:val="24"/>
              </w:rPr>
            </w:pPr>
            <w:r w:rsidRPr="000D756E">
              <w:rPr>
                <w:rFonts w:ascii="Arial" w:hAnsi="Arial" w:cs="Arial"/>
                <w:b/>
                <w:sz w:val="24"/>
                <w:szCs w:val="24"/>
              </w:rPr>
              <w:t>20</w:t>
            </w:r>
            <w:r w:rsidR="00462154" w:rsidRPr="000D756E">
              <w:rPr>
                <w:rFonts w:ascii="Arial" w:hAnsi="Arial" w:cs="Arial"/>
                <w:b/>
                <w:sz w:val="24"/>
                <w:szCs w:val="24"/>
              </w:rPr>
              <w:t>2</w:t>
            </w:r>
            <w:r w:rsidR="00AC0A91">
              <w:rPr>
                <w:rFonts w:ascii="Arial" w:hAnsi="Arial" w:cs="Arial"/>
                <w:b/>
                <w:sz w:val="24"/>
                <w:szCs w:val="24"/>
              </w:rPr>
              <w:t>3/24</w:t>
            </w:r>
          </w:p>
          <w:p w14:paraId="73C103E2" w14:textId="099288CC" w:rsidR="00CA0C51" w:rsidRPr="000D756E" w:rsidRDefault="00CA0C51" w:rsidP="00CA0C51">
            <w:pPr>
              <w:jc w:val="right"/>
              <w:rPr>
                <w:rFonts w:ascii="Arial" w:hAnsi="Arial" w:cs="Arial"/>
                <w:b/>
                <w:sz w:val="24"/>
                <w:szCs w:val="24"/>
              </w:rPr>
            </w:pPr>
            <w:r w:rsidRPr="000D756E">
              <w:rPr>
                <w:rFonts w:ascii="Arial" w:hAnsi="Arial" w:cs="Arial"/>
                <w:b/>
                <w:sz w:val="24"/>
                <w:szCs w:val="24"/>
              </w:rPr>
              <w:t>£’000</w:t>
            </w:r>
          </w:p>
        </w:tc>
        <w:tc>
          <w:tcPr>
            <w:tcW w:w="6190" w:type="dxa"/>
            <w:tcBorders>
              <w:top w:val="single" w:sz="4" w:space="0" w:color="auto"/>
              <w:left w:val="single" w:sz="4" w:space="0" w:color="auto"/>
              <w:bottom w:val="single" w:sz="4" w:space="0" w:color="auto"/>
              <w:right w:val="single" w:sz="4" w:space="0" w:color="auto"/>
            </w:tcBorders>
          </w:tcPr>
          <w:p w14:paraId="4EBED948" w14:textId="77777777" w:rsidR="00CA0C51" w:rsidRPr="000D756E" w:rsidRDefault="00CA0C51" w:rsidP="00CA0C51">
            <w:pPr>
              <w:rPr>
                <w:rFonts w:ascii="Arial" w:hAnsi="Arial" w:cs="Arial"/>
                <w:b/>
                <w:sz w:val="24"/>
                <w:szCs w:val="24"/>
              </w:rPr>
            </w:pPr>
          </w:p>
          <w:p w14:paraId="0AA27374" w14:textId="77777777" w:rsidR="00CA0C51" w:rsidRPr="000D756E" w:rsidRDefault="00CA0C51" w:rsidP="00CA0C51">
            <w:pPr>
              <w:rPr>
                <w:rFonts w:ascii="Arial" w:hAnsi="Arial" w:cs="Arial"/>
                <w:b/>
                <w:sz w:val="24"/>
                <w:szCs w:val="24"/>
              </w:rPr>
            </w:pPr>
            <w:r w:rsidRPr="000D756E">
              <w:rPr>
                <w:rFonts w:ascii="Arial" w:hAnsi="Arial" w:cs="Arial"/>
                <w:b/>
                <w:sz w:val="24"/>
                <w:szCs w:val="24"/>
              </w:rPr>
              <w:t xml:space="preserve">Current Assets </w:t>
            </w:r>
          </w:p>
          <w:p w14:paraId="1533E9E2" w14:textId="77777777" w:rsidR="00CA0C51" w:rsidRPr="000D756E" w:rsidRDefault="00CA0C51" w:rsidP="00CA0C51">
            <w:pPr>
              <w:rPr>
                <w:rFonts w:ascii="Arial" w:hAnsi="Arial" w:cs="Arial"/>
                <w:b/>
                <w:sz w:val="24"/>
                <w:szCs w:val="24"/>
              </w:rPr>
            </w:pPr>
          </w:p>
        </w:tc>
        <w:tc>
          <w:tcPr>
            <w:tcW w:w="1330" w:type="dxa"/>
            <w:tcBorders>
              <w:top w:val="single" w:sz="4" w:space="0" w:color="auto"/>
              <w:left w:val="single" w:sz="4" w:space="0" w:color="auto"/>
              <w:bottom w:val="single" w:sz="4" w:space="0" w:color="auto"/>
              <w:right w:val="single" w:sz="4" w:space="0" w:color="auto"/>
            </w:tcBorders>
          </w:tcPr>
          <w:p w14:paraId="03A0342F" w14:textId="3264E7D9" w:rsidR="00CA0C51" w:rsidRPr="000D756E" w:rsidRDefault="00CA0C51" w:rsidP="00CA0C51">
            <w:pPr>
              <w:jc w:val="right"/>
              <w:rPr>
                <w:rFonts w:ascii="Arial" w:hAnsi="Arial" w:cs="Arial"/>
                <w:b/>
                <w:sz w:val="24"/>
                <w:szCs w:val="24"/>
              </w:rPr>
            </w:pPr>
            <w:r w:rsidRPr="000D756E">
              <w:rPr>
                <w:rFonts w:ascii="Arial" w:hAnsi="Arial" w:cs="Arial"/>
                <w:b/>
                <w:sz w:val="24"/>
                <w:szCs w:val="24"/>
              </w:rPr>
              <w:t>202</w:t>
            </w:r>
            <w:r w:rsidR="00AC0A91">
              <w:rPr>
                <w:rFonts w:ascii="Arial" w:hAnsi="Arial" w:cs="Arial"/>
                <w:b/>
                <w:sz w:val="24"/>
                <w:szCs w:val="24"/>
              </w:rPr>
              <w:t>4/25</w:t>
            </w:r>
          </w:p>
          <w:p w14:paraId="33FEA194" w14:textId="77777777" w:rsidR="00CA0C51" w:rsidRPr="000D756E" w:rsidRDefault="00CA0C51" w:rsidP="00CA0C51">
            <w:pPr>
              <w:jc w:val="right"/>
              <w:rPr>
                <w:rFonts w:ascii="Arial" w:hAnsi="Arial" w:cs="Arial"/>
                <w:b/>
                <w:sz w:val="24"/>
                <w:szCs w:val="24"/>
              </w:rPr>
            </w:pPr>
            <w:r w:rsidRPr="000D756E">
              <w:rPr>
                <w:rFonts w:ascii="Arial" w:hAnsi="Arial" w:cs="Arial"/>
                <w:b/>
                <w:sz w:val="24"/>
                <w:szCs w:val="24"/>
              </w:rPr>
              <w:t>£’000</w:t>
            </w:r>
          </w:p>
        </w:tc>
      </w:tr>
      <w:tr w:rsidR="00AC0A91" w:rsidRPr="000D756E" w14:paraId="1B1C97C2" w14:textId="77777777" w:rsidTr="00AE20B7">
        <w:tc>
          <w:tcPr>
            <w:tcW w:w="1509" w:type="dxa"/>
            <w:tcBorders>
              <w:top w:val="single" w:sz="4" w:space="0" w:color="auto"/>
              <w:left w:val="single" w:sz="4" w:space="0" w:color="auto"/>
              <w:bottom w:val="single" w:sz="4" w:space="0" w:color="auto"/>
              <w:right w:val="single" w:sz="4" w:space="0" w:color="auto"/>
            </w:tcBorders>
          </w:tcPr>
          <w:p w14:paraId="1563E601" w14:textId="14B24059" w:rsidR="00AC0A91" w:rsidRPr="000D756E" w:rsidRDefault="00AC0A91" w:rsidP="00AC0A91">
            <w:pPr>
              <w:jc w:val="right"/>
              <w:rPr>
                <w:rFonts w:ascii="Arial" w:hAnsi="Arial" w:cs="Arial"/>
                <w:sz w:val="24"/>
                <w:szCs w:val="24"/>
              </w:rPr>
            </w:pPr>
            <w:r w:rsidRPr="000D756E">
              <w:rPr>
                <w:rFonts w:ascii="Arial" w:hAnsi="Arial" w:cs="Arial"/>
                <w:sz w:val="24"/>
                <w:szCs w:val="24"/>
              </w:rPr>
              <w:t>752</w:t>
            </w:r>
          </w:p>
        </w:tc>
        <w:tc>
          <w:tcPr>
            <w:tcW w:w="6190" w:type="dxa"/>
            <w:tcBorders>
              <w:top w:val="single" w:sz="4" w:space="0" w:color="auto"/>
              <w:left w:val="single" w:sz="4" w:space="0" w:color="auto"/>
              <w:bottom w:val="single" w:sz="4" w:space="0" w:color="auto"/>
              <w:right w:val="single" w:sz="4" w:space="0" w:color="auto"/>
            </w:tcBorders>
          </w:tcPr>
          <w:p w14:paraId="547726F6" w14:textId="343E1BB6" w:rsidR="00E93A08" w:rsidRPr="000D756E" w:rsidRDefault="00E93A08" w:rsidP="00E93A08">
            <w:pPr>
              <w:rPr>
                <w:rFonts w:ascii="Arial" w:hAnsi="Arial" w:cs="Arial"/>
                <w:sz w:val="24"/>
                <w:szCs w:val="24"/>
              </w:rPr>
            </w:pPr>
            <w:r w:rsidRPr="000D756E">
              <w:rPr>
                <w:rFonts w:ascii="Arial" w:hAnsi="Arial" w:cs="Arial"/>
                <w:sz w:val="24"/>
                <w:szCs w:val="24"/>
              </w:rPr>
              <w:t xml:space="preserve">Amounts due </w:t>
            </w:r>
            <w:r w:rsidR="00CF3BD3">
              <w:rPr>
                <w:rFonts w:ascii="Arial" w:hAnsi="Arial" w:cs="Arial"/>
                <w:sz w:val="24"/>
                <w:szCs w:val="24"/>
              </w:rPr>
              <w:t>from</w:t>
            </w:r>
            <w:r w:rsidRPr="000D756E">
              <w:rPr>
                <w:rFonts w:ascii="Arial" w:hAnsi="Arial" w:cs="Arial"/>
                <w:sz w:val="24"/>
                <w:szCs w:val="24"/>
              </w:rPr>
              <w:t xml:space="preserve"> General Fund</w:t>
            </w:r>
          </w:p>
          <w:p w14:paraId="347B7DB8" w14:textId="5260E80F" w:rsidR="00AC0A91" w:rsidRPr="000D756E" w:rsidRDefault="00AC0A91" w:rsidP="00AC0A91">
            <w:pPr>
              <w:rPr>
                <w:rFonts w:ascii="Arial" w:hAnsi="Arial" w:cs="Arial"/>
                <w:sz w:val="24"/>
                <w:szCs w:val="24"/>
              </w:rPr>
            </w:pPr>
          </w:p>
        </w:tc>
        <w:tc>
          <w:tcPr>
            <w:tcW w:w="1330" w:type="dxa"/>
            <w:tcBorders>
              <w:top w:val="single" w:sz="4" w:space="0" w:color="auto"/>
              <w:left w:val="single" w:sz="4" w:space="0" w:color="auto"/>
              <w:bottom w:val="single" w:sz="4" w:space="0" w:color="auto"/>
              <w:right w:val="single" w:sz="4" w:space="0" w:color="auto"/>
            </w:tcBorders>
          </w:tcPr>
          <w:p w14:paraId="0092CF05" w14:textId="34DC66E0" w:rsidR="00AC0A91" w:rsidRPr="000D756E" w:rsidRDefault="000331C7" w:rsidP="00AC0A91">
            <w:pPr>
              <w:jc w:val="right"/>
              <w:rPr>
                <w:rFonts w:ascii="Arial" w:hAnsi="Arial" w:cs="Arial"/>
                <w:sz w:val="24"/>
                <w:szCs w:val="24"/>
              </w:rPr>
            </w:pPr>
            <w:r>
              <w:rPr>
                <w:rFonts w:ascii="Arial" w:hAnsi="Arial" w:cs="Arial"/>
                <w:sz w:val="24"/>
                <w:szCs w:val="24"/>
              </w:rPr>
              <w:t>-</w:t>
            </w:r>
            <w:r w:rsidR="00DF74C8">
              <w:rPr>
                <w:rFonts w:ascii="Arial" w:hAnsi="Arial" w:cs="Arial"/>
                <w:sz w:val="24"/>
                <w:szCs w:val="24"/>
              </w:rPr>
              <w:t>4,581</w:t>
            </w:r>
          </w:p>
        </w:tc>
      </w:tr>
      <w:tr w:rsidR="00AC0A91" w:rsidRPr="000D756E" w14:paraId="59D58785" w14:textId="77777777" w:rsidTr="00AE20B7">
        <w:tc>
          <w:tcPr>
            <w:tcW w:w="1509" w:type="dxa"/>
            <w:tcBorders>
              <w:top w:val="single" w:sz="4" w:space="0" w:color="auto"/>
              <w:left w:val="single" w:sz="4" w:space="0" w:color="auto"/>
              <w:bottom w:val="single" w:sz="4" w:space="0" w:color="auto"/>
              <w:right w:val="single" w:sz="4" w:space="0" w:color="auto"/>
            </w:tcBorders>
          </w:tcPr>
          <w:p w14:paraId="32F6B602" w14:textId="77777777" w:rsidR="00AC0A91" w:rsidRPr="000D756E" w:rsidRDefault="00AC0A91" w:rsidP="00AC0A91">
            <w:pPr>
              <w:jc w:val="right"/>
              <w:rPr>
                <w:rFonts w:ascii="Arial" w:hAnsi="Arial" w:cs="Arial"/>
                <w:sz w:val="24"/>
                <w:szCs w:val="24"/>
              </w:rPr>
            </w:pPr>
          </w:p>
        </w:tc>
        <w:tc>
          <w:tcPr>
            <w:tcW w:w="6190" w:type="dxa"/>
            <w:tcBorders>
              <w:top w:val="single" w:sz="4" w:space="0" w:color="auto"/>
              <w:left w:val="single" w:sz="4" w:space="0" w:color="auto"/>
              <w:bottom w:val="single" w:sz="4" w:space="0" w:color="auto"/>
              <w:right w:val="single" w:sz="4" w:space="0" w:color="auto"/>
            </w:tcBorders>
          </w:tcPr>
          <w:p w14:paraId="3DB14979" w14:textId="77777777" w:rsidR="00AC0A91" w:rsidRPr="000D756E" w:rsidRDefault="00AC0A91" w:rsidP="00AC0A91">
            <w:pPr>
              <w:rPr>
                <w:rFonts w:ascii="Arial" w:hAnsi="Arial" w:cs="Arial"/>
                <w:sz w:val="24"/>
                <w:szCs w:val="24"/>
              </w:rPr>
            </w:pPr>
          </w:p>
        </w:tc>
        <w:tc>
          <w:tcPr>
            <w:tcW w:w="1330" w:type="dxa"/>
            <w:tcBorders>
              <w:top w:val="single" w:sz="4" w:space="0" w:color="auto"/>
              <w:left w:val="single" w:sz="4" w:space="0" w:color="auto"/>
              <w:bottom w:val="single" w:sz="4" w:space="0" w:color="auto"/>
              <w:right w:val="single" w:sz="4" w:space="0" w:color="auto"/>
            </w:tcBorders>
          </w:tcPr>
          <w:p w14:paraId="555C87E0" w14:textId="77777777" w:rsidR="00AC0A91" w:rsidRPr="000D756E" w:rsidRDefault="00AC0A91" w:rsidP="00AC0A91">
            <w:pPr>
              <w:jc w:val="right"/>
              <w:rPr>
                <w:rFonts w:ascii="Arial" w:hAnsi="Arial" w:cs="Arial"/>
                <w:sz w:val="24"/>
                <w:szCs w:val="24"/>
              </w:rPr>
            </w:pPr>
          </w:p>
        </w:tc>
      </w:tr>
      <w:tr w:rsidR="00AC0A91" w:rsidRPr="000D756E" w14:paraId="6F73294F" w14:textId="77777777" w:rsidTr="00AE20B7">
        <w:tc>
          <w:tcPr>
            <w:tcW w:w="1509" w:type="dxa"/>
            <w:tcBorders>
              <w:top w:val="single" w:sz="4" w:space="0" w:color="auto"/>
              <w:left w:val="single" w:sz="4" w:space="0" w:color="auto"/>
              <w:bottom w:val="single" w:sz="4" w:space="0" w:color="auto"/>
              <w:right w:val="single" w:sz="4" w:space="0" w:color="auto"/>
            </w:tcBorders>
          </w:tcPr>
          <w:p w14:paraId="6FBCEFC7" w14:textId="77777777" w:rsidR="00AC0A91" w:rsidRPr="000D756E" w:rsidRDefault="00AC0A91" w:rsidP="00AC0A91">
            <w:pPr>
              <w:jc w:val="right"/>
              <w:rPr>
                <w:rFonts w:ascii="Arial" w:hAnsi="Arial" w:cs="Arial"/>
                <w:b/>
                <w:sz w:val="24"/>
                <w:szCs w:val="24"/>
              </w:rPr>
            </w:pPr>
          </w:p>
        </w:tc>
        <w:tc>
          <w:tcPr>
            <w:tcW w:w="6190" w:type="dxa"/>
            <w:tcBorders>
              <w:top w:val="single" w:sz="4" w:space="0" w:color="auto"/>
              <w:left w:val="single" w:sz="4" w:space="0" w:color="auto"/>
              <w:bottom w:val="single" w:sz="4" w:space="0" w:color="auto"/>
              <w:right w:val="single" w:sz="4" w:space="0" w:color="auto"/>
            </w:tcBorders>
          </w:tcPr>
          <w:p w14:paraId="3E4785CD" w14:textId="77777777" w:rsidR="00AC0A91" w:rsidRPr="000D756E" w:rsidRDefault="00AC0A91" w:rsidP="00AC0A91">
            <w:pPr>
              <w:rPr>
                <w:rFonts w:ascii="Arial" w:hAnsi="Arial" w:cs="Arial"/>
                <w:b/>
                <w:sz w:val="24"/>
                <w:szCs w:val="24"/>
              </w:rPr>
            </w:pPr>
            <w:r w:rsidRPr="000D756E">
              <w:rPr>
                <w:rFonts w:ascii="Arial" w:hAnsi="Arial" w:cs="Arial"/>
                <w:b/>
                <w:sz w:val="24"/>
                <w:szCs w:val="24"/>
              </w:rPr>
              <w:t>Current Liabilities</w:t>
            </w:r>
          </w:p>
          <w:p w14:paraId="58E4E183" w14:textId="77777777" w:rsidR="00AC0A91" w:rsidRPr="000D756E" w:rsidRDefault="00AC0A91" w:rsidP="00AC0A91">
            <w:pPr>
              <w:rPr>
                <w:rFonts w:ascii="Arial" w:hAnsi="Arial" w:cs="Arial"/>
                <w:b/>
                <w:sz w:val="24"/>
                <w:szCs w:val="24"/>
              </w:rPr>
            </w:pPr>
          </w:p>
        </w:tc>
        <w:tc>
          <w:tcPr>
            <w:tcW w:w="1330" w:type="dxa"/>
            <w:tcBorders>
              <w:top w:val="single" w:sz="4" w:space="0" w:color="auto"/>
              <w:left w:val="single" w:sz="4" w:space="0" w:color="auto"/>
              <w:bottom w:val="single" w:sz="4" w:space="0" w:color="auto"/>
              <w:right w:val="single" w:sz="4" w:space="0" w:color="auto"/>
            </w:tcBorders>
          </w:tcPr>
          <w:p w14:paraId="5FAC48D6" w14:textId="77777777" w:rsidR="00AC0A91" w:rsidRPr="000D756E" w:rsidRDefault="00AC0A91" w:rsidP="00AC0A91">
            <w:pPr>
              <w:jc w:val="right"/>
              <w:rPr>
                <w:rFonts w:ascii="Arial" w:hAnsi="Arial" w:cs="Arial"/>
                <w:b/>
                <w:sz w:val="24"/>
                <w:szCs w:val="24"/>
              </w:rPr>
            </w:pPr>
          </w:p>
        </w:tc>
      </w:tr>
      <w:tr w:rsidR="00AC0A91" w:rsidRPr="000D756E" w14:paraId="35644CD1" w14:textId="77777777" w:rsidTr="00AE20B7">
        <w:tc>
          <w:tcPr>
            <w:tcW w:w="1509" w:type="dxa"/>
            <w:tcBorders>
              <w:top w:val="single" w:sz="4" w:space="0" w:color="auto"/>
              <w:left w:val="single" w:sz="4" w:space="0" w:color="auto"/>
              <w:bottom w:val="single" w:sz="4" w:space="0" w:color="auto"/>
              <w:right w:val="single" w:sz="4" w:space="0" w:color="auto"/>
            </w:tcBorders>
          </w:tcPr>
          <w:p w14:paraId="3004A74C" w14:textId="6A259C21" w:rsidR="00AC0A91" w:rsidRPr="000D756E" w:rsidRDefault="00AC0A91" w:rsidP="00AC0A91">
            <w:pPr>
              <w:jc w:val="right"/>
              <w:rPr>
                <w:rFonts w:ascii="Arial" w:hAnsi="Arial" w:cs="Arial"/>
                <w:sz w:val="24"/>
                <w:szCs w:val="24"/>
              </w:rPr>
            </w:pPr>
            <w:r w:rsidRPr="000D756E">
              <w:rPr>
                <w:rFonts w:ascii="Arial" w:hAnsi="Arial" w:cs="Arial"/>
                <w:sz w:val="24"/>
                <w:szCs w:val="24"/>
              </w:rPr>
              <w:t>-752</w:t>
            </w:r>
          </w:p>
        </w:tc>
        <w:tc>
          <w:tcPr>
            <w:tcW w:w="6190" w:type="dxa"/>
            <w:tcBorders>
              <w:top w:val="single" w:sz="4" w:space="0" w:color="auto"/>
              <w:left w:val="single" w:sz="4" w:space="0" w:color="auto"/>
              <w:bottom w:val="single" w:sz="4" w:space="0" w:color="auto"/>
              <w:right w:val="single" w:sz="4" w:space="0" w:color="auto"/>
            </w:tcBorders>
          </w:tcPr>
          <w:p w14:paraId="46FAE050" w14:textId="6621FCEF" w:rsidR="00AC0A91" w:rsidRPr="000D756E" w:rsidRDefault="00E93A08" w:rsidP="00E93A08">
            <w:pPr>
              <w:rPr>
                <w:rFonts w:ascii="Arial" w:hAnsi="Arial" w:cs="Arial"/>
                <w:sz w:val="24"/>
                <w:szCs w:val="24"/>
              </w:rPr>
            </w:pPr>
            <w:r w:rsidRPr="000D756E">
              <w:rPr>
                <w:rFonts w:ascii="Arial" w:hAnsi="Arial" w:cs="Arial"/>
                <w:sz w:val="24"/>
                <w:szCs w:val="24"/>
              </w:rPr>
              <w:t xml:space="preserve">Top Up grant </w:t>
            </w:r>
            <w:r w:rsidR="00CF3BD3">
              <w:rPr>
                <w:rFonts w:ascii="Arial" w:hAnsi="Arial" w:cs="Arial"/>
                <w:sz w:val="24"/>
                <w:szCs w:val="24"/>
              </w:rPr>
              <w:t>payable to</w:t>
            </w:r>
            <w:r w:rsidRPr="000D756E">
              <w:rPr>
                <w:rFonts w:ascii="Arial" w:hAnsi="Arial" w:cs="Arial"/>
                <w:sz w:val="24"/>
                <w:szCs w:val="24"/>
              </w:rPr>
              <w:t xml:space="preserve"> Government</w:t>
            </w:r>
          </w:p>
        </w:tc>
        <w:tc>
          <w:tcPr>
            <w:tcW w:w="1330" w:type="dxa"/>
            <w:tcBorders>
              <w:top w:val="single" w:sz="4" w:space="0" w:color="auto"/>
              <w:left w:val="single" w:sz="4" w:space="0" w:color="auto"/>
              <w:bottom w:val="single" w:sz="4" w:space="0" w:color="auto"/>
              <w:right w:val="single" w:sz="4" w:space="0" w:color="auto"/>
            </w:tcBorders>
          </w:tcPr>
          <w:p w14:paraId="217C375A" w14:textId="0663606B" w:rsidR="00AC0A91" w:rsidRPr="000D756E" w:rsidRDefault="00CF3BD3" w:rsidP="00AC0A91">
            <w:pPr>
              <w:jc w:val="right"/>
              <w:rPr>
                <w:rFonts w:ascii="Arial" w:hAnsi="Arial" w:cs="Arial"/>
                <w:sz w:val="24"/>
                <w:szCs w:val="24"/>
              </w:rPr>
            </w:pPr>
            <w:r>
              <w:rPr>
                <w:rFonts w:ascii="Arial" w:hAnsi="Arial" w:cs="Arial"/>
                <w:sz w:val="24"/>
                <w:szCs w:val="24"/>
              </w:rPr>
              <w:t>4,581</w:t>
            </w:r>
          </w:p>
        </w:tc>
      </w:tr>
      <w:tr w:rsidR="00AC0A91" w:rsidRPr="000D756E" w14:paraId="4013FE4D" w14:textId="77777777" w:rsidTr="00AE20B7">
        <w:tc>
          <w:tcPr>
            <w:tcW w:w="1509" w:type="dxa"/>
            <w:tcBorders>
              <w:top w:val="single" w:sz="4" w:space="0" w:color="auto"/>
              <w:left w:val="single" w:sz="4" w:space="0" w:color="auto"/>
              <w:bottom w:val="single" w:sz="4" w:space="0" w:color="auto"/>
              <w:right w:val="single" w:sz="4" w:space="0" w:color="auto"/>
            </w:tcBorders>
          </w:tcPr>
          <w:p w14:paraId="63E3AE96" w14:textId="15A3C43E" w:rsidR="00AC0A91" w:rsidRPr="000D756E" w:rsidRDefault="00AC0A91" w:rsidP="00AC0A91">
            <w:pPr>
              <w:jc w:val="right"/>
              <w:rPr>
                <w:rFonts w:ascii="Arial" w:hAnsi="Arial" w:cs="Arial"/>
                <w:b/>
                <w:sz w:val="24"/>
                <w:szCs w:val="24"/>
              </w:rPr>
            </w:pPr>
            <w:r w:rsidRPr="000D756E">
              <w:rPr>
                <w:rFonts w:ascii="Arial" w:hAnsi="Arial" w:cs="Arial"/>
                <w:b/>
                <w:sz w:val="24"/>
                <w:szCs w:val="24"/>
              </w:rPr>
              <w:t>0</w:t>
            </w:r>
          </w:p>
        </w:tc>
        <w:tc>
          <w:tcPr>
            <w:tcW w:w="6190" w:type="dxa"/>
            <w:tcBorders>
              <w:top w:val="single" w:sz="4" w:space="0" w:color="auto"/>
              <w:left w:val="single" w:sz="4" w:space="0" w:color="auto"/>
              <w:bottom w:val="single" w:sz="4" w:space="0" w:color="auto"/>
              <w:right w:val="single" w:sz="4" w:space="0" w:color="auto"/>
            </w:tcBorders>
          </w:tcPr>
          <w:p w14:paraId="30ADA754" w14:textId="275D608C" w:rsidR="00AC0A91" w:rsidRPr="000D756E" w:rsidRDefault="00AC0A91" w:rsidP="00AC0A91">
            <w:pPr>
              <w:rPr>
                <w:rFonts w:ascii="Arial" w:hAnsi="Arial" w:cs="Arial"/>
                <w:sz w:val="24"/>
                <w:szCs w:val="24"/>
              </w:rPr>
            </w:pPr>
          </w:p>
        </w:tc>
        <w:tc>
          <w:tcPr>
            <w:tcW w:w="1330" w:type="dxa"/>
            <w:tcBorders>
              <w:top w:val="single" w:sz="4" w:space="0" w:color="auto"/>
              <w:left w:val="single" w:sz="4" w:space="0" w:color="auto"/>
              <w:bottom w:val="single" w:sz="4" w:space="0" w:color="auto"/>
              <w:right w:val="single" w:sz="4" w:space="0" w:color="auto"/>
            </w:tcBorders>
          </w:tcPr>
          <w:p w14:paraId="10F91E81" w14:textId="7D6ECFE8" w:rsidR="00AC0A91" w:rsidRPr="000D756E" w:rsidRDefault="00AC0A91" w:rsidP="00AC0A91">
            <w:pPr>
              <w:jc w:val="right"/>
              <w:rPr>
                <w:rFonts w:ascii="Arial" w:hAnsi="Arial" w:cs="Arial"/>
                <w:b/>
                <w:sz w:val="24"/>
                <w:szCs w:val="24"/>
              </w:rPr>
            </w:pPr>
          </w:p>
        </w:tc>
      </w:tr>
    </w:tbl>
    <w:p w14:paraId="5A0F95BB" w14:textId="77777777" w:rsidR="00A03210" w:rsidRPr="000D756E" w:rsidRDefault="00A03210" w:rsidP="002A7C01">
      <w:pPr>
        <w:rPr>
          <w:rFonts w:ascii="Arial" w:hAnsi="Arial" w:cs="Arial"/>
          <w:sz w:val="24"/>
          <w:szCs w:val="24"/>
        </w:rPr>
      </w:pPr>
    </w:p>
    <w:p w14:paraId="22F004E5" w14:textId="77777777" w:rsidR="00A03210" w:rsidRPr="000D756E" w:rsidRDefault="00503E0B" w:rsidP="002A7C01">
      <w:pPr>
        <w:rPr>
          <w:rFonts w:ascii="Arial" w:hAnsi="Arial" w:cs="Arial"/>
          <w:b/>
          <w:sz w:val="28"/>
          <w:szCs w:val="28"/>
        </w:rPr>
      </w:pPr>
      <w:r w:rsidRPr="000D756E">
        <w:rPr>
          <w:rFonts w:ascii="Arial" w:hAnsi="Arial" w:cs="Arial"/>
          <w:b/>
          <w:sz w:val="28"/>
          <w:szCs w:val="28"/>
        </w:rPr>
        <w:t>Note</w:t>
      </w:r>
      <w:r w:rsidR="00912577" w:rsidRPr="000D756E">
        <w:rPr>
          <w:rFonts w:ascii="Arial" w:hAnsi="Arial" w:cs="Arial"/>
          <w:b/>
          <w:sz w:val="28"/>
          <w:szCs w:val="28"/>
        </w:rPr>
        <w:t>s</w:t>
      </w:r>
      <w:r w:rsidR="00A03210" w:rsidRPr="000D756E">
        <w:rPr>
          <w:rFonts w:ascii="Arial" w:hAnsi="Arial" w:cs="Arial"/>
          <w:b/>
          <w:sz w:val="28"/>
          <w:szCs w:val="28"/>
        </w:rPr>
        <w:t xml:space="preserve"> to the Pension</w:t>
      </w:r>
      <w:r w:rsidR="00F165C8" w:rsidRPr="000D756E">
        <w:rPr>
          <w:rFonts w:ascii="Arial" w:hAnsi="Arial" w:cs="Arial"/>
          <w:b/>
          <w:sz w:val="28"/>
          <w:szCs w:val="28"/>
        </w:rPr>
        <w:t xml:space="preserve"> Fund</w:t>
      </w:r>
      <w:r w:rsidR="00A03210" w:rsidRPr="000D756E">
        <w:rPr>
          <w:rFonts w:ascii="Arial" w:hAnsi="Arial" w:cs="Arial"/>
          <w:b/>
          <w:sz w:val="28"/>
          <w:szCs w:val="28"/>
        </w:rPr>
        <w:t xml:space="preserve"> Account</w:t>
      </w:r>
      <w:r w:rsidR="00F165C8" w:rsidRPr="000D756E">
        <w:rPr>
          <w:rFonts w:ascii="Arial" w:hAnsi="Arial" w:cs="Arial"/>
          <w:b/>
          <w:sz w:val="28"/>
          <w:szCs w:val="28"/>
        </w:rPr>
        <w:t>s</w:t>
      </w:r>
    </w:p>
    <w:p w14:paraId="6CF8967C" w14:textId="77777777" w:rsidR="00A03210" w:rsidRPr="000D756E" w:rsidRDefault="00A03210" w:rsidP="002A7C01">
      <w:pPr>
        <w:rPr>
          <w:rFonts w:ascii="Arial" w:hAnsi="Arial" w:cs="Arial"/>
          <w:b/>
          <w:sz w:val="28"/>
          <w:szCs w:val="28"/>
        </w:rPr>
      </w:pPr>
    </w:p>
    <w:p w14:paraId="17B21653" w14:textId="77777777" w:rsidR="004839BE" w:rsidRPr="000D756E" w:rsidRDefault="00503E0B" w:rsidP="00E32FEF">
      <w:pPr>
        <w:numPr>
          <w:ilvl w:val="0"/>
          <w:numId w:val="1"/>
        </w:numPr>
        <w:rPr>
          <w:rFonts w:ascii="Arial" w:hAnsi="Arial" w:cs="Arial"/>
          <w:b/>
          <w:sz w:val="28"/>
          <w:szCs w:val="28"/>
        </w:rPr>
      </w:pPr>
      <w:r w:rsidRPr="000D756E">
        <w:rPr>
          <w:rFonts w:ascii="Arial" w:hAnsi="Arial" w:cs="Arial"/>
          <w:b/>
          <w:sz w:val="24"/>
        </w:rPr>
        <w:t xml:space="preserve">Firefighters Pension Schemes </w:t>
      </w:r>
      <w:r w:rsidRPr="000D756E">
        <w:rPr>
          <w:rFonts w:ascii="Arial" w:hAnsi="Arial" w:cs="Arial"/>
          <w:sz w:val="24"/>
        </w:rPr>
        <w:t>– on 1 April 2006 new financial arrangements were introduced for both the 1992 and the newly established 2006 Firefighter Pension Schemes.</w:t>
      </w:r>
      <w:r w:rsidR="00912577" w:rsidRPr="000D756E">
        <w:rPr>
          <w:rFonts w:ascii="Arial" w:hAnsi="Arial" w:cs="Arial"/>
          <w:sz w:val="24"/>
        </w:rPr>
        <w:t xml:space="preserve"> The Pension fund was established under the Firefighters Pension Fund Regulations 2006.</w:t>
      </w:r>
    </w:p>
    <w:p w14:paraId="260F2A9F" w14:textId="77777777" w:rsidR="004839BE" w:rsidRPr="000D756E" w:rsidRDefault="004839BE" w:rsidP="004839BE">
      <w:pPr>
        <w:ind w:left="502"/>
        <w:rPr>
          <w:rFonts w:ascii="Arial" w:hAnsi="Arial" w:cs="Arial"/>
          <w:sz w:val="24"/>
          <w:szCs w:val="24"/>
        </w:rPr>
      </w:pPr>
      <w:r w:rsidRPr="000D756E">
        <w:rPr>
          <w:rFonts w:ascii="Arial" w:hAnsi="Arial" w:cs="Arial"/>
          <w:sz w:val="24"/>
          <w:szCs w:val="24"/>
        </w:rPr>
        <w:t xml:space="preserve">The Firefighters’ Pension Scheme 2015 was introduced at the beginning of the financial year. This is a career average scheme, and is available to operational firefighters appointed on or after 1 April 2015. Serving firefighters will also have been transferred into the scheme, unless they have protected status under one of the existing schemes. The scheme is regulated by the </w:t>
      </w:r>
      <w:r w:rsidR="005D6708" w:rsidRPr="000D756E">
        <w:rPr>
          <w:rFonts w:ascii="Arial" w:hAnsi="Arial" w:cs="Arial"/>
          <w:sz w:val="24"/>
          <w:szCs w:val="24"/>
        </w:rPr>
        <w:t>Home Office</w:t>
      </w:r>
      <w:r w:rsidRPr="000D756E">
        <w:rPr>
          <w:rFonts w:ascii="Arial" w:hAnsi="Arial" w:cs="Arial"/>
          <w:sz w:val="24"/>
          <w:szCs w:val="24"/>
        </w:rPr>
        <w:t>.</w:t>
      </w:r>
    </w:p>
    <w:p w14:paraId="2EE2DFA4" w14:textId="77777777" w:rsidR="00912577" w:rsidRPr="000D756E" w:rsidRDefault="00912577" w:rsidP="00FE563D">
      <w:pPr>
        <w:rPr>
          <w:rFonts w:ascii="Arial" w:hAnsi="Arial" w:cs="Arial"/>
          <w:b/>
          <w:sz w:val="28"/>
          <w:szCs w:val="28"/>
        </w:rPr>
      </w:pPr>
    </w:p>
    <w:p w14:paraId="50AA742A" w14:textId="77777777" w:rsidR="00912577" w:rsidRPr="000D756E" w:rsidRDefault="00912577" w:rsidP="00E32FEF">
      <w:pPr>
        <w:numPr>
          <w:ilvl w:val="0"/>
          <w:numId w:val="1"/>
        </w:numPr>
        <w:rPr>
          <w:rFonts w:ascii="Arial" w:hAnsi="Arial" w:cs="Arial"/>
          <w:b/>
          <w:sz w:val="28"/>
          <w:szCs w:val="28"/>
        </w:rPr>
      </w:pPr>
      <w:r w:rsidRPr="000D756E">
        <w:rPr>
          <w:rFonts w:ascii="Arial" w:hAnsi="Arial" w:cs="Arial"/>
          <w:sz w:val="24"/>
          <w:szCs w:val="24"/>
        </w:rPr>
        <w:t xml:space="preserve">The Pension Fund is regulated by </w:t>
      </w:r>
      <w:r w:rsidR="005D6708" w:rsidRPr="000D756E">
        <w:rPr>
          <w:rFonts w:ascii="Arial" w:hAnsi="Arial" w:cs="Arial"/>
          <w:sz w:val="24"/>
          <w:szCs w:val="24"/>
        </w:rPr>
        <w:t>Home Office</w:t>
      </w:r>
      <w:r w:rsidRPr="000D756E">
        <w:rPr>
          <w:rFonts w:ascii="Arial" w:hAnsi="Arial" w:cs="Arial"/>
          <w:sz w:val="24"/>
          <w:szCs w:val="24"/>
        </w:rPr>
        <w:t>, and the pension schemes are managed and administered locally by each Fire Authority. Both are unfunded, defined benefit schemes; contributions to the schemes are made by firefighters and employers, and paid into the Fund, from which most commutations and regular pension payments are made. Any deficit on the Fund will be met by Government, and any surplus at the end of the year will be repaid to Government.</w:t>
      </w:r>
    </w:p>
    <w:p w14:paraId="36374414" w14:textId="77777777" w:rsidR="00912577" w:rsidRPr="000D756E" w:rsidRDefault="00912577" w:rsidP="002A7C01">
      <w:pPr>
        <w:ind w:left="142"/>
        <w:rPr>
          <w:rFonts w:ascii="Arial" w:hAnsi="Arial" w:cs="Arial"/>
          <w:b/>
          <w:sz w:val="28"/>
          <w:szCs w:val="28"/>
        </w:rPr>
      </w:pPr>
    </w:p>
    <w:p w14:paraId="013B7E6C" w14:textId="30DA1BC8" w:rsidR="00912577" w:rsidRPr="000D756E" w:rsidRDefault="00912577" w:rsidP="00E32FEF">
      <w:pPr>
        <w:numPr>
          <w:ilvl w:val="0"/>
          <w:numId w:val="1"/>
        </w:numPr>
        <w:rPr>
          <w:rFonts w:ascii="Arial" w:hAnsi="Arial" w:cs="Arial"/>
          <w:b/>
          <w:sz w:val="28"/>
          <w:szCs w:val="28"/>
        </w:rPr>
      </w:pPr>
      <w:r w:rsidRPr="000D756E">
        <w:rPr>
          <w:rFonts w:ascii="Arial" w:hAnsi="Arial" w:cs="Arial"/>
          <w:sz w:val="24"/>
          <w:szCs w:val="24"/>
        </w:rPr>
        <w:t>The Fund’s financial statements do not take account of liabilities to pay pensions and other benefits after the period end; information on the Authority’s long term pensions obl</w:t>
      </w:r>
      <w:r w:rsidR="00B37C5F" w:rsidRPr="000D756E">
        <w:rPr>
          <w:rFonts w:ascii="Arial" w:hAnsi="Arial" w:cs="Arial"/>
          <w:sz w:val="24"/>
          <w:szCs w:val="24"/>
        </w:rPr>
        <w:t>igations can be found at note</w:t>
      </w:r>
      <w:r w:rsidR="00AA0235" w:rsidRPr="000D756E">
        <w:rPr>
          <w:rFonts w:ascii="Arial" w:hAnsi="Arial" w:cs="Arial"/>
          <w:sz w:val="24"/>
          <w:szCs w:val="24"/>
        </w:rPr>
        <w:t xml:space="preserve"> </w:t>
      </w:r>
      <w:r w:rsidR="00D90A95" w:rsidRPr="000D756E">
        <w:rPr>
          <w:rFonts w:ascii="Arial" w:hAnsi="Arial" w:cs="Arial"/>
          <w:sz w:val="24"/>
          <w:szCs w:val="24"/>
        </w:rPr>
        <w:t>1</w:t>
      </w:r>
      <w:r w:rsidR="00267C64" w:rsidRPr="000D756E">
        <w:rPr>
          <w:rFonts w:ascii="Arial" w:hAnsi="Arial" w:cs="Arial"/>
          <w:sz w:val="24"/>
          <w:szCs w:val="24"/>
        </w:rPr>
        <w:t>3</w:t>
      </w:r>
      <w:r w:rsidRPr="000D756E">
        <w:rPr>
          <w:rFonts w:ascii="Arial" w:hAnsi="Arial" w:cs="Arial"/>
          <w:sz w:val="24"/>
          <w:szCs w:val="24"/>
        </w:rPr>
        <w:t xml:space="preserve"> to the main financial statements.</w:t>
      </w:r>
    </w:p>
    <w:p w14:paraId="626DAFD4" w14:textId="77777777" w:rsidR="00912577" w:rsidRPr="000D756E" w:rsidRDefault="00912577" w:rsidP="002A7C01">
      <w:pPr>
        <w:rPr>
          <w:rFonts w:ascii="Arial" w:hAnsi="Arial" w:cs="Arial"/>
          <w:b/>
          <w:sz w:val="28"/>
          <w:szCs w:val="28"/>
        </w:rPr>
      </w:pPr>
    </w:p>
    <w:p w14:paraId="24FF3382" w14:textId="77777777" w:rsidR="00912577" w:rsidRPr="000D756E" w:rsidRDefault="00912577" w:rsidP="00E32FEF">
      <w:pPr>
        <w:numPr>
          <w:ilvl w:val="0"/>
          <w:numId w:val="1"/>
        </w:numPr>
        <w:rPr>
          <w:rFonts w:ascii="Arial" w:hAnsi="Arial" w:cs="Arial"/>
          <w:b/>
          <w:sz w:val="28"/>
          <w:szCs w:val="28"/>
        </w:rPr>
      </w:pPr>
      <w:r w:rsidRPr="000D756E">
        <w:rPr>
          <w:rFonts w:ascii="Arial" w:hAnsi="Arial" w:cs="Arial"/>
          <w:sz w:val="24"/>
          <w:szCs w:val="24"/>
        </w:rPr>
        <w:t xml:space="preserve">Employees and employers contribution levels are set nationally by </w:t>
      </w:r>
      <w:r w:rsidR="005D6708" w:rsidRPr="000D756E">
        <w:rPr>
          <w:rFonts w:ascii="Arial" w:hAnsi="Arial" w:cs="Arial"/>
          <w:sz w:val="24"/>
          <w:szCs w:val="24"/>
        </w:rPr>
        <w:t>the Home Office</w:t>
      </w:r>
      <w:r w:rsidRPr="000D756E">
        <w:rPr>
          <w:rFonts w:ascii="Arial" w:hAnsi="Arial" w:cs="Arial"/>
          <w:sz w:val="24"/>
          <w:szCs w:val="24"/>
        </w:rPr>
        <w:t xml:space="preserve"> and subject to triennial revaluation by the Government’s Actuary Department.</w:t>
      </w:r>
    </w:p>
    <w:p w14:paraId="6D67B8D9" w14:textId="77777777" w:rsidR="00912577" w:rsidRPr="000D756E" w:rsidRDefault="00912577" w:rsidP="002A7C01">
      <w:pPr>
        <w:rPr>
          <w:rFonts w:ascii="Arial" w:hAnsi="Arial" w:cs="Arial"/>
          <w:b/>
          <w:sz w:val="28"/>
          <w:szCs w:val="28"/>
        </w:rPr>
      </w:pPr>
    </w:p>
    <w:p w14:paraId="3F2B46A2" w14:textId="508C3BF5" w:rsidR="00A03210" w:rsidRPr="000D756E" w:rsidRDefault="00912577" w:rsidP="00E32FEF">
      <w:pPr>
        <w:numPr>
          <w:ilvl w:val="0"/>
          <w:numId w:val="1"/>
        </w:numPr>
        <w:rPr>
          <w:rFonts w:ascii="Arial" w:hAnsi="Arial" w:cs="Arial"/>
          <w:b/>
          <w:i/>
          <w:iCs/>
          <w:sz w:val="28"/>
          <w:szCs w:val="28"/>
        </w:rPr>
      </w:pPr>
      <w:r w:rsidRPr="000D756E">
        <w:rPr>
          <w:rFonts w:ascii="Arial" w:hAnsi="Arial" w:cs="Arial"/>
          <w:sz w:val="24"/>
          <w:szCs w:val="24"/>
        </w:rPr>
        <w:t>The accounts are prepared in accordance with the same Code of Practice and accounting policies as the main financial statements – they can be found at page</w:t>
      </w:r>
      <w:r w:rsidR="00AA0235" w:rsidRPr="000D756E">
        <w:rPr>
          <w:rFonts w:ascii="Arial" w:hAnsi="Arial" w:cs="Arial"/>
          <w:sz w:val="24"/>
          <w:szCs w:val="24"/>
        </w:rPr>
        <w:t xml:space="preserve"> </w:t>
      </w:r>
      <w:r w:rsidR="00715C7B">
        <w:rPr>
          <w:rFonts w:ascii="Arial" w:hAnsi="Arial" w:cs="Arial"/>
          <w:sz w:val="24"/>
          <w:szCs w:val="24"/>
        </w:rPr>
        <w:t>29</w:t>
      </w:r>
      <w:r w:rsidRPr="000D756E">
        <w:rPr>
          <w:rFonts w:ascii="Arial" w:hAnsi="Arial" w:cs="Arial"/>
          <w:sz w:val="24"/>
          <w:szCs w:val="24"/>
        </w:rPr>
        <w:t>.</w:t>
      </w:r>
      <w:r w:rsidRPr="000D756E">
        <w:rPr>
          <w:rFonts w:ascii="Arial" w:hAnsi="Arial" w:cs="Arial"/>
          <w:i/>
          <w:iCs/>
          <w:sz w:val="24"/>
          <w:szCs w:val="24"/>
        </w:rPr>
        <w:t xml:space="preserve"> </w:t>
      </w:r>
    </w:p>
    <w:p w14:paraId="7A417A9B" w14:textId="77777777" w:rsidR="00A03210" w:rsidRPr="000D756E" w:rsidRDefault="00A03210" w:rsidP="002A7C01">
      <w:pPr>
        <w:rPr>
          <w:rFonts w:ascii="Arial" w:hAnsi="Arial" w:cs="Arial"/>
          <w:b/>
          <w:sz w:val="28"/>
          <w:szCs w:val="28"/>
        </w:rPr>
        <w:sectPr w:rsidR="00A03210" w:rsidRPr="000D756E" w:rsidSect="00540FFA">
          <w:headerReference w:type="default" r:id="rId36"/>
          <w:pgSz w:w="11909" w:h="16834" w:code="9"/>
          <w:pgMar w:top="1440" w:right="1440" w:bottom="1440" w:left="1440" w:header="720" w:footer="720" w:gutter="0"/>
          <w:paperSrc w:first="260"/>
          <w:cols w:space="720"/>
        </w:sectPr>
      </w:pPr>
    </w:p>
    <w:p w14:paraId="3D0990A2" w14:textId="77777777" w:rsidR="007C5DDF" w:rsidRPr="000D756E" w:rsidRDefault="007C5DDF" w:rsidP="002A7C01">
      <w:pPr>
        <w:pStyle w:val="BodyText2"/>
        <w:jc w:val="left"/>
        <w:rPr>
          <w:rFonts w:ascii="Arial" w:hAnsi="Arial" w:cs="Arial"/>
        </w:rPr>
      </w:pPr>
    </w:p>
    <w:tbl>
      <w:tblPr>
        <w:tblW w:w="9540" w:type="dxa"/>
        <w:tblInd w:w="108" w:type="dxa"/>
        <w:tblLayout w:type="fixed"/>
        <w:tblLook w:val="0000" w:firstRow="0" w:lastRow="0" w:firstColumn="0" w:lastColumn="0" w:noHBand="0" w:noVBand="0"/>
      </w:tblPr>
      <w:tblGrid>
        <w:gridCol w:w="9540"/>
      </w:tblGrid>
      <w:tr w:rsidR="006329E6" w:rsidRPr="000D756E" w14:paraId="59AFA059" w14:textId="77777777" w:rsidTr="007F3A0D">
        <w:tc>
          <w:tcPr>
            <w:tcW w:w="9540" w:type="dxa"/>
          </w:tcPr>
          <w:p w14:paraId="32FE684D" w14:textId="77777777" w:rsidR="007F3A0D" w:rsidRPr="000D756E" w:rsidRDefault="00F5038D" w:rsidP="002A7C01">
            <w:pPr>
              <w:rPr>
                <w:rFonts w:ascii="Arial" w:hAnsi="Arial" w:cs="Arial"/>
                <w:b/>
                <w:sz w:val="24"/>
                <w:szCs w:val="24"/>
              </w:rPr>
            </w:pPr>
            <w:r w:rsidRPr="000D756E">
              <w:rPr>
                <w:rFonts w:ascii="Arial" w:hAnsi="Arial" w:cs="Arial"/>
                <w:b/>
                <w:sz w:val="24"/>
                <w:szCs w:val="24"/>
              </w:rPr>
              <w:t>Accrual</w:t>
            </w:r>
          </w:p>
          <w:p w14:paraId="64F41675" w14:textId="77777777" w:rsidR="00F5038D" w:rsidRPr="000D756E" w:rsidRDefault="007F3A0D" w:rsidP="002A7C01">
            <w:pPr>
              <w:rPr>
                <w:rFonts w:ascii="Arial" w:hAnsi="Arial" w:cs="Arial"/>
                <w:sz w:val="24"/>
                <w:szCs w:val="24"/>
              </w:rPr>
            </w:pPr>
            <w:r w:rsidRPr="000D756E">
              <w:rPr>
                <w:rFonts w:ascii="Arial" w:hAnsi="Arial" w:cs="Arial"/>
                <w:sz w:val="24"/>
                <w:szCs w:val="24"/>
              </w:rPr>
              <w:t>The concept that income and expenditure are recognised as they are earned or incurred, n</w:t>
            </w:r>
            <w:r w:rsidR="00F7314C" w:rsidRPr="000D756E">
              <w:rPr>
                <w:rFonts w:ascii="Arial" w:hAnsi="Arial" w:cs="Arial"/>
                <w:sz w:val="24"/>
                <w:szCs w:val="24"/>
              </w:rPr>
              <w:t>o</w:t>
            </w:r>
            <w:r w:rsidRPr="000D756E">
              <w:rPr>
                <w:rFonts w:ascii="Arial" w:hAnsi="Arial" w:cs="Arial"/>
                <w:sz w:val="24"/>
                <w:szCs w:val="24"/>
              </w:rPr>
              <w:t>t as money is received or paid.</w:t>
            </w:r>
            <w:r w:rsidR="00F5038D" w:rsidRPr="000D756E">
              <w:rPr>
                <w:rFonts w:ascii="Arial" w:hAnsi="Arial" w:cs="Arial"/>
                <w:sz w:val="24"/>
                <w:szCs w:val="24"/>
              </w:rPr>
              <w:t xml:space="preserve"> </w:t>
            </w:r>
          </w:p>
          <w:p w14:paraId="030E6119" w14:textId="77777777" w:rsidR="00F5038D" w:rsidRPr="000D756E" w:rsidRDefault="00F5038D" w:rsidP="002A7C01">
            <w:pPr>
              <w:rPr>
                <w:rFonts w:ascii="Arial" w:hAnsi="Arial" w:cs="Arial"/>
                <w:sz w:val="24"/>
                <w:szCs w:val="24"/>
              </w:rPr>
            </w:pPr>
          </w:p>
        </w:tc>
      </w:tr>
      <w:tr w:rsidR="006329E6" w:rsidRPr="000D756E" w14:paraId="26AB5FF9" w14:textId="77777777" w:rsidTr="007F3A0D">
        <w:tc>
          <w:tcPr>
            <w:tcW w:w="9540" w:type="dxa"/>
          </w:tcPr>
          <w:p w14:paraId="41A74CE0" w14:textId="77777777" w:rsidR="00F5038D" w:rsidRPr="000D756E" w:rsidRDefault="007F3A0D" w:rsidP="002A7C01">
            <w:pPr>
              <w:rPr>
                <w:rFonts w:ascii="Arial" w:hAnsi="Arial" w:cs="Arial"/>
                <w:b/>
                <w:sz w:val="24"/>
                <w:szCs w:val="24"/>
              </w:rPr>
            </w:pPr>
            <w:r w:rsidRPr="000D756E">
              <w:rPr>
                <w:rFonts w:ascii="Arial" w:hAnsi="Arial" w:cs="Arial"/>
                <w:b/>
                <w:sz w:val="24"/>
                <w:szCs w:val="24"/>
              </w:rPr>
              <w:t>Capital Adjustment Account</w:t>
            </w:r>
          </w:p>
          <w:p w14:paraId="4A3D1659" w14:textId="77777777" w:rsidR="007F3A0D" w:rsidRPr="000D756E" w:rsidRDefault="007F3A0D" w:rsidP="002A7C01">
            <w:pPr>
              <w:rPr>
                <w:rFonts w:ascii="Arial" w:hAnsi="Arial" w:cs="Arial"/>
                <w:sz w:val="24"/>
                <w:szCs w:val="24"/>
              </w:rPr>
            </w:pPr>
            <w:r w:rsidRPr="000D756E">
              <w:rPr>
                <w:rFonts w:ascii="Arial" w:hAnsi="Arial" w:cs="Arial"/>
                <w:sz w:val="24"/>
                <w:szCs w:val="24"/>
              </w:rPr>
              <w:t>Provides a balancing mechanism between the different rates at which assets are depreciated under IFRS and are financed through capital controls system.</w:t>
            </w:r>
          </w:p>
          <w:p w14:paraId="248F4088" w14:textId="77777777" w:rsidR="00F5038D" w:rsidRPr="000D756E" w:rsidRDefault="00F5038D" w:rsidP="002A7C01">
            <w:pPr>
              <w:rPr>
                <w:rFonts w:ascii="Arial" w:hAnsi="Arial" w:cs="Arial"/>
                <w:sz w:val="24"/>
                <w:szCs w:val="24"/>
              </w:rPr>
            </w:pPr>
          </w:p>
        </w:tc>
      </w:tr>
      <w:tr w:rsidR="006329E6" w:rsidRPr="000D756E" w14:paraId="33980BD1" w14:textId="77777777" w:rsidTr="007F3A0D">
        <w:tc>
          <w:tcPr>
            <w:tcW w:w="9540" w:type="dxa"/>
          </w:tcPr>
          <w:p w14:paraId="178DA0A3" w14:textId="77777777" w:rsidR="007F3A0D" w:rsidRPr="000D756E" w:rsidRDefault="007F3A0D" w:rsidP="002A7C01">
            <w:pPr>
              <w:rPr>
                <w:rFonts w:ascii="Arial" w:hAnsi="Arial" w:cs="Arial"/>
                <w:b/>
                <w:sz w:val="24"/>
                <w:szCs w:val="24"/>
              </w:rPr>
            </w:pPr>
            <w:r w:rsidRPr="000D756E">
              <w:rPr>
                <w:rFonts w:ascii="Arial" w:hAnsi="Arial" w:cs="Arial"/>
                <w:b/>
                <w:sz w:val="24"/>
                <w:szCs w:val="24"/>
              </w:rPr>
              <w:t>Capital Expenditure</w:t>
            </w:r>
          </w:p>
          <w:p w14:paraId="2F584423" w14:textId="77777777" w:rsidR="00F5038D" w:rsidRPr="000D756E" w:rsidRDefault="007F3A0D" w:rsidP="002A7C01">
            <w:pPr>
              <w:rPr>
                <w:rFonts w:ascii="Arial" w:hAnsi="Arial" w:cs="Arial"/>
                <w:sz w:val="24"/>
                <w:szCs w:val="24"/>
              </w:rPr>
            </w:pPr>
            <w:r w:rsidRPr="000D756E">
              <w:rPr>
                <w:rFonts w:ascii="Arial" w:hAnsi="Arial" w:cs="Arial"/>
                <w:sz w:val="24"/>
                <w:szCs w:val="24"/>
              </w:rPr>
              <w:t>Expenditure on the acquisition of non current assets such as land, buildings, vehicles and equipment which are of long term value, or expenditure which adds to and not merely maintains the value of existing assets.</w:t>
            </w:r>
            <w:r w:rsidR="00F5038D" w:rsidRPr="000D756E">
              <w:rPr>
                <w:rFonts w:ascii="Arial" w:hAnsi="Arial" w:cs="Arial"/>
                <w:b/>
                <w:sz w:val="24"/>
                <w:szCs w:val="24"/>
              </w:rPr>
              <w:t xml:space="preserve"> </w:t>
            </w:r>
          </w:p>
          <w:p w14:paraId="683AD206" w14:textId="77777777" w:rsidR="00F5038D" w:rsidRPr="000D756E" w:rsidRDefault="00F5038D" w:rsidP="002A7C01">
            <w:pPr>
              <w:rPr>
                <w:rFonts w:ascii="Arial" w:hAnsi="Arial" w:cs="Arial"/>
                <w:sz w:val="24"/>
                <w:szCs w:val="24"/>
              </w:rPr>
            </w:pPr>
          </w:p>
        </w:tc>
      </w:tr>
      <w:tr w:rsidR="006329E6" w:rsidRPr="000D756E" w14:paraId="45B39082" w14:textId="77777777" w:rsidTr="007F3A0D">
        <w:tc>
          <w:tcPr>
            <w:tcW w:w="9540" w:type="dxa"/>
          </w:tcPr>
          <w:p w14:paraId="6B0A3062" w14:textId="77777777" w:rsidR="00F5038D" w:rsidRPr="000D756E" w:rsidRDefault="007F3A0D" w:rsidP="002A7C01">
            <w:pPr>
              <w:rPr>
                <w:rFonts w:ascii="Arial" w:hAnsi="Arial" w:cs="Arial"/>
                <w:b/>
                <w:sz w:val="24"/>
                <w:szCs w:val="24"/>
              </w:rPr>
            </w:pPr>
            <w:r w:rsidRPr="000D756E">
              <w:rPr>
                <w:rFonts w:ascii="Arial" w:hAnsi="Arial" w:cs="Arial"/>
                <w:b/>
                <w:sz w:val="24"/>
                <w:szCs w:val="24"/>
              </w:rPr>
              <w:t>Capital Receipts</w:t>
            </w:r>
          </w:p>
          <w:p w14:paraId="00EF092E" w14:textId="77777777" w:rsidR="007F3A0D" w:rsidRPr="000D756E" w:rsidRDefault="007F3A0D" w:rsidP="002A7C01">
            <w:pPr>
              <w:rPr>
                <w:rFonts w:ascii="Arial" w:hAnsi="Arial" w:cs="Arial"/>
                <w:sz w:val="24"/>
                <w:szCs w:val="24"/>
              </w:rPr>
            </w:pPr>
            <w:r w:rsidRPr="000D756E">
              <w:rPr>
                <w:rFonts w:ascii="Arial" w:hAnsi="Arial" w:cs="Arial"/>
                <w:sz w:val="24"/>
                <w:szCs w:val="24"/>
              </w:rPr>
              <w:t>Money received from the sale of capital assets such as vehicles, which may be used to repay outstanding debt or finance new assets.</w:t>
            </w:r>
          </w:p>
          <w:p w14:paraId="6D3FDAA3" w14:textId="77777777" w:rsidR="00F5038D" w:rsidRPr="000D756E" w:rsidRDefault="00F5038D" w:rsidP="002A7C01">
            <w:pPr>
              <w:rPr>
                <w:rFonts w:ascii="Arial" w:hAnsi="Arial" w:cs="Arial"/>
                <w:sz w:val="24"/>
                <w:szCs w:val="24"/>
              </w:rPr>
            </w:pPr>
          </w:p>
        </w:tc>
      </w:tr>
      <w:tr w:rsidR="006329E6" w:rsidRPr="000D756E" w14:paraId="4CDE56EC" w14:textId="77777777" w:rsidTr="007F3A0D">
        <w:tc>
          <w:tcPr>
            <w:tcW w:w="9540" w:type="dxa"/>
          </w:tcPr>
          <w:p w14:paraId="14BBA2D2" w14:textId="77777777" w:rsidR="007F3A0D" w:rsidRPr="000D756E" w:rsidRDefault="007F3A0D" w:rsidP="002A7C01">
            <w:pPr>
              <w:rPr>
                <w:rFonts w:ascii="Arial" w:hAnsi="Arial" w:cs="Arial"/>
                <w:b/>
                <w:sz w:val="24"/>
                <w:szCs w:val="24"/>
              </w:rPr>
            </w:pPr>
            <w:r w:rsidRPr="000D756E">
              <w:rPr>
                <w:rFonts w:ascii="Arial" w:hAnsi="Arial" w:cs="Arial"/>
                <w:b/>
                <w:sz w:val="24"/>
                <w:szCs w:val="24"/>
              </w:rPr>
              <w:t>CIPFA</w:t>
            </w:r>
          </w:p>
          <w:p w14:paraId="7D6212B9" w14:textId="77777777" w:rsidR="00F5038D" w:rsidRPr="000D756E" w:rsidRDefault="007F3A0D" w:rsidP="002A7C01">
            <w:pPr>
              <w:rPr>
                <w:rFonts w:ascii="Arial" w:hAnsi="Arial" w:cs="Arial"/>
                <w:sz w:val="24"/>
                <w:szCs w:val="24"/>
              </w:rPr>
            </w:pPr>
            <w:r w:rsidRPr="000D756E">
              <w:rPr>
                <w:rFonts w:ascii="Arial" w:hAnsi="Arial" w:cs="Arial"/>
                <w:sz w:val="24"/>
                <w:szCs w:val="24"/>
              </w:rPr>
              <w:t>The Chartered Institute of Public Finance and Accountancy.</w:t>
            </w:r>
          </w:p>
          <w:p w14:paraId="36754B81" w14:textId="77777777" w:rsidR="00F5038D" w:rsidRPr="000D756E" w:rsidRDefault="00F5038D" w:rsidP="002A7C01">
            <w:pPr>
              <w:rPr>
                <w:rFonts w:ascii="Arial" w:hAnsi="Arial" w:cs="Arial"/>
                <w:sz w:val="24"/>
                <w:szCs w:val="24"/>
              </w:rPr>
            </w:pPr>
          </w:p>
        </w:tc>
      </w:tr>
      <w:tr w:rsidR="006329E6" w:rsidRPr="000D756E" w14:paraId="718F8A79" w14:textId="77777777" w:rsidTr="007F3A0D">
        <w:tc>
          <w:tcPr>
            <w:tcW w:w="9540" w:type="dxa"/>
          </w:tcPr>
          <w:p w14:paraId="08B98B62" w14:textId="77777777" w:rsidR="009B016F" w:rsidRPr="000D756E" w:rsidRDefault="009B016F" w:rsidP="002A7C01">
            <w:pPr>
              <w:rPr>
                <w:rFonts w:ascii="Arial" w:hAnsi="Arial" w:cs="Arial"/>
                <w:b/>
                <w:sz w:val="24"/>
                <w:szCs w:val="24"/>
              </w:rPr>
            </w:pPr>
            <w:r w:rsidRPr="000D756E">
              <w:rPr>
                <w:rFonts w:ascii="Arial" w:hAnsi="Arial" w:cs="Arial"/>
                <w:b/>
                <w:sz w:val="24"/>
                <w:szCs w:val="24"/>
              </w:rPr>
              <w:t>Capital Financing Requirement</w:t>
            </w:r>
          </w:p>
          <w:p w14:paraId="5124D471" w14:textId="77777777" w:rsidR="00F5038D" w:rsidRPr="000D756E" w:rsidRDefault="009B016F" w:rsidP="002A7C01">
            <w:pPr>
              <w:rPr>
                <w:rFonts w:ascii="Arial" w:hAnsi="Arial" w:cs="Arial"/>
                <w:sz w:val="24"/>
                <w:szCs w:val="24"/>
              </w:rPr>
            </w:pPr>
            <w:r w:rsidRPr="000D756E">
              <w:rPr>
                <w:rFonts w:ascii="Arial" w:hAnsi="Arial" w:cs="Arial"/>
                <w:sz w:val="24"/>
                <w:szCs w:val="24"/>
              </w:rPr>
              <w:t>This measures the underlying need to borrow to finance capital expenditure.</w:t>
            </w:r>
            <w:r w:rsidR="00F5038D" w:rsidRPr="000D756E">
              <w:rPr>
                <w:rFonts w:ascii="Arial" w:hAnsi="Arial" w:cs="Arial"/>
                <w:sz w:val="24"/>
                <w:szCs w:val="24"/>
              </w:rPr>
              <w:t xml:space="preserve"> </w:t>
            </w:r>
          </w:p>
          <w:p w14:paraId="0CF6C27A" w14:textId="77777777" w:rsidR="00F5038D" w:rsidRPr="000D756E" w:rsidRDefault="00F5038D" w:rsidP="002A7C01">
            <w:pPr>
              <w:rPr>
                <w:rFonts w:ascii="Arial" w:hAnsi="Arial" w:cs="Arial"/>
                <w:sz w:val="24"/>
                <w:szCs w:val="24"/>
              </w:rPr>
            </w:pPr>
          </w:p>
        </w:tc>
      </w:tr>
      <w:tr w:rsidR="006329E6" w:rsidRPr="000D756E" w14:paraId="504D93DE" w14:textId="77777777" w:rsidTr="007F3A0D">
        <w:tc>
          <w:tcPr>
            <w:tcW w:w="9540" w:type="dxa"/>
          </w:tcPr>
          <w:p w14:paraId="2AC04117" w14:textId="77777777" w:rsidR="009B016F" w:rsidRPr="000D756E" w:rsidRDefault="009B016F" w:rsidP="002A7C01">
            <w:pPr>
              <w:rPr>
                <w:rFonts w:ascii="Arial" w:hAnsi="Arial" w:cs="Arial"/>
                <w:b/>
                <w:sz w:val="24"/>
                <w:szCs w:val="24"/>
              </w:rPr>
            </w:pPr>
            <w:r w:rsidRPr="000D756E">
              <w:rPr>
                <w:rFonts w:ascii="Arial" w:hAnsi="Arial" w:cs="Arial"/>
                <w:b/>
                <w:sz w:val="24"/>
                <w:szCs w:val="24"/>
              </w:rPr>
              <w:t>Collection Fund Adjustment Account</w:t>
            </w:r>
          </w:p>
          <w:p w14:paraId="2C8DD005" w14:textId="77777777" w:rsidR="009B016F" w:rsidRPr="000D756E" w:rsidRDefault="009B016F" w:rsidP="002A7C01">
            <w:pPr>
              <w:rPr>
                <w:rFonts w:ascii="Arial" w:hAnsi="Arial" w:cs="Arial"/>
                <w:sz w:val="24"/>
                <w:szCs w:val="24"/>
              </w:rPr>
            </w:pPr>
            <w:r w:rsidRPr="000D756E">
              <w:rPr>
                <w:rFonts w:ascii="Arial" w:hAnsi="Arial" w:cs="Arial"/>
                <w:sz w:val="24"/>
                <w:szCs w:val="24"/>
              </w:rPr>
              <w:t>Provides a mechanism for recognising the Fire Authority’s share of the Collection Fund surplus / deficits at the end of the year.</w:t>
            </w:r>
          </w:p>
          <w:p w14:paraId="5772204A" w14:textId="77777777" w:rsidR="009B016F" w:rsidRPr="000D756E" w:rsidRDefault="009B016F" w:rsidP="002A7C01">
            <w:pPr>
              <w:rPr>
                <w:rFonts w:ascii="Arial" w:hAnsi="Arial" w:cs="Arial"/>
                <w:sz w:val="24"/>
                <w:szCs w:val="24"/>
              </w:rPr>
            </w:pPr>
          </w:p>
        </w:tc>
      </w:tr>
      <w:tr w:rsidR="006329E6" w:rsidRPr="000D756E" w14:paraId="46E53A3B" w14:textId="77777777" w:rsidTr="007F3A0D">
        <w:tc>
          <w:tcPr>
            <w:tcW w:w="9540" w:type="dxa"/>
          </w:tcPr>
          <w:p w14:paraId="4B2E9572" w14:textId="77777777" w:rsidR="009B016F" w:rsidRPr="000D756E" w:rsidRDefault="009B016F" w:rsidP="002A7C01">
            <w:pPr>
              <w:rPr>
                <w:rFonts w:ascii="Arial" w:hAnsi="Arial" w:cs="Arial"/>
                <w:b/>
                <w:sz w:val="24"/>
                <w:szCs w:val="24"/>
              </w:rPr>
            </w:pPr>
            <w:r w:rsidRPr="000D756E">
              <w:rPr>
                <w:rFonts w:ascii="Arial" w:hAnsi="Arial" w:cs="Arial"/>
                <w:b/>
                <w:sz w:val="24"/>
                <w:szCs w:val="24"/>
              </w:rPr>
              <w:t>Corporate and Democratic Core</w:t>
            </w:r>
          </w:p>
          <w:p w14:paraId="55282289" w14:textId="77777777" w:rsidR="009B016F" w:rsidRPr="000D756E" w:rsidRDefault="009B016F" w:rsidP="002A7C01">
            <w:pPr>
              <w:rPr>
                <w:rFonts w:ascii="Arial" w:hAnsi="Arial" w:cs="Arial"/>
                <w:sz w:val="24"/>
                <w:szCs w:val="24"/>
              </w:rPr>
            </w:pPr>
            <w:r w:rsidRPr="000D756E">
              <w:rPr>
                <w:rFonts w:ascii="Arial" w:hAnsi="Arial" w:cs="Arial"/>
                <w:sz w:val="24"/>
                <w:szCs w:val="24"/>
              </w:rPr>
              <w:t>Represents the costs of corporate policy making and member based activities. Other costs relate to the general running of the Fire Authority including corporate management and public accountability.</w:t>
            </w:r>
          </w:p>
          <w:p w14:paraId="7FC1BFBA" w14:textId="77777777" w:rsidR="009B016F" w:rsidRPr="000D756E" w:rsidRDefault="009B016F" w:rsidP="002A7C01">
            <w:pPr>
              <w:rPr>
                <w:rFonts w:ascii="Arial" w:hAnsi="Arial" w:cs="Arial"/>
                <w:sz w:val="24"/>
                <w:szCs w:val="24"/>
              </w:rPr>
            </w:pPr>
          </w:p>
        </w:tc>
      </w:tr>
      <w:tr w:rsidR="006329E6" w:rsidRPr="000D756E" w14:paraId="1AC9E47C" w14:textId="77777777" w:rsidTr="007F3A0D">
        <w:tc>
          <w:tcPr>
            <w:tcW w:w="9540" w:type="dxa"/>
          </w:tcPr>
          <w:p w14:paraId="62F7C66B" w14:textId="77777777" w:rsidR="009B016F" w:rsidRPr="000D756E" w:rsidRDefault="009B016F" w:rsidP="002A7C01">
            <w:pPr>
              <w:rPr>
                <w:rFonts w:ascii="Arial" w:hAnsi="Arial" w:cs="Arial"/>
                <w:b/>
                <w:sz w:val="24"/>
                <w:szCs w:val="24"/>
              </w:rPr>
            </w:pPr>
            <w:r w:rsidRPr="000D756E">
              <w:rPr>
                <w:rFonts w:ascii="Arial" w:hAnsi="Arial" w:cs="Arial"/>
                <w:b/>
                <w:sz w:val="24"/>
                <w:szCs w:val="24"/>
              </w:rPr>
              <w:t>Council Tax</w:t>
            </w:r>
          </w:p>
          <w:p w14:paraId="5683E0AB" w14:textId="77777777" w:rsidR="009B016F" w:rsidRPr="000D756E" w:rsidRDefault="009B016F" w:rsidP="002A7C01">
            <w:pPr>
              <w:rPr>
                <w:rFonts w:ascii="Arial" w:hAnsi="Arial" w:cs="Arial"/>
                <w:sz w:val="24"/>
                <w:szCs w:val="24"/>
              </w:rPr>
            </w:pPr>
            <w:r w:rsidRPr="000D756E">
              <w:rPr>
                <w:rFonts w:ascii="Arial" w:hAnsi="Arial" w:cs="Arial"/>
                <w:sz w:val="24"/>
                <w:szCs w:val="24"/>
              </w:rPr>
              <w:t>The means of raising money locally which pays for Fire Authority services. This is a property based tax where the amount levied is dependant on the valuation of each dwelling.</w:t>
            </w:r>
          </w:p>
          <w:p w14:paraId="1C4EEC3F" w14:textId="77777777" w:rsidR="009B016F" w:rsidRPr="000D756E" w:rsidRDefault="009B016F" w:rsidP="002A7C01">
            <w:pPr>
              <w:rPr>
                <w:rFonts w:ascii="Arial" w:hAnsi="Arial" w:cs="Arial"/>
                <w:sz w:val="24"/>
                <w:szCs w:val="24"/>
              </w:rPr>
            </w:pPr>
          </w:p>
        </w:tc>
      </w:tr>
      <w:tr w:rsidR="006329E6" w:rsidRPr="000D756E" w14:paraId="17182AEC" w14:textId="77777777" w:rsidTr="007F3A0D">
        <w:tc>
          <w:tcPr>
            <w:tcW w:w="9540" w:type="dxa"/>
          </w:tcPr>
          <w:p w14:paraId="4E4F3A58" w14:textId="77777777" w:rsidR="001B2976" w:rsidRPr="000D756E" w:rsidRDefault="00F5038D" w:rsidP="002A7C01">
            <w:pPr>
              <w:rPr>
                <w:rFonts w:ascii="Arial" w:hAnsi="Arial" w:cs="Arial"/>
                <w:b/>
                <w:sz w:val="24"/>
                <w:szCs w:val="24"/>
              </w:rPr>
            </w:pPr>
            <w:r w:rsidRPr="000D756E">
              <w:rPr>
                <w:rFonts w:ascii="Arial" w:hAnsi="Arial" w:cs="Arial"/>
                <w:b/>
                <w:sz w:val="24"/>
                <w:szCs w:val="24"/>
              </w:rPr>
              <w:t>Creditor</w:t>
            </w:r>
            <w:r w:rsidR="001B2976" w:rsidRPr="000D756E">
              <w:rPr>
                <w:rFonts w:ascii="Arial" w:hAnsi="Arial" w:cs="Arial"/>
                <w:b/>
                <w:sz w:val="24"/>
                <w:szCs w:val="24"/>
              </w:rPr>
              <w:t>s</w:t>
            </w:r>
          </w:p>
          <w:p w14:paraId="507E1EE1" w14:textId="77777777" w:rsidR="00F5038D" w:rsidRPr="000D756E" w:rsidRDefault="001B2976" w:rsidP="002A7C01">
            <w:pPr>
              <w:rPr>
                <w:rFonts w:ascii="Arial" w:hAnsi="Arial" w:cs="Arial"/>
                <w:sz w:val="24"/>
                <w:szCs w:val="24"/>
              </w:rPr>
            </w:pPr>
            <w:r w:rsidRPr="000D756E">
              <w:rPr>
                <w:rFonts w:ascii="Arial" w:hAnsi="Arial" w:cs="Arial"/>
                <w:sz w:val="24"/>
                <w:szCs w:val="24"/>
              </w:rPr>
              <w:t>A</w:t>
            </w:r>
            <w:r w:rsidR="00F5038D" w:rsidRPr="000D756E">
              <w:rPr>
                <w:rFonts w:ascii="Arial" w:hAnsi="Arial" w:cs="Arial"/>
                <w:sz w:val="24"/>
                <w:szCs w:val="24"/>
              </w:rPr>
              <w:t>mount owed by an organisation for work done, goods received, or services rendered to the organisation within the accounting period but for which payment has not been made.</w:t>
            </w:r>
          </w:p>
          <w:p w14:paraId="11738092" w14:textId="77777777" w:rsidR="00F5038D" w:rsidRPr="000D756E" w:rsidRDefault="00F5038D" w:rsidP="002A7C01">
            <w:pPr>
              <w:rPr>
                <w:rFonts w:ascii="Arial" w:hAnsi="Arial" w:cs="Arial"/>
                <w:sz w:val="24"/>
                <w:szCs w:val="24"/>
              </w:rPr>
            </w:pPr>
          </w:p>
        </w:tc>
      </w:tr>
      <w:tr w:rsidR="006329E6" w:rsidRPr="000D756E" w14:paraId="1B99B5DF" w14:textId="77777777" w:rsidTr="007F3A0D">
        <w:tc>
          <w:tcPr>
            <w:tcW w:w="9540" w:type="dxa"/>
          </w:tcPr>
          <w:p w14:paraId="153356F6" w14:textId="77777777" w:rsidR="001B2976" w:rsidRPr="000D756E" w:rsidRDefault="00F5038D" w:rsidP="002A7C01">
            <w:pPr>
              <w:rPr>
                <w:rFonts w:ascii="Arial" w:hAnsi="Arial" w:cs="Arial"/>
                <w:b/>
                <w:sz w:val="24"/>
                <w:szCs w:val="24"/>
              </w:rPr>
            </w:pPr>
            <w:r w:rsidRPr="000D756E">
              <w:rPr>
                <w:rFonts w:ascii="Arial" w:hAnsi="Arial" w:cs="Arial"/>
                <w:b/>
                <w:sz w:val="24"/>
                <w:szCs w:val="24"/>
              </w:rPr>
              <w:t>Current Asset</w:t>
            </w:r>
            <w:r w:rsidR="001B2976" w:rsidRPr="000D756E">
              <w:rPr>
                <w:rFonts w:ascii="Arial" w:hAnsi="Arial" w:cs="Arial"/>
                <w:b/>
                <w:sz w:val="24"/>
                <w:szCs w:val="24"/>
              </w:rPr>
              <w:t>s</w:t>
            </w:r>
          </w:p>
          <w:p w14:paraId="6D9BC9D2" w14:textId="77777777" w:rsidR="00F5038D" w:rsidRPr="000D756E" w:rsidRDefault="001B2976" w:rsidP="002A7C01">
            <w:pPr>
              <w:rPr>
                <w:rFonts w:ascii="Arial" w:hAnsi="Arial" w:cs="Arial"/>
                <w:sz w:val="24"/>
                <w:szCs w:val="24"/>
              </w:rPr>
            </w:pPr>
            <w:r w:rsidRPr="000D756E">
              <w:rPr>
                <w:rFonts w:ascii="Arial" w:hAnsi="Arial" w:cs="Arial"/>
                <w:sz w:val="24"/>
                <w:szCs w:val="24"/>
              </w:rPr>
              <w:t>Items from which the Fire Authority derives a benefit</w:t>
            </w:r>
            <w:r w:rsidR="00F5038D" w:rsidRPr="000D756E">
              <w:rPr>
                <w:rFonts w:ascii="Arial" w:hAnsi="Arial" w:cs="Arial"/>
                <w:sz w:val="24"/>
                <w:szCs w:val="24"/>
              </w:rPr>
              <w:t xml:space="preserve"> </w:t>
            </w:r>
            <w:r w:rsidRPr="000D756E">
              <w:rPr>
                <w:rFonts w:ascii="Arial" w:hAnsi="Arial" w:cs="Arial"/>
                <w:sz w:val="24"/>
                <w:szCs w:val="24"/>
              </w:rPr>
              <w:t>but which will be consumed or realised during the next accounting period, ie stocks, debtors, cash.</w:t>
            </w:r>
          </w:p>
          <w:p w14:paraId="0C9A6ECF" w14:textId="77777777" w:rsidR="00F5038D" w:rsidRPr="000D756E" w:rsidRDefault="00F5038D" w:rsidP="002A7C01">
            <w:pPr>
              <w:rPr>
                <w:rFonts w:ascii="Arial" w:hAnsi="Arial" w:cs="Arial"/>
                <w:sz w:val="24"/>
                <w:szCs w:val="24"/>
              </w:rPr>
            </w:pPr>
          </w:p>
        </w:tc>
      </w:tr>
      <w:tr w:rsidR="006329E6" w:rsidRPr="000D756E" w14:paraId="41D9E085" w14:textId="77777777" w:rsidTr="007F3A0D">
        <w:tc>
          <w:tcPr>
            <w:tcW w:w="9540" w:type="dxa"/>
          </w:tcPr>
          <w:p w14:paraId="72E2E81A" w14:textId="77777777" w:rsidR="002C7912" w:rsidRPr="000D756E" w:rsidRDefault="00F5038D" w:rsidP="002A7C01">
            <w:pPr>
              <w:rPr>
                <w:rFonts w:ascii="Arial" w:hAnsi="Arial" w:cs="Arial"/>
                <w:b/>
                <w:sz w:val="24"/>
                <w:szCs w:val="24"/>
              </w:rPr>
            </w:pPr>
            <w:r w:rsidRPr="000D756E">
              <w:rPr>
                <w:rFonts w:ascii="Arial" w:hAnsi="Arial" w:cs="Arial"/>
                <w:sz w:val="24"/>
                <w:szCs w:val="24"/>
              </w:rPr>
              <w:br w:type="page"/>
            </w:r>
            <w:r w:rsidRPr="000D756E">
              <w:rPr>
                <w:rFonts w:ascii="Arial" w:hAnsi="Arial" w:cs="Arial"/>
                <w:sz w:val="24"/>
                <w:szCs w:val="24"/>
              </w:rPr>
              <w:br w:type="page"/>
            </w:r>
            <w:r w:rsidRPr="000D756E">
              <w:rPr>
                <w:rFonts w:ascii="Arial" w:hAnsi="Arial" w:cs="Arial"/>
                <w:sz w:val="24"/>
                <w:szCs w:val="24"/>
              </w:rPr>
              <w:br w:type="page"/>
            </w:r>
            <w:r w:rsidRPr="000D756E">
              <w:rPr>
                <w:rFonts w:ascii="Arial" w:hAnsi="Arial" w:cs="Arial"/>
                <w:b/>
                <w:sz w:val="24"/>
                <w:szCs w:val="24"/>
              </w:rPr>
              <w:t>Current Liabilit</w:t>
            </w:r>
            <w:r w:rsidR="002C7912" w:rsidRPr="000D756E">
              <w:rPr>
                <w:rFonts w:ascii="Arial" w:hAnsi="Arial" w:cs="Arial"/>
                <w:b/>
                <w:sz w:val="24"/>
                <w:szCs w:val="24"/>
              </w:rPr>
              <w:t>ies</w:t>
            </w:r>
          </w:p>
          <w:p w14:paraId="059B76D4" w14:textId="77777777" w:rsidR="00F5038D" w:rsidRPr="000D756E" w:rsidRDefault="002C7912" w:rsidP="002A7C01">
            <w:pPr>
              <w:rPr>
                <w:rFonts w:ascii="Arial" w:hAnsi="Arial" w:cs="Arial"/>
                <w:sz w:val="24"/>
                <w:szCs w:val="24"/>
              </w:rPr>
            </w:pPr>
            <w:r w:rsidRPr="000D756E">
              <w:rPr>
                <w:rFonts w:ascii="Arial" w:hAnsi="Arial" w:cs="Arial"/>
                <w:sz w:val="24"/>
                <w:szCs w:val="24"/>
              </w:rPr>
              <w:t>A</w:t>
            </w:r>
            <w:r w:rsidR="00F5038D" w:rsidRPr="000D756E">
              <w:rPr>
                <w:rFonts w:ascii="Arial" w:hAnsi="Arial" w:cs="Arial"/>
                <w:sz w:val="24"/>
                <w:szCs w:val="24"/>
              </w:rPr>
              <w:t>mount</w:t>
            </w:r>
            <w:r w:rsidRPr="000D756E">
              <w:rPr>
                <w:rFonts w:ascii="Arial" w:hAnsi="Arial" w:cs="Arial"/>
                <w:sz w:val="24"/>
                <w:szCs w:val="24"/>
              </w:rPr>
              <w:t>s</w:t>
            </w:r>
            <w:r w:rsidR="00F5038D" w:rsidRPr="000D756E">
              <w:rPr>
                <w:rFonts w:ascii="Arial" w:hAnsi="Arial" w:cs="Arial"/>
                <w:sz w:val="24"/>
                <w:szCs w:val="24"/>
              </w:rPr>
              <w:t xml:space="preserve"> which will become payable in the next accounting period </w:t>
            </w:r>
            <w:r w:rsidRPr="000D756E">
              <w:rPr>
                <w:rFonts w:ascii="Arial" w:hAnsi="Arial" w:cs="Arial"/>
                <w:sz w:val="24"/>
                <w:szCs w:val="24"/>
              </w:rPr>
              <w:t>ie creditors.</w:t>
            </w:r>
          </w:p>
          <w:p w14:paraId="4D221BFA" w14:textId="77777777" w:rsidR="008F4B49" w:rsidRPr="000D756E" w:rsidRDefault="008F4B49" w:rsidP="002A7C01">
            <w:pPr>
              <w:rPr>
                <w:rFonts w:ascii="Arial" w:hAnsi="Arial" w:cs="Arial"/>
                <w:sz w:val="24"/>
                <w:szCs w:val="24"/>
              </w:rPr>
            </w:pPr>
          </w:p>
          <w:p w14:paraId="05EF2137" w14:textId="382A62EE" w:rsidR="008F4B49" w:rsidRPr="000D756E" w:rsidRDefault="008F4B49" w:rsidP="002A7C01">
            <w:pPr>
              <w:rPr>
                <w:rFonts w:ascii="Arial" w:hAnsi="Arial" w:cs="Arial"/>
                <w:sz w:val="24"/>
                <w:szCs w:val="24"/>
              </w:rPr>
            </w:pPr>
          </w:p>
        </w:tc>
      </w:tr>
      <w:tr w:rsidR="006329E6" w:rsidRPr="000D756E" w14:paraId="66662C65" w14:textId="77777777" w:rsidTr="007F3A0D">
        <w:tc>
          <w:tcPr>
            <w:tcW w:w="9540" w:type="dxa"/>
          </w:tcPr>
          <w:p w14:paraId="270F4026" w14:textId="77777777" w:rsidR="00F5038D" w:rsidRPr="000D756E" w:rsidRDefault="0041565A" w:rsidP="002A7C01">
            <w:pPr>
              <w:rPr>
                <w:rFonts w:ascii="Arial" w:hAnsi="Arial" w:cs="Arial"/>
                <w:b/>
                <w:sz w:val="24"/>
                <w:szCs w:val="24"/>
              </w:rPr>
            </w:pPr>
            <w:r w:rsidRPr="000D756E">
              <w:rPr>
                <w:rFonts w:ascii="Arial" w:hAnsi="Arial" w:cs="Arial"/>
                <w:b/>
                <w:sz w:val="24"/>
                <w:szCs w:val="24"/>
              </w:rPr>
              <w:lastRenderedPageBreak/>
              <w:t>Debtors</w:t>
            </w:r>
          </w:p>
          <w:p w14:paraId="0F1CB2FF" w14:textId="77777777" w:rsidR="0041565A" w:rsidRPr="000D756E" w:rsidRDefault="0041565A" w:rsidP="002A7C01">
            <w:pPr>
              <w:rPr>
                <w:rFonts w:ascii="Arial" w:hAnsi="Arial" w:cs="Arial"/>
                <w:sz w:val="24"/>
                <w:szCs w:val="24"/>
              </w:rPr>
            </w:pPr>
            <w:r w:rsidRPr="000D756E">
              <w:rPr>
                <w:rFonts w:ascii="Arial" w:hAnsi="Arial" w:cs="Arial"/>
                <w:sz w:val="24"/>
                <w:szCs w:val="24"/>
              </w:rPr>
              <w:t>Sums of money due to the Fire Authority for goods sold or services rendered but for which payment has not been received at the balance sheet date.</w:t>
            </w:r>
          </w:p>
          <w:p w14:paraId="5B0B9529" w14:textId="77777777" w:rsidR="0041565A" w:rsidRPr="000D756E" w:rsidRDefault="0041565A" w:rsidP="002A7C01">
            <w:pPr>
              <w:rPr>
                <w:rFonts w:ascii="Arial" w:hAnsi="Arial" w:cs="Arial"/>
                <w:sz w:val="24"/>
                <w:szCs w:val="24"/>
              </w:rPr>
            </w:pPr>
          </w:p>
        </w:tc>
      </w:tr>
      <w:tr w:rsidR="006329E6" w:rsidRPr="000D756E" w14:paraId="444BACB1" w14:textId="77777777" w:rsidTr="007F3A0D">
        <w:tc>
          <w:tcPr>
            <w:tcW w:w="9540" w:type="dxa"/>
          </w:tcPr>
          <w:p w14:paraId="78C20B1C" w14:textId="77777777" w:rsidR="00F5038D" w:rsidRPr="000D756E" w:rsidRDefault="00F5038D" w:rsidP="002A7C01">
            <w:pPr>
              <w:rPr>
                <w:rFonts w:ascii="Arial" w:hAnsi="Arial" w:cs="Arial"/>
                <w:sz w:val="24"/>
                <w:szCs w:val="24"/>
              </w:rPr>
            </w:pPr>
            <w:r w:rsidRPr="000D756E">
              <w:rPr>
                <w:rFonts w:ascii="Arial" w:hAnsi="Arial" w:cs="Arial"/>
                <w:b/>
                <w:sz w:val="24"/>
                <w:szCs w:val="24"/>
              </w:rPr>
              <w:t>Depreciation</w:t>
            </w:r>
            <w:r w:rsidRPr="000D756E">
              <w:rPr>
                <w:rFonts w:ascii="Arial" w:hAnsi="Arial" w:cs="Arial"/>
                <w:sz w:val="24"/>
                <w:szCs w:val="24"/>
              </w:rPr>
              <w:t xml:space="preserve"> – the measure of the wearing out, consumption, or other reduction in the useful economic life of a </w:t>
            </w:r>
            <w:r w:rsidR="0041565A" w:rsidRPr="000D756E">
              <w:rPr>
                <w:rFonts w:ascii="Arial" w:hAnsi="Arial" w:cs="Arial"/>
                <w:sz w:val="24"/>
                <w:szCs w:val="24"/>
              </w:rPr>
              <w:t xml:space="preserve">non current </w:t>
            </w:r>
            <w:r w:rsidRPr="000D756E">
              <w:rPr>
                <w:rFonts w:ascii="Arial" w:hAnsi="Arial" w:cs="Arial"/>
                <w:sz w:val="24"/>
                <w:szCs w:val="24"/>
              </w:rPr>
              <w:t xml:space="preserve">asset, whether arising from use, </w:t>
            </w:r>
            <w:r w:rsidR="0041565A" w:rsidRPr="000D756E">
              <w:rPr>
                <w:rFonts w:ascii="Arial" w:hAnsi="Arial" w:cs="Arial"/>
                <w:sz w:val="24"/>
                <w:szCs w:val="24"/>
              </w:rPr>
              <w:t>passage</w:t>
            </w:r>
            <w:r w:rsidRPr="000D756E">
              <w:rPr>
                <w:rFonts w:ascii="Arial" w:hAnsi="Arial" w:cs="Arial"/>
                <w:sz w:val="24"/>
                <w:szCs w:val="24"/>
              </w:rPr>
              <w:t xml:space="preserve"> of time or obsolescence through technological or other changes.</w:t>
            </w:r>
          </w:p>
          <w:p w14:paraId="47312B01" w14:textId="77777777" w:rsidR="00F5038D" w:rsidRPr="000D756E" w:rsidRDefault="00F5038D" w:rsidP="002A7C01">
            <w:pPr>
              <w:rPr>
                <w:rFonts w:ascii="Arial" w:hAnsi="Arial" w:cs="Arial"/>
                <w:sz w:val="24"/>
                <w:szCs w:val="24"/>
              </w:rPr>
            </w:pPr>
          </w:p>
        </w:tc>
      </w:tr>
      <w:tr w:rsidR="006329E6" w:rsidRPr="000D756E" w14:paraId="765637AE" w14:textId="77777777" w:rsidTr="007F3A0D">
        <w:tc>
          <w:tcPr>
            <w:tcW w:w="9540" w:type="dxa"/>
          </w:tcPr>
          <w:p w14:paraId="7187934D" w14:textId="77777777" w:rsidR="005F685F" w:rsidRPr="000D756E" w:rsidRDefault="005F685F" w:rsidP="002A7C01">
            <w:pPr>
              <w:rPr>
                <w:rFonts w:ascii="Arial" w:hAnsi="Arial" w:cs="Arial"/>
                <w:b/>
                <w:sz w:val="24"/>
                <w:szCs w:val="24"/>
              </w:rPr>
            </w:pPr>
            <w:r w:rsidRPr="000D756E">
              <w:rPr>
                <w:rFonts w:ascii="Arial" w:hAnsi="Arial" w:cs="Arial"/>
                <w:b/>
                <w:sz w:val="24"/>
                <w:szCs w:val="24"/>
              </w:rPr>
              <w:t>Government Grants</w:t>
            </w:r>
          </w:p>
          <w:p w14:paraId="792AF01F" w14:textId="77777777" w:rsidR="00F5038D" w:rsidRPr="000D756E" w:rsidRDefault="005F685F" w:rsidP="002A7C01">
            <w:pPr>
              <w:rPr>
                <w:rFonts w:ascii="Arial" w:hAnsi="Arial" w:cs="Arial"/>
                <w:sz w:val="24"/>
                <w:szCs w:val="24"/>
              </w:rPr>
            </w:pPr>
            <w:r w:rsidRPr="000D756E">
              <w:rPr>
                <w:rFonts w:ascii="Arial" w:hAnsi="Arial" w:cs="Arial"/>
                <w:sz w:val="24"/>
                <w:szCs w:val="24"/>
              </w:rPr>
              <w:t>Assistance by government in the form of cash or transfers of assets to authorities, in return for past or future compliance with certain conditions relating to the activities of the Fire Authority</w:t>
            </w:r>
            <w:r w:rsidR="005C1BC1" w:rsidRPr="000D756E">
              <w:rPr>
                <w:rFonts w:ascii="Arial" w:hAnsi="Arial" w:cs="Arial"/>
                <w:sz w:val="24"/>
                <w:szCs w:val="24"/>
              </w:rPr>
              <w:t>.</w:t>
            </w:r>
          </w:p>
          <w:p w14:paraId="7F4ADEE7" w14:textId="77777777" w:rsidR="00F5038D" w:rsidRPr="000D756E" w:rsidRDefault="00F5038D" w:rsidP="002A7C01">
            <w:pPr>
              <w:rPr>
                <w:rFonts w:ascii="Arial" w:hAnsi="Arial" w:cs="Arial"/>
                <w:sz w:val="24"/>
                <w:szCs w:val="24"/>
              </w:rPr>
            </w:pPr>
          </w:p>
        </w:tc>
      </w:tr>
      <w:tr w:rsidR="006329E6" w:rsidRPr="000D756E" w14:paraId="12D177DA" w14:textId="77777777" w:rsidTr="007F3A0D">
        <w:tc>
          <w:tcPr>
            <w:tcW w:w="9540" w:type="dxa"/>
          </w:tcPr>
          <w:p w14:paraId="64A3007A" w14:textId="77777777" w:rsidR="005F7D3A" w:rsidRPr="000D756E" w:rsidRDefault="005F7D3A" w:rsidP="002A7C01">
            <w:pPr>
              <w:rPr>
                <w:rFonts w:ascii="Arial" w:hAnsi="Arial" w:cs="Arial"/>
                <w:b/>
                <w:sz w:val="24"/>
                <w:szCs w:val="24"/>
              </w:rPr>
            </w:pPr>
            <w:r w:rsidRPr="000D756E">
              <w:rPr>
                <w:rFonts w:ascii="Arial" w:hAnsi="Arial" w:cs="Arial"/>
                <w:b/>
                <w:sz w:val="24"/>
                <w:szCs w:val="24"/>
              </w:rPr>
              <w:t>Heritage Assets</w:t>
            </w:r>
          </w:p>
          <w:p w14:paraId="5C56224F" w14:textId="77777777" w:rsidR="00740ACF" w:rsidRPr="000D756E" w:rsidRDefault="005F7D3A" w:rsidP="002A7C01">
            <w:pPr>
              <w:rPr>
                <w:rFonts w:ascii="Arial" w:hAnsi="Arial" w:cs="Arial"/>
                <w:sz w:val="24"/>
                <w:szCs w:val="24"/>
              </w:rPr>
            </w:pPr>
            <w:r w:rsidRPr="000D756E">
              <w:rPr>
                <w:rFonts w:ascii="Arial" w:hAnsi="Arial" w:cs="Arial"/>
                <w:sz w:val="24"/>
                <w:szCs w:val="24"/>
              </w:rPr>
              <w:t>Assets preserved in trust for future generations because of their cultural, environmental or historical associations, which have historical, artistic, scientific or environmental qualities, and which are held and maintained by the Fire Authority principally for the contribution to knowledge and culture</w:t>
            </w:r>
            <w:r w:rsidR="005C1BC1" w:rsidRPr="000D756E">
              <w:rPr>
                <w:rFonts w:ascii="Arial" w:hAnsi="Arial" w:cs="Arial"/>
                <w:sz w:val="24"/>
                <w:szCs w:val="24"/>
              </w:rPr>
              <w:t>.</w:t>
            </w:r>
          </w:p>
          <w:p w14:paraId="6F6F104E" w14:textId="77777777" w:rsidR="00F5038D" w:rsidRPr="000D756E" w:rsidRDefault="00F5038D" w:rsidP="002A7C01">
            <w:pPr>
              <w:rPr>
                <w:rFonts w:ascii="Arial" w:hAnsi="Arial" w:cs="Arial"/>
                <w:sz w:val="24"/>
                <w:szCs w:val="24"/>
              </w:rPr>
            </w:pPr>
          </w:p>
        </w:tc>
      </w:tr>
      <w:tr w:rsidR="006329E6" w:rsidRPr="000D756E" w14:paraId="10C07EC4" w14:textId="77777777" w:rsidTr="007F3A0D">
        <w:tc>
          <w:tcPr>
            <w:tcW w:w="9540" w:type="dxa"/>
          </w:tcPr>
          <w:p w14:paraId="08EF8EE3" w14:textId="77777777" w:rsidR="00322F76" w:rsidRPr="000D756E" w:rsidRDefault="00322F76" w:rsidP="002A7C01">
            <w:pPr>
              <w:rPr>
                <w:rFonts w:ascii="Arial" w:hAnsi="Arial" w:cs="Arial"/>
                <w:b/>
                <w:sz w:val="24"/>
                <w:szCs w:val="24"/>
              </w:rPr>
            </w:pPr>
            <w:r w:rsidRPr="000D756E">
              <w:rPr>
                <w:rFonts w:ascii="Arial" w:hAnsi="Arial" w:cs="Arial"/>
                <w:b/>
                <w:sz w:val="24"/>
                <w:szCs w:val="24"/>
              </w:rPr>
              <w:t>Home Office</w:t>
            </w:r>
          </w:p>
          <w:p w14:paraId="69493FC7" w14:textId="77777777" w:rsidR="00322F76" w:rsidRPr="000D756E" w:rsidRDefault="00322F76" w:rsidP="002A7C01">
            <w:pPr>
              <w:rPr>
                <w:rFonts w:ascii="Arial" w:hAnsi="Arial" w:cs="Arial"/>
                <w:sz w:val="24"/>
                <w:szCs w:val="24"/>
              </w:rPr>
            </w:pPr>
            <w:r w:rsidRPr="000D756E">
              <w:rPr>
                <w:rFonts w:ascii="Arial" w:hAnsi="Arial" w:cs="Arial"/>
                <w:sz w:val="24"/>
                <w:szCs w:val="24"/>
              </w:rPr>
              <w:t>The Government department with responsibility for the Fire and Rescue Service from 5 January 2016.</w:t>
            </w:r>
          </w:p>
          <w:p w14:paraId="3A20A0AA" w14:textId="77777777" w:rsidR="00322F76" w:rsidRPr="000D756E" w:rsidRDefault="00322F76" w:rsidP="002A7C01">
            <w:pPr>
              <w:rPr>
                <w:rFonts w:ascii="Arial" w:hAnsi="Arial" w:cs="Arial"/>
                <w:sz w:val="24"/>
                <w:szCs w:val="24"/>
              </w:rPr>
            </w:pPr>
          </w:p>
        </w:tc>
      </w:tr>
      <w:tr w:rsidR="006329E6" w:rsidRPr="000D756E" w14:paraId="2F3297AA" w14:textId="77777777" w:rsidTr="007F3A0D">
        <w:tc>
          <w:tcPr>
            <w:tcW w:w="9540" w:type="dxa"/>
          </w:tcPr>
          <w:p w14:paraId="43CBD2FC" w14:textId="77777777" w:rsidR="00266CAF" w:rsidRPr="000D756E" w:rsidRDefault="00266CAF" w:rsidP="002A7C01">
            <w:pPr>
              <w:rPr>
                <w:rFonts w:ascii="Arial" w:hAnsi="Arial" w:cs="Arial"/>
                <w:b/>
                <w:sz w:val="24"/>
                <w:szCs w:val="24"/>
              </w:rPr>
            </w:pPr>
            <w:r w:rsidRPr="000D756E">
              <w:rPr>
                <w:rFonts w:ascii="Arial" w:hAnsi="Arial" w:cs="Arial"/>
                <w:b/>
                <w:sz w:val="24"/>
                <w:szCs w:val="24"/>
              </w:rPr>
              <w:t>Impairment</w:t>
            </w:r>
          </w:p>
          <w:p w14:paraId="7D69E6B5" w14:textId="77777777" w:rsidR="00266CAF" w:rsidRPr="000D756E" w:rsidRDefault="00266CAF" w:rsidP="002A7C01">
            <w:pPr>
              <w:rPr>
                <w:rFonts w:ascii="Arial" w:hAnsi="Arial" w:cs="Arial"/>
                <w:sz w:val="24"/>
                <w:szCs w:val="24"/>
              </w:rPr>
            </w:pPr>
            <w:r w:rsidRPr="000D756E">
              <w:rPr>
                <w:rFonts w:ascii="Arial" w:hAnsi="Arial" w:cs="Arial"/>
                <w:sz w:val="24"/>
                <w:szCs w:val="24"/>
              </w:rPr>
              <w:t xml:space="preserve">A reduction in the value of a non current asset below its carrying amount on the balance sheet. </w:t>
            </w:r>
            <w:r w:rsidR="00F5038D" w:rsidRPr="000D756E">
              <w:rPr>
                <w:rFonts w:ascii="Arial" w:hAnsi="Arial" w:cs="Arial"/>
                <w:sz w:val="24"/>
                <w:szCs w:val="24"/>
              </w:rPr>
              <w:t xml:space="preserve"> </w:t>
            </w:r>
          </w:p>
          <w:p w14:paraId="62C4B3CC" w14:textId="77777777" w:rsidR="00F5038D" w:rsidRPr="000D756E" w:rsidRDefault="00F5038D" w:rsidP="002A7C01">
            <w:pPr>
              <w:rPr>
                <w:rFonts w:ascii="Arial" w:hAnsi="Arial" w:cs="Arial"/>
                <w:sz w:val="24"/>
                <w:szCs w:val="24"/>
              </w:rPr>
            </w:pPr>
          </w:p>
        </w:tc>
      </w:tr>
      <w:tr w:rsidR="006329E6" w:rsidRPr="000D756E" w14:paraId="0360E421" w14:textId="77777777" w:rsidTr="007F3A0D">
        <w:tc>
          <w:tcPr>
            <w:tcW w:w="9540" w:type="dxa"/>
          </w:tcPr>
          <w:p w14:paraId="42F12694" w14:textId="77777777" w:rsidR="00266CAF" w:rsidRPr="000D756E" w:rsidRDefault="00266CAF" w:rsidP="002A7C01">
            <w:pPr>
              <w:rPr>
                <w:rFonts w:ascii="Arial" w:hAnsi="Arial" w:cs="Arial"/>
                <w:b/>
                <w:sz w:val="24"/>
                <w:szCs w:val="24"/>
              </w:rPr>
            </w:pPr>
            <w:r w:rsidRPr="000D756E">
              <w:rPr>
                <w:rFonts w:ascii="Arial" w:hAnsi="Arial" w:cs="Arial"/>
                <w:b/>
                <w:sz w:val="24"/>
                <w:szCs w:val="24"/>
              </w:rPr>
              <w:t>International Accounting Standards (IAS)</w:t>
            </w:r>
          </w:p>
          <w:p w14:paraId="3861E318" w14:textId="77777777" w:rsidR="00266CAF" w:rsidRPr="000D756E" w:rsidRDefault="00266CAF" w:rsidP="002A7C01">
            <w:pPr>
              <w:rPr>
                <w:rFonts w:ascii="Arial" w:hAnsi="Arial" w:cs="Arial"/>
                <w:b/>
                <w:sz w:val="24"/>
                <w:szCs w:val="24"/>
              </w:rPr>
            </w:pPr>
            <w:r w:rsidRPr="000D756E">
              <w:rPr>
                <w:rFonts w:ascii="Arial" w:hAnsi="Arial" w:cs="Arial"/>
                <w:b/>
                <w:sz w:val="24"/>
                <w:szCs w:val="24"/>
              </w:rPr>
              <w:t>International Financial Accounting Standards (IFRS)</w:t>
            </w:r>
          </w:p>
          <w:p w14:paraId="1E51D5B4" w14:textId="77777777" w:rsidR="00F5038D" w:rsidRPr="000D756E" w:rsidRDefault="00266CAF" w:rsidP="002A7C01">
            <w:pPr>
              <w:rPr>
                <w:rFonts w:ascii="Arial" w:hAnsi="Arial" w:cs="Arial"/>
                <w:sz w:val="24"/>
                <w:szCs w:val="24"/>
              </w:rPr>
            </w:pPr>
            <w:r w:rsidRPr="000D756E">
              <w:rPr>
                <w:rFonts w:ascii="Arial" w:hAnsi="Arial" w:cs="Arial"/>
                <w:sz w:val="24"/>
                <w:szCs w:val="24"/>
              </w:rPr>
              <w:t>The framework of standards within which the financial statements are prepared.</w:t>
            </w:r>
          </w:p>
          <w:p w14:paraId="448026E4" w14:textId="77777777" w:rsidR="00F5038D" w:rsidRPr="000D756E" w:rsidRDefault="00F5038D" w:rsidP="002A7C01">
            <w:pPr>
              <w:rPr>
                <w:rFonts w:ascii="Arial" w:hAnsi="Arial" w:cs="Arial"/>
                <w:sz w:val="24"/>
                <w:szCs w:val="24"/>
              </w:rPr>
            </w:pPr>
          </w:p>
        </w:tc>
      </w:tr>
      <w:tr w:rsidR="006329E6" w:rsidRPr="000D756E" w14:paraId="12671E48" w14:textId="77777777" w:rsidTr="007F3A0D">
        <w:tc>
          <w:tcPr>
            <w:tcW w:w="9540" w:type="dxa"/>
          </w:tcPr>
          <w:p w14:paraId="371C7DA9" w14:textId="77777777" w:rsidR="00266CAF" w:rsidRPr="000D756E" w:rsidRDefault="00266CAF" w:rsidP="002A7C01">
            <w:pPr>
              <w:rPr>
                <w:rFonts w:ascii="Arial" w:hAnsi="Arial" w:cs="Arial"/>
                <w:b/>
                <w:sz w:val="24"/>
                <w:szCs w:val="24"/>
              </w:rPr>
            </w:pPr>
            <w:r w:rsidRPr="000D756E">
              <w:rPr>
                <w:rFonts w:ascii="Arial" w:hAnsi="Arial" w:cs="Arial"/>
                <w:b/>
                <w:sz w:val="24"/>
                <w:szCs w:val="24"/>
              </w:rPr>
              <w:t>Long Term Borrowing</w:t>
            </w:r>
          </w:p>
          <w:p w14:paraId="5B0D94A9" w14:textId="77777777" w:rsidR="00F5038D" w:rsidRPr="000D756E" w:rsidRDefault="00266CAF" w:rsidP="002A7C01">
            <w:pPr>
              <w:rPr>
                <w:rFonts w:ascii="Arial" w:hAnsi="Arial" w:cs="Arial"/>
                <w:sz w:val="24"/>
                <w:szCs w:val="24"/>
              </w:rPr>
            </w:pPr>
            <w:r w:rsidRPr="000D756E">
              <w:rPr>
                <w:rFonts w:ascii="Arial" w:hAnsi="Arial" w:cs="Arial"/>
                <w:sz w:val="24"/>
                <w:szCs w:val="24"/>
              </w:rPr>
              <w:t>Loans that are raised with external bodies, for periods of more than one year.</w:t>
            </w:r>
            <w:r w:rsidR="00F5038D" w:rsidRPr="000D756E">
              <w:rPr>
                <w:rFonts w:ascii="Arial" w:hAnsi="Arial" w:cs="Arial"/>
                <w:sz w:val="24"/>
                <w:szCs w:val="24"/>
              </w:rPr>
              <w:t xml:space="preserve"> </w:t>
            </w:r>
          </w:p>
          <w:p w14:paraId="330CF030" w14:textId="77777777" w:rsidR="00F5038D" w:rsidRPr="000D756E" w:rsidRDefault="00F5038D" w:rsidP="002A7C01">
            <w:pPr>
              <w:rPr>
                <w:rFonts w:ascii="Arial" w:hAnsi="Arial" w:cs="Arial"/>
                <w:sz w:val="24"/>
                <w:szCs w:val="24"/>
              </w:rPr>
            </w:pPr>
          </w:p>
        </w:tc>
      </w:tr>
      <w:tr w:rsidR="006329E6" w:rsidRPr="000D756E" w14:paraId="5EAFB0DC" w14:textId="77777777" w:rsidTr="007F3A0D">
        <w:tc>
          <w:tcPr>
            <w:tcW w:w="9540" w:type="dxa"/>
          </w:tcPr>
          <w:p w14:paraId="19017684" w14:textId="77777777" w:rsidR="00E76171" w:rsidRPr="000D756E" w:rsidRDefault="00E76171" w:rsidP="002A7C01">
            <w:pPr>
              <w:rPr>
                <w:rFonts w:ascii="Arial" w:hAnsi="Arial" w:cs="Arial"/>
                <w:b/>
                <w:sz w:val="24"/>
                <w:szCs w:val="24"/>
              </w:rPr>
            </w:pPr>
            <w:r w:rsidRPr="000D756E">
              <w:rPr>
                <w:rFonts w:ascii="Arial" w:hAnsi="Arial" w:cs="Arial"/>
                <w:b/>
                <w:sz w:val="24"/>
                <w:szCs w:val="24"/>
              </w:rPr>
              <w:t>Minimum Revenue Provision (MRP)</w:t>
            </w:r>
          </w:p>
          <w:p w14:paraId="682C6EEE" w14:textId="77777777" w:rsidR="00F5038D" w:rsidRPr="000D756E" w:rsidRDefault="00E76171" w:rsidP="002A7C01">
            <w:pPr>
              <w:rPr>
                <w:rFonts w:ascii="Arial" w:hAnsi="Arial" w:cs="Arial"/>
                <w:sz w:val="24"/>
                <w:szCs w:val="24"/>
              </w:rPr>
            </w:pPr>
            <w:r w:rsidRPr="000D756E">
              <w:rPr>
                <w:rFonts w:ascii="Arial" w:hAnsi="Arial" w:cs="Arial"/>
                <w:sz w:val="24"/>
                <w:szCs w:val="24"/>
              </w:rPr>
              <w:t>The minimum amount which must be charged to the revenue account each year to set aside for provision for credit liabilities, previously 4% of the capital financing requirement</w:t>
            </w:r>
            <w:r w:rsidR="005C1BC1" w:rsidRPr="000D756E">
              <w:rPr>
                <w:rFonts w:ascii="Arial" w:hAnsi="Arial" w:cs="Arial"/>
                <w:sz w:val="24"/>
                <w:szCs w:val="24"/>
              </w:rPr>
              <w:t>.</w:t>
            </w:r>
          </w:p>
          <w:p w14:paraId="0BA89D85" w14:textId="77777777" w:rsidR="00F5038D" w:rsidRPr="000D756E" w:rsidRDefault="00F5038D" w:rsidP="002A7C01">
            <w:pPr>
              <w:rPr>
                <w:rFonts w:ascii="Arial" w:hAnsi="Arial" w:cs="Arial"/>
                <w:sz w:val="24"/>
                <w:szCs w:val="24"/>
              </w:rPr>
            </w:pPr>
          </w:p>
        </w:tc>
      </w:tr>
      <w:tr w:rsidR="006329E6" w:rsidRPr="000D756E" w14:paraId="7B3A9050" w14:textId="77777777" w:rsidTr="007F3A0D">
        <w:tc>
          <w:tcPr>
            <w:tcW w:w="9540" w:type="dxa"/>
          </w:tcPr>
          <w:p w14:paraId="1520D4F2" w14:textId="77777777" w:rsidR="00F5038D" w:rsidRPr="000D756E" w:rsidRDefault="00E76171" w:rsidP="002A7C01">
            <w:pPr>
              <w:rPr>
                <w:rFonts w:ascii="Arial" w:hAnsi="Arial" w:cs="Arial"/>
                <w:b/>
                <w:sz w:val="24"/>
                <w:szCs w:val="24"/>
              </w:rPr>
            </w:pPr>
            <w:r w:rsidRPr="000D756E">
              <w:rPr>
                <w:rFonts w:ascii="Arial" w:hAnsi="Arial" w:cs="Arial"/>
                <w:b/>
                <w:sz w:val="24"/>
                <w:szCs w:val="24"/>
              </w:rPr>
              <w:t>Non Current Assets</w:t>
            </w:r>
          </w:p>
          <w:p w14:paraId="27960668" w14:textId="77777777" w:rsidR="00E76171" w:rsidRPr="000D756E" w:rsidRDefault="005C1BC1" w:rsidP="002A7C01">
            <w:pPr>
              <w:rPr>
                <w:rFonts w:ascii="Arial" w:hAnsi="Arial" w:cs="Arial"/>
                <w:sz w:val="24"/>
                <w:szCs w:val="24"/>
              </w:rPr>
            </w:pPr>
            <w:r w:rsidRPr="000D756E">
              <w:rPr>
                <w:rFonts w:ascii="Arial" w:hAnsi="Arial" w:cs="Arial"/>
                <w:sz w:val="24"/>
                <w:szCs w:val="24"/>
              </w:rPr>
              <w:t>A</w:t>
            </w:r>
            <w:r w:rsidR="00E76171" w:rsidRPr="000D756E">
              <w:rPr>
                <w:rFonts w:ascii="Arial" w:hAnsi="Arial" w:cs="Arial"/>
                <w:sz w:val="24"/>
                <w:szCs w:val="24"/>
              </w:rPr>
              <w:t>ssets that yield benefits to the Fire Authority and the services it provides for a period of more than one year.</w:t>
            </w:r>
          </w:p>
          <w:p w14:paraId="418089FD" w14:textId="77777777" w:rsidR="00F5038D" w:rsidRPr="000D756E" w:rsidRDefault="00F5038D" w:rsidP="002A7C01">
            <w:pPr>
              <w:rPr>
                <w:rFonts w:ascii="Arial" w:hAnsi="Arial" w:cs="Arial"/>
                <w:sz w:val="24"/>
                <w:szCs w:val="24"/>
              </w:rPr>
            </w:pPr>
          </w:p>
        </w:tc>
      </w:tr>
      <w:tr w:rsidR="006329E6" w:rsidRPr="000D756E" w14:paraId="37047F1D" w14:textId="77777777" w:rsidTr="007F3A0D">
        <w:tc>
          <w:tcPr>
            <w:tcW w:w="9540" w:type="dxa"/>
          </w:tcPr>
          <w:p w14:paraId="351E4495" w14:textId="77777777" w:rsidR="006463FD" w:rsidRPr="000D756E" w:rsidRDefault="00F5038D" w:rsidP="002A7C01">
            <w:pPr>
              <w:pStyle w:val="Heading3"/>
              <w:rPr>
                <w:rFonts w:ascii="Arial" w:hAnsi="Arial" w:cs="Arial"/>
                <w:sz w:val="24"/>
                <w:szCs w:val="24"/>
              </w:rPr>
            </w:pPr>
            <w:r w:rsidRPr="000D756E">
              <w:rPr>
                <w:rFonts w:ascii="Arial" w:hAnsi="Arial" w:cs="Arial"/>
                <w:sz w:val="24"/>
                <w:szCs w:val="24"/>
              </w:rPr>
              <w:t>Operational Assets</w:t>
            </w:r>
          </w:p>
          <w:p w14:paraId="6539E9D5" w14:textId="77777777" w:rsidR="00F5038D" w:rsidRPr="000D756E" w:rsidRDefault="006463FD" w:rsidP="002A7C01">
            <w:pPr>
              <w:pStyle w:val="Heading3"/>
              <w:rPr>
                <w:rFonts w:ascii="Arial" w:hAnsi="Arial" w:cs="Arial"/>
                <w:b w:val="0"/>
                <w:sz w:val="24"/>
                <w:szCs w:val="24"/>
              </w:rPr>
            </w:pPr>
            <w:r w:rsidRPr="000D756E">
              <w:rPr>
                <w:rFonts w:ascii="Arial" w:hAnsi="Arial" w:cs="Arial"/>
                <w:b w:val="0"/>
                <w:sz w:val="24"/>
                <w:szCs w:val="24"/>
              </w:rPr>
              <w:t>Non current</w:t>
            </w:r>
            <w:r w:rsidRPr="000D756E">
              <w:rPr>
                <w:rFonts w:ascii="Arial" w:hAnsi="Arial" w:cs="Arial"/>
                <w:sz w:val="24"/>
                <w:szCs w:val="24"/>
              </w:rPr>
              <w:t xml:space="preserve"> </w:t>
            </w:r>
            <w:r w:rsidRPr="000D756E">
              <w:rPr>
                <w:rFonts w:ascii="Arial" w:hAnsi="Arial" w:cs="Arial"/>
                <w:b w:val="0"/>
                <w:sz w:val="24"/>
                <w:szCs w:val="24"/>
              </w:rPr>
              <w:t>a</w:t>
            </w:r>
            <w:r w:rsidR="00F5038D" w:rsidRPr="000D756E">
              <w:rPr>
                <w:rFonts w:ascii="Arial" w:hAnsi="Arial" w:cs="Arial"/>
                <w:b w:val="0"/>
                <w:sz w:val="24"/>
                <w:szCs w:val="24"/>
              </w:rPr>
              <w:t xml:space="preserve">ssets held and occupied, used or consumed by the </w:t>
            </w:r>
            <w:r w:rsidRPr="000D756E">
              <w:rPr>
                <w:rFonts w:ascii="Arial" w:hAnsi="Arial" w:cs="Arial"/>
                <w:b w:val="0"/>
                <w:sz w:val="24"/>
                <w:szCs w:val="24"/>
              </w:rPr>
              <w:t xml:space="preserve">Fire </w:t>
            </w:r>
            <w:r w:rsidR="00F5038D" w:rsidRPr="000D756E">
              <w:rPr>
                <w:rFonts w:ascii="Arial" w:hAnsi="Arial" w:cs="Arial"/>
                <w:b w:val="0"/>
                <w:sz w:val="24"/>
                <w:szCs w:val="24"/>
              </w:rPr>
              <w:t>Authority in the direct delivery of those services for which it has either a statutory or discretionary responsibility.</w:t>
            </w:r>
          </w:p>
          <w:p w14:paraId="79CC8B2F" w14:textId="77777777" w:rsidR="00F5038D" w:rsidRPr="000D756E" w:rsidRDefault="00F5038D" w:rsidP="002A7C01">
            <w:pPr>
              <w:rPr>
                <w:rFonts w:ascii="Arial" w:hAnsi="Arial" w:cs="Arial"/>
                <w:sz w:val="24"/>
                <w:szCs w:val="24"/>
              </w:rPr>
            </w:pPr>
          </w:p>
        </w:tc>
      </w:tr>
      <w:tr w:rsidR="006329E6" w:rsidRPr="000D756E" w14:paraId="1E070A17" w14:textId="77777777" w:rsidTr="007F3A0D">
        <w:tc>
          <w:tcPr>
            <w:tcW w:w="9540" w:type="dxa"/>
          </w:tcPr>
          <w:p w14:paraId="428D4AE2" w14:textId="77777777" w:rsidR="00322F76" w:rsidRPr="000D756E" w:rsidRDefault="00322F76" w:rsidP="002A7C01">
            <w:pPr>
              <w:rPr>
                <w:rFonts w:ascii="Arial" w:hAnsi="Arial" w:cs="Arial"/>
                <w:b/>
                <w:sz w:val="24"/>
                <w:szCs w:val="24"/>
              </w:rPr>
            </w:pPr>
            <w:r w:rsidRPr="000D756E">
              <w:rPr>
                <w:rFonts w:ascii="Arial" w:hAnsi="Arial" w:cs="Arial"/>
                <w:b/>
                <w:sz w:val="24"/>
                <w:szCs w:val="24"/>
              </w:rPr>
              <w:t>PCC</w:t>
            </w:r>
          </w:p>
          <w:p w14:paraId="417EA7A7" w14:textId="77777777" w:rsidR="00322F76" w:rsidRPr="000D756E" w:rsidRDefault="00322F76" w:rsidP="002A7C01">
            <w:pPr>
              <w:rPr>
                <w:rFonts w:ascii="Arial" w:hAnsi="Arial" w:cs="Arial"/>
                <w:sz w:val="24"/>
                <w:szCs w:val="24"/>
              </w:rPr>
            </w:pPr>
            <w:r w:rsidRPr="000D756E">
              <w:rPr>
                <w:rFonts w:ascii="Arial" w:hAnsi="Arial" w:cs="Arial"/>
                <w:sz w:val="24"/>
                <w:szCs w:val="24"/>
              </w:rPr>
              <w:t xml:space="preserve">The Police and Crime Commissioner – this is a directly elected role which oversees policing and ensures that police forces are effective. The Police and Crime Act 2017 </w:t>
            </w:r>
            <w:r w:rsidRPr="000D756E">
              <w:rPr>
                <w:rFonts w:ascii="Arial" w:hAnsi="Arial" w:cs="Arial"/>
                <w:sz w:val="24"/>
                <w:szCs w:val="24"/>
              </w:rPr>
              <w:lastRenderedPageBreak/>
              <w:t>now enables the PCC to take on responsibility for Fire and Rescue Services where a local case is made.</w:t>
            </w:r>
          </w:p>
          <w:p w14:paraId="32F28C8F" w14:textId="77777777" w:rsidR="00322F76" w:rsidRPr="000D756E" w:rsidRDefault="00322F76" w:rsidP="002A7C01">
            <w:pPr>
              <w:rPr>
                <w:rFonts w:ascii="Arial" w:hAnsi="Arial" w:cs="Arial"/>
                <w:sz w:val="24"/>
                <w:szCs w:val="24"/>
              </w:rPr>
            </w:pPr>
          </w:p>
        </w:tc>
      </w:tr>
      <w:tr w:rsidR="006329E6" w:rsidRPr="000D756E" w14:paraId="704E3D0B" w14:textId="77777777" w:rsidTr="007F3A0D">
        <w:tc>
          <w:tcPr>
            <w:tcW w:w="9540" w:type="dxa"/>
          </w:tcPr>
          <w:p w14:paraId="0F1ADA6B" w14:textId="77777777" w:rsidR="000A7AC6" w:rsidRPr="000D756E" w:rsidRDefault="000A7AC6" w:rsidP="002A7C01">
            <w:pPr>
              <w:rPr>
                <w:rFonts w:ascii="Arial" w:hAnsi="Arial" w:cs="Arial"/>
                <w:b/>
                <w:sz w:val="24"/>
                <w:szCs w:val="24"/>
              </w:rPr>
            </w:pPr>
            <w:r w:rsidRPr="000D756E">
              <w:rPr>
                <w:rFonts w:ascii="Arial" w:hAnsi="Arial" w:cs="Arial"/>
                <w:b/>
                <w:sz w:val="24"/>
                <w:szCs w:val="24"/>
              </w:rPr>
              <w:lastRenderedPageBreak/>
              <w:t>Revaluation Reserve</w:t>
            </w:r>
          </w:p>
          <w:p w14:paraId="1439E7FB" w14:textId="77777777" w:rsidR="00F5038D" w:rsidRPr="000D756E" w:rsidRDefault="000A7AC6" w:rsidP="002A7C01">
            <w:pPr>
              <w:rPr>
                <w:rFonts w:ascii="Arial" w:hAnsi="Arial" w:cs="Arial"/>
                <w:sz w:val="24"/>
                <w:szCs w:val="24"/>
              </w:rPr>
            </w:pPr>
            <w:r w:rsidRPr="000D756E">
              <w:rPr>
                <w:rFonts w:ascii="Arial" w:hAnsi="Arial" w:cs="Arial"/>
                <w:sz w:val="24"/>
                <w:szCs w:val="24"/>
              </w:rPr>
              <w:t>Contains revaluation gains recognised since 1 April 2007 only, the date of its formal implementation.</w:t>
            </w:r>
          </w:p>
          <w:p w14:paraId="0C854900" w14:textId="77777777" w:rsidR="000A7AC6" w:rsidRPr="000D756E" w:rsidRDefault="000A7AC6" w:rsidP="002A7C01">
            <w:pPr>
              <w:rPr>
                <w:rFonts w:ascii="Arial" w:hAnsi="Arial" w:cs="Arial"/>
                <w:sz w:val="24"/>
                <w:szCs w:val="24"/>
              </w:rPr>
            </w:pPr>
          </w:p>
        </w:tc>
      </w:tr>
      <w:tr w:rsidR="006329E6" w:rsidRPr="000D756E" w14:paraId="07C33BB4" w14:textId="77777777" w:rsidTr="007F3A0D">
        <w:tc>
          <w:tcPr>
            <w:tcW w:w="9540" w:type="dxa"/>
          </w:tcPr>
          <w:p w14:paraId="0488CA1B" w14:textId="77777777" w:rsidR="00F5038D" w:rsidRPr="000D756E" w:rsidRDefault="000A7AC6" w:rsidP="002A7C01">
            <w:pPr>
              <w:rPr>
                <w:rFonts w:ascii="Arial" w:hAnsi="Arial" w:cs="Arial"/>
                <w:b/>
                <w:sz w:val="24"/>
                <w:szCs w:val="24"/>
              </w:rPr>
            </w:pPr>
            <w:r w:rsidRPr="000D756E">
              <w:rPr>
                <w:rFonts w:ascii="Arial" w:hAnsi="Arial" w:cs="Arial"/>
                <w:b/>
                <w:sz w:val="24"/>
                <w:szCs w:val="24"/>
              </w:rPr>
              <w:t>Revenue Support Grant</w:t>
            </w:r>
          </w:p>
          <w:p w14:paraId="0EBE3212" w14:textId="77777777" w:rsidR="000A7AC6" w:rsidRPr="000D756E" w:rsidRDefault="000A7AC6" w:rsidP="002A7C01">
            <w:pPr>
              <w:rPr>
                <w:rFonts w:ascii="Arial" w:hAnsi="Arial" w:cs="Arial"/>
                <w:sz w:val="24"/>
                <w:szCs w:val="24"/>
              </w:rPr>
            </w:pPr>
            <w:r w:rsidRPr="000D756E">
              <w:rPr>
                <w:rFonts w:ascii="Arial" w:hAnsi="Arial" w:cs="Arial"/>
                <w:sz w:val="24"/>
                <w:szCs w:val="24"/>
              </w:rPr>
              <w:t>Government grant in aid of the Fire Authority’s services generally. It is based upon the Government’s assessment of how much the Fire Authority needs to spend in order to provide a standard level of service.</w:t>
            </w:r>
          </w:p>
          <w:p w14:paraId="3193A239" w14:textId="77777777" w:rsidR="000A7AC6" w:rsidRPr="000D756E" w:rsidRDefault="000A7AC6" w:rsidP="002A7C01">
            <w:pPr>
              <w:rPr>
                <w:rFonts w:ascii="Arial" w:hAnsi="Arial" w:cs="Arial"/>
                <w:sz w:val="24"/>
                <w:szCs w:val="24"/>
              </w:rPr>
            </w:pPr>
          </w:p>
        </w:tc>
      </w:tr>
      <w:tr w:rsidR="006329E6" w:rsidRPr="000D756E" w14:paraId="4084BAF9" w14:textId="77777777" w:rsidTr="007F3A0D">
        <w:tc>
          <w:tcPr>
            <w:tcW w:w="9540" w:type="dxa"/>
          </w:tcPr>
          <w:p w14:paraId="67D61772" w14:textId="77777777" w:rsidR="006865BF" w:rsidRPr="000D756E" w:rsidRDefault="00F5038D" w:rsidP="002A7C01">
            <w:pPr>
              <w:pStyle w:val="Heading3"/>
              <w:rPr>
                <w:rFonts w:ascii="Arial" w:hAnsi="Arial" w:cs="Arial"/>
                <w:b w:val="0"/>
                <w:sz w:val="24"/>
                <w:szCs w:val="24"/>
              </w:rPr>
            </w:pPr>
            <w:r w:rsidRPr="000D756E">
              <w:rPr>
                <w:rFonts w:ascii="Arial" w:hAnsi="Arial" w:cs="Arial"/>
                <w:sz w:val="24"/>
                <w:szCs w:val="24"/>
              </w:rPr>
              <w:t>Stocks</w:t>
            </w:r>
            <w:r w:rsidRPr="000D756E">
              <w:rPr>
                <w:rFonts w:ascii="Arial" w:hAnsi="Arial" w:cs="Arial"/>
                <w:b w:val="0"/>
                <w:sz w:val="24"/>
                <w:szCs w:val="24"/>
              </w:rPr>
              <w:t xml:space="preserve"> </w:t>
            </w:r>
          </w:p>
          <w:p w14:paraId="1B4E4CF4" w14:textId="77777777" w:rsidR="00F5038D" w:rsidRPr="000D756E" w:rsidRDefault="006865BF" w:rsidP="002A7C01">
            <w:pPr>
              <w:pStyle w:val="Heading3"/>
              <w:rPr>
                <w:rFonts w:ascii="Arial" w:hAnsi="Arial" w:cs="Arial"/>
                <w:b w:val="0"/>
                <w:sz w:val="24"/>
                <w:szCs w:val="24"/>
              </w:rPr>
            </w:pPr>
            <w:r w:rsidRPr="000D756E">
              <w:rPr>
                <w:rFonts w:ascii="Arial" w:hAnsi="Arial" w:cs="Arial"/>
                <w:b w:val="0"/>
                <w:sz w:val="24"/>
                <w:szCs w:val="24"/>
              </w:rPr>
              <w:t>The amount of unused or unconsumed stocks held in expectation of future use</w:t>
            </w:r>
            <w:r w:rsidR="005C1BC1" w:rsidRPr="000D756E">
              <w:rPr>
                <w:rFonts w:ascii="Arial" w:hAnsi="Arial" w:cs="Arial"/>
                <w:b w:val="0"/>
                <w:sz w:val="24"/>
                <w:szCs w:val="24"/>
              </w:rPr>
              <w:t>.</w:t>
            </w:r>
          </w:p>
          <w:p w14:paraId="25EAECA2" w14:textId="77777777" w:rsidR="00F5038D" w:rsidRPr="000D756E" w:rsidRDefault="00F5038D" w:rsidP="002A7C01">
            <w:pPr>
              <w:rPr>
                <w:rFonts w:ascii="Arial" w:hAnsi="Arial" w:cs="Arial"/>
                <w:sz w:val="24"/>
                <w:szCs w:val="24"/>
              </w:rPr>
            </w:pPr>
          </w:p>
        </w:tc>
      </w:tr>
      <w:tr w:rsidR="006329E6" w:rsidRPr="000D756E" w14:paraId="217D1E28" w14:textId="77777777" w:rsidTr="007F3A0D">
        <w:tc>
          <w:tcPr>
            <w:tcW w:w="9540" w:type="dxa"/>
          </w:tcPr>
          <w:p w14:paraId="3F05BE2B" w14:textId="77777777" w:rsidR="006865BF" w:rsidRPr="000D756E" w:rsidRDefault="00F5038D" w:rsidP="002A7C01">
            <w:pPr>
              <w:pStyle w:val="Heading3"/>
              <w:rPr>
                <w:rFonts w:ascii="Arial" w:hAnsi="Arial" w:cs="Arial"/>
                <w:sz w:val="24"/>
                <w:szCs w:val="24"/>
              </w:rPr>
            </w:pPr>
            <w:r w:rsidRPr="000D756E">
              <w:rPr>
                <w:rFonts w:ascii="Arial" w:hAnsi="Arial" w:cs="Arial"/>
                <w:sz w:val="24"/>
                <w:szCs w:val="24"/>
              </w:rPr>
              <w:t>Useful Life</w:t>
            </w:r>
          </w:p>
          <w:p w14:paraId="5A5D5E0C" w14:textId="77777777" w:rsidR="00F5038D" w:rsidRPr="000D756E" w:rsidRDefault="006865BF" w:rsidP="002A7C01">
            <w:pPr>
              <w:pStyle w:val="Heading3"/>
              <w:rPr>
                <w:rFonts w:ascii="Arial" w:hAnsi="Arial" w:cs="Arial"/>
                <w:b w:val="0"/>
                <w:sz w:val="24"/>
                <w:szCs w:val="24"/>
              </w:rPr>
            </w:pPr>
            <w:r w:rsidRPr="000D756E">
              <w:rPr>
                <w:rFonts w:ascii="Arial" w:hAnsi="Arial" w:cs="Arial"/>
                <w:b w:val="0"/>
                <w:sz w:val="24"/>
                <w:szCs w:val="24"/>
              </w:rPr>
              <w:t>T</w:t>
            </w:r>
            <w:r w:rsidR="00F5038D" w:rsidRPr="000D756E">
              <w:rPr>
                <w:rFonts w:ascii="Arial" w:hAnsi="Arial" w:cs="Arial"/>
                <w:b w:val="0"/>
                <w:sz w:val="24"/>
                <w:szCs w:val="24"/>
              </w:rPr>
              <w:t xml:space="preserve">he period over which the </w:t>
            </w:r>
            <w:r w:rsidRPr="000D756E">
              <w:rPr>
                <w:rFonts w:ascii="Arial" w:hAnsi="Arial" w:cs="Arial"/>
                <w:b w:val="0"/>
                <w:sz w:val="24"/>
                <w:szCs w:val="24"/>
              </w:rPr>
              <w:t xml:space="preserve">Fire </w:t>
            </w:r>
            <w:r w:rsidR="00F5038D" w:rsidRPr="000D756E">
              <w:rPr>
                <w:rFonts w:ascii="Arial" w:hAnsi="Arial" w:cs="Arial"/>
                <w:b w:val="0"/>
                <w:sz w:val="24"/>
                <w:szCs w:val="24"/>
              </w:rPr>
              <w:t xml:space="preserve">Authority will derive benefits from the use of a </w:t>
            </w:r>
            <w:r w:rsidRPr="000D756E">
              <w:rPr>
                <w:rFonts w:ascii="Arial" w:hAnsi="Arial" w:cs="Arial"/>
                <w:b w:val="0"/>
                <w:sz w:val="24"/>
                <w:szCs w:val="24"/>
              </w:rPr>
              <w:t xml:space="preserve">non current </w:t>
            </w:r>
            <w:r w:rsidR="00F5038D" w:rsidRPr="000D756E">
              <w:rPr>
                <w:rFonts w:ascii="Arial" w:hAnsi="Arial" w:cs="Arial"/>
                <w:b w:val="0"/>
                <w:sz w:val="24"/>
                <w:szCs w:val="24"/>
              </w:rPr>
              <w:t>asset.</w:t>
            </w:r>
          </w:p>
          <w:p w14:paraId="4AEDD7D0" w14:textId="77777777" w:rsidR="00F5038D" w:rsidRPr="000D756E" w:rsidRDefault="00F5038D" w:rsidP="002A7C01">
            <w:pPr>
              <w:rPr>
                <w:rFonts w:ascii="Arial" w:hAnsi="Arial" w:cs="Arial"/>
                <w:sz w:val="24"/>
                <w:szCs w:val="24"/>
              </w:rPr>
            </w:pPr>
          </w:p>
        </w:tc>
      </w:tr>
      <w:tr w:rsidR="00F5038D" w:rsidRPr="000D756E" w14:paraId="710BF6B7" w14:textId="77777777" w:rsidTr="007F3A0D">
        <w:tc>
          <w:tcPr>
            <w:tcW w:w="9540" w:type="dxa"/>
          </w:tcPr>
          <w:p w14:paraId="57FAA4F8" w14:textId="77777777" w:rsidR="006865BF" w:rsidRPr="000D756E" w:rsidRDefault="00F5038D" w:rsidP="002A7C01">
            <w:pPr>
              <w:rPr>
                <w:rFonts w:ascii="Arial" w:hAnsi="Arial" w:cs="Arial"/>
                <w:b/>
                <w:sz w:val="24"/>
                <w:szCs w:val="24"/>
              </w:rPr>
            </w:pPr>
            <w:r w:rsidRPr="000D756E">
              <w:rPr>
                <w:rFonts w:ascii="Arial" w:hAnsi="Arial" w:cs="Arial"/>
                <w:b/>
                <w:sz w:val="24"/>
                <w:szCs w:val="24"/>
              </w:rPr>
              <w:t>Virement</w:t>
            </w:r>
          </w:p>
          <w:p w14:paraId="4597A006" w14:textId="77777777" w:rsidR="00F5038D" w:rsidRPr="000D756E" w:rsidRDefault="006865BF" w:rsidP="002A7C01">
            <w:pPr>
              <w:rPr>
                <w:rFonts w:ascii="Arial" w:hAnsi="Arial" w:cs="Arial"/>
                <w:sz w:val="24"/>
                <w:szCs w:val="24"/>
              </w:rPr>
            </w:pPr>
            <w:r w:rsidRPr="000D756E">
              <w:rPr>
                <w:rFonts w:ascii="Arial" w:hAnsi="Arial" w:cs="Arial"/>
                <w:sz w:val="24"/>
                <w:szCs w:val="24"/>
              </w:rPr>
              <w:t xml:space="preserve">The transfer of resources between budget heads. </w:t>
            </w:r>
            <w:r w:rsidR="00F5038D" w:rsidRPr="000D756E">
              <w:rPr>
                <w:rFonts w:ascii="Arial" w:hAnsi="Arial" w:cs="Arial"/>
                <w:sz w:val="24"/>
                <w:szCs w:val="24"/>
              </w:rPr>
              <w:t>Virement</w:t>
            </w:r>
            <w:r w:rsidRPr="000D756E">
              <w:rPr>
                <w:rFonts w:ascii="Arial" w:hAnsi="Arial" w:cs="Arial"/>
                <w:sz w:val="24"/>
                <w:szCs w:val="24"/>
              </w:rPr>
              <w:t>s</w:t>
            </w:r>
            <w:r w:rsidR="00F5038D" w:rsidRPr="000D756E">
              <w:rPr>
                <w:rFonts w:ascii="Arial" w:hAnsi="Arial" w:cs="Arial"/>
                <w:sz w:val="24"/>
                <w:szCs w:val="24"/>
              </w:rPr>
              <w:t xml:space="preserve"> must be properly authorised by the appropriate committee or by officers under delegated powers.</w:t>
            </w:r>
          </w:p>
          <w:p w14:paraId="64E2EF87" w14:textId="77777777" w:rsidR="00F5038D" w:rsidRPr="000D756E" w:rsidRDefault="00F5038D" w:rsidP="002A7C01">
            <w:pPr>
              <w:rPr>
                <w:rFonts w:ascii="Arial" w:hAnsi="Arial" w:cs="Arial"/>
                <w:sz w:val="24"/>
                <w:szCs w:val="24"/>
              </w:rPr>
            </w:pPr>
          </w:p>
        </w:tc>
      </w:tr>
    </w:tbl>
    <w:p w14:paraId="7304C12A" w14:textId="77777777" w:rsidR="002A572B" w:rsidRPr="000D756E" w:rsidRDefault="002A572B" w:rsidP="002A7C01">
      <w:pPr>
        <w:rPr>
          <w:rFonts w:ascii="Arial" w:hAnsi="Arial" w:cs="Arial"/>
          <w:sz w:val="24"/>
          <w:szCs w:val="24"/>
        </w:rPr>
      </w:pPr>
    </w:p>
    <w:p w14:paraId="18735DAC" w14:textId="77777777" w:rsidR="008A2A5F" w:rsidRPr="000D756E" w:rsidRDefault="002A572B" w:rsidP="002A7C01">
      <w:pPr>
        <w:tabs>
          <w:tab w:val="left" w:pos="7395"/>
        </w:tabs>
      </w:pPr>
      <w:r w:rsidRPr="000D756E">
        <w:rPr>
          <w:rFonts w:ascii="Arial" w:hAnsi="Arial" w:cs="Arial"/>
          <w:sz w:val="24"/>
          <w:szCs w:val="24"/>
        </w:rPr>
        <w:tab/>
      </w:r>
    </w:p>
    <w:sectPr w:rsidR="008A2A5F" w:rsidRPr="000D756E" w:rsidSect="00540FFA">
      <w:headerReference w:type="default" r:id="rId37"/>
      <w:headerReference w:type="first" r:id="rId38"/>
      <w:pgSz w:w="11909" w:h="16834" w:code="9"/>
      <w:pgMar w:top="562" w:right="1181" w:bottom="864" w:left="1282"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4E21" w14:textId="77777777" w:rsidR="003C6887" w:rsidRDefault="003C6887">
      <w:r>
        <w:separator/>
      </w:r>
    </w:p>
  </w:endnote>
  <w:endnote w:type="continuationSeparator" w:id="0">
    <w:p w14:paraId="2C4391D3" w14:textId="77777777" w:rsidR="003C6887" w:rsidRDefault="003C6887">
      <w:r>
        <w:continuationSeparator/>
      </w:r>
    </w:p>
  </w:endnote>
  <w:endnote w:type="continuationNotice" w:id="1">
    <w:p w14:paraId="66C3BDD9" w14:textId="77777777" w:rsidR="003C6887" w:rsidRDefault="003C6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D364" w14:textId="77777777" w:rsidR="00BD4E44" w:rsidRDefault="00BD4E44">
    <w:pPr>
      <w:pStyle w:val="Footer"/>
      <w:jc w:val="center"/>
    </w:pPr>
    <w:r>
      <w:fldChar w:fldCharType="begin"/>
    </w:r>
    <w:r>
      <w:instrText xml:space="preserve"> PAGE   \* MERGEFORMAT </w:instrText>
    </w:r>
    <w:r>
      <w:fldChar w:fldCharType="separate"/>
    </w:r>
    <w:r w:rsidR="006A5E44">
      <w:rPr>
        <w:noProof/>
      </w:rPr>
      <w:t>1</w:t>
    </w:r>
    <w:r>
      <w:rPr>
        <w:noProof/>
      </w:rPr>
      <w:fldChar w:fldCharType="end"/>
    </w:r>
  </w:p>
  <w:p w14:paraId="3E48AFD2" w14:textId="77777777" w:rsidR="00BD4E44" w:rsidRDefault="00BD4E44" w:rsidP="000C159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E61C9B" w14:paraId="5A4B2BB6" w14:textId="77777777" w:rsidTr="47E61C9B">
      <w:trPr>
        <w:trHeight w:val="300"/>
      </w:trPr>
      <w:tc>
        <w:tcPr>
          <w:tcW w:w="3005" w:type="dxa"/>
        </w:tcPr>
        <w:p w14:paraId="50AFA65A" w14:textId="7949F7E7" w:rsidR="47E61C9B" w:rsidRDefault="47E61C9B" w:rsidP="47E61C9B">
          <w:pPr>
            <w:pStyle w:val="Header"/>
            <w:ind w:left="-115"/>
          </w:pPr>
        </w:p>
      </w:tc>
      <w:tc>
        <w:tcPr>
          <w:tcW w:w="3005" w:type="dxa"/>
        </w:tcPr>
        <w:p w14:paraId="719BEB8B" w14:textId="1E042B46" w:rsidR="47E61C9B" w:rsidRDefault="47E61C9B" w:rsidP="47E61C9B">
          <w:pPr>
            <w:pStyle w:val="Header"/>
            <w:jc w:val="center"/>
          </w:pPr>
        </w:p>
      </w:tc>
      <w:tc>
        <w:tcPr>
          <w:tcW w:w="3005" w:type="dxa"/>
        </w:tcPr>
        <w:p w14:paraId="5445C759" w14:textId="5D2E09DF" w:rsidR="47E61C9B" w:rsidRDefault="47E61C9B" w:rsidP="47E61C9B">
          <w:pPr>
            <w:pStyle w:val="Header"/>
            <w:ind w:right="-115"/>
            <w:jc w:val="right"/>
          </w:pPr>
        </w:p>
      </w:tc>
    </w:tr>
  </w:tbl>
  <w:p w14:paraId="75EC6CD4" w14:textId="526D6ECB" w:rsidR="00FF5FD6" w:rsidRDefault="00FF5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45"/>
      <w:gridCol w:w="3145"/>
      <w:gridCol w:w="3145"/>
    </w:tblGrid>
    <w:tr w:rsidR="47E61C9B" w14:paraId="65CBF8FF" w14:textId="77777777" w:rsidTr="47E61C9B">
      <w:trPr>
        <w:trHeight w:val="300"/>
      </w:trPr>
      <w:tc>
        <w:tcPr>
          <w:tcW w:w="3145" w:type="dxa"/>
        </w:tcPr>
        <w:p w14:paraId="0645EFC3" w14:textId="18D36CF7" w:rsidR="47E61C9B" w:rsidRDefault="47E61C9B" w:rsidP="47E61C9B">
          <w:pPr>
            <w:pStyle w:val="Header"/>
            <w:ind w:left="-115"/>
          </w:pPr>
        </w:p>
      </w:tc>
      <w:tc>
        <w:tcPr>
          <w:tcW w:w="3145" w:type="dxa"/>
        </w:tcPr>
        <w:p w14:paraId="1320A05A" w14:textId="27207726" w:rsidR="47E61C9B" w:rsidRDefault="47E61C9B" w:rsidP="47E61C9B">
          <w:pPr>
            <w:pStyle w:val="Header"/>
            <w:jc w:val="center"/>
          </w:pPr>
        </w:p>
      </w:tc>
      <w:tc>
        <w:tcPr>
          <w:tcW w:w="3145" w:type="dxa"/>
        </w:tcPr>
        <w:p w14:paraId="09064714" w14:textId="553039F7" w:rsidR="47E61C9B" w:rsidRDefault="47E61C9B" w:rsidP="47E61C9B">
          <w:pPr>
            <w:pStyle w:val="Header"/>
            <w:ind w:right="-115"/>
            <w:jc w:val="right"/>
          </w:pPr>
        </w:p>
      </w:tc>
    </w:tr>
  </w:tbl>
  <w:p w14:paraId="3D04A9E8" w14:textId="5E5DD8F1" w:rsidR="00FF5FD6" w:rsidRDefault="00FF5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7288" w14:textId="77777777" w:rsidR="00BD4E44" w:rsidRDefault="00BD4E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63C1B8" w14:textId="77777777" w:rsidR="00BD4E44" w:rsidRDefault="00BD4E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A138" w14:textId="77777777" w:rsidR="00BD4E44" w:rsidRDefault="00BD4E44">
    <w:pPr>
      <w:pStyle w:val="Footer"/>
      <w:jc w:val="center"/>
    </w:pPr>
    <w:r>
      <w:fldChar w:fldCharType="begin"/>
    </w:r>
    <w:r>
      <w:instrText xml:space="preserve"> PAGE   \* MERGEFORMAT </w:instrText>
    </w:r>
    <w:r>
      <w:fldChar w:fldCharType="separate"/>
    </w:r>
    <w:r w:rsidR="006F10F7">
      <w:rPr>
        <w:noProof/>
      </w:rPr>
      <w:t>15</w:t>
    </w:r>
    <w:r>
      <w:rPr>
        <w:noProof/>
      </w:rPr>
      <w:fldChar w:fldCharType="end"/>
    </w:r>
  </w:p>
  <w:p w14:paraId="1C7BB6C4" w14:textId="77777777" w:rsidR="00BD4E44" w:rsidRDefault="00BD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3FBF" w14:textId="77777777" w:rsidR="003C6887" w:rsidRPr="00C01461" w:rsidRDefault="003C6887" w:rsidP="00C01461">
      <w:pPr>
        <w:pStyle w:val="Footer"/>
      </w:pPr>
    </w:p>
  </w:footnote>
  <w:footnote w:type="continuationSeparator" w:id="0">
    <w:p w14:paraId="7F0FA829" w14:textId="77777777" w:rsidR="003C6887" w:rsidRDefault="003C6887">
      <w:r>
        <w:continuationSeparator/>
      </w:r>
    </w:p>
  </w:footnote>
  <w:footnote w:type="continuationNotice" w:id="1">
    <w:p w14:paraId="71043EC7" w14:textId="77777777" w:rsidR="003C6887" w:rsidRDefault="003C6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30DC" w14:textId="77777777" w:rsidR="00BD4E44" w:rsidRDefault="00BD4E44">
    <w:pPr>
      <w:pStyle w:val="Header"/>
    </w:pPr>
  </w:p>
  <w:p w14:paraId="41353732" w14:textId="77777777" w:rsidR="00BD4E44" w:rsidRDefault="00BD4E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0691" w14:textId="77777777" w:rsidR="00BD4E44" w:rsidRDefault="00BD4E44" w:rsidP="00C1127F">
    <w:pPr>
      <w:pStyle w:val="Header"/>
      <w:tabs>
        <w:tab w:val="clear" w:pos="8306"/>
        <w:tab w:val="right" w:pos="9000"/>
        <w:tab w:val="right" w:pos="9540"/>
      </w:tabs>
      <w:rPr>
        <w:rFonts w:ascii="Arial Narrow" w:hAnsi="Arial Narrow"/>
        <w:b/>
        <w:sz w:val="36"/>
      </w:rPr>
    </w:pPr>
    <w:r>
      <w:rPr>
        <w:rFonts w:ascii="Arial Narrow" w:hAnsi="Arial Narrow"/>
        <w:b/>
        <w:sz w:val="36"/>
      </w:rPr>
      <w:t>Audit Certificate</w:t>
    </w:r>
    <w: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713A4989" w14:textId="77777777">
      <w:trPr>
        <w:jc w:val="right"/>
      </w:trPr>
      <w:tc>
        <w:tcPr>
          <w:tcW w:w="9137" w:type="dxa"/>
        </w:tcPr>
        <w:p w14:paraId="6853C85B" w14:textId="77777777" w:rsidR="00BD4E44" w:rsidRDefault="00BD4E44">
          <w:pPr>
            <w:pStyle w:val="Header"/>
            <w:jc w:val="right"/>
          </w:pPr>
        </w:p>
      </w:tc>
    </w:tr>
  </w:tbl>
  <w:p w14:paraId="6423FDFC" w14:textId="77777777" w:rsidR="00BD4E44" w:rsidRDefault="00BD4E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B71D" w14:textId="77777777" w:rsidR="00BD4E44" w:rsidRDefault="00BD4E44" w:rsidP="00C1127F">
    <w:pPr>
      <w:pStyle w:val="Header"/>
      <w:tabs>
        <w:tab w:val="clear" w:pos="8306"/>
        <w:tab w:val="right" w:pos="9000"/>
        <w:tab w:val="right" w:pos="9540"/>
      </w:tabs>
      <w:rPr>
        <w:rFonts w:ascii="Arial Narrow" w:hAnsi="Arial Narrow"/>
        <w:b/>
        <w:sz w:val="36"/>
      </w:rPr>
    </w:pPr>
    <w:r>
      <w:rPr>
        <w:rFonts w:ascii="Arial Narrow" w:hAnsi="Arial Narrow"/>
        <w:b/>
        <w:sz w:val="36"/>
      </w:rPr>
      <w:t>Statement of Accounting Policies</w:t>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2C3F2377" w14:textId="77777777">
      <w:trPr>
        <w:jc w:val="right"/>
      </w:trPr>
      <w:tc>
        <w:tcPr>
          <w:tcW w:w="9137" w:type="dxa"/>
        </w:tcPr>
        <w:p w14:paraId="2CE6C5CD" w14:textId="77777777" w:rsidR="00BD4E44" w:rsidRDefault="00BD4E44">
          <w:pPr>
            <w:pStyle w:val="Header"/>
            <w:jc w:val="right"/>
          </w:pPr>
        </w:p>
      </w:tc>
    </w:tr>
  </w:tbl>
  <w:p w14:paraId="0D40457B" w14:textId="77777777" w:rsidR="00BD4E44" w:rsidRDefault="00BD4E4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0C91" w14:textId="77777777" w:rsidR="00BD4E44" w:rsidRDefault="00BD4E44" w:rsidP="00C253BA">
    <w:pPr>
      <w:pStyle w:val="Header"/>
      <w:tabs>
        <w:tab w:val="clear" w:pos="8306"/>
        <w:tab w:val="right" w:pos="9000"/>
      </w:tabs>
      <w:rPr>
        <w:rFonts w:ascii="Arial Narrow" w:hAnsi="Arial Narrow"/>
        <w:b/>
        <w:sz w:val="36"/>
      </w:rPr>
    </w:pPr>
    <w:r>
      <w:rPr>
        <w:rFonts w:ascii="Arial Narrow" w:hAnsi="Arial Narrow"/>
        <w:b/>
        <w:sz w:val="36"/>
      </w:rPr>
      <w:t>Core Financial Statements</w:t>
    </w:r>
  </w:p>
  <w:p w14:paraId="465701E6" w14:textId="77777777" w:rsidR="00BD4E44" w:rsidRDefault="00BD4E44" w:rsidP="00C253BA">
    <w:pPr>
      <w:pStyle w:val="Header"/>
      <w:tabs>
        <w:tab w:val="clear" w:pos="8306"/>
        <w:tab w:val="right" w:pos="9000"/>
      </w:tabs>
      <w:rPr>
        <w:rFonts w:ascii="Arial Narrow" w:hAnsi="Arial Narrow"/>
        <w:b/>
        <w:sz w:val="36"/>
      </w:rPr>
    </w:pPr>
    <w:r>
      <w:rPr>
        <w:rFonts w:ascii="Arial Narrow" w:hAnsi="Arial Narrow"/>
        <w:b/>
        <w:sz w:val="36"/>
      </w:rPr>
      <w:t>Comprehensive Income and</w:t>
    </w:r>
  </w:p>
  <w:p w14:paraId="12F0ABA0" w14:textId="77777777" w:rsidR="00BD4E44" w:rsidRPr="00B6213C" w:rsidRDefault="00BD4E44" w:rsidP="00C253BA">
    <w:pPr>
      <w:pStyle w:val="Header"/>
      <w:tabs>
        <w:tab w:val="clear" w:pos="8306"/>
        <w:tab w:val="right" w:pos="9000"/>
      </w:tabs>
      <w:rPr>
        <w:rFonts w:ascii="Arial" w:hAnsi="Arial" w:cs="Arial"/>
        <w:b/>
        <w:sz w:val="36"/>
      </w:rPr>
    </w:pPr>
    <w:r>
      <w:rPr>
        <w:rFonts w:ascii="Arial Narrow" w:hAnsi="Arial Narrow"/>
        <w:b/>
        <w:sz w:val="36"/>
      </w:rPr>
      <w:t>Expenditure Statement</w:t>
    </w:r>
    <w:r>
      <w:rPr>
        <w:rFonts w:ascii="Arial Narrow" w:hAnsi="Arial Narrow"/>
        <w:b/>
        <w:sz w:val="36"/>
      </w:rP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0BBBBD39" w14:textId="77777777">
      <w:trPr>
        <w:jc w:val="right"/>
      </w:trPr>
      <w:tc>
        <w:tcPr>
          <w:tcW w:w="9137" w:type="dxa"/>
        </w:tcPr>
        <w:p w14:paraId="35F4CF26" w14:textId="77777777" w:rsidR="00BD4E44" w:rsidRDefault="00BD4E44">
          <w:pPr>
            <w:pStyle w:val="Header"/>
            <w:jc w:val="right"/>
          </w:pPr>
        </w:p>
      </w:tc>
    </w:tr>
  </w:tbl>
  <w:p w14:paraId="3C56F412" w14:textId="77777777" w:rsidR="00BD4E44" w:rsidRDefault="00BD4E4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E8F8" w14:textId="77777777" w:rsidR="00BD4E44" w:rsidRDefault="00BD4E44" w:rsidP="004D6BA1">
    <w:pPr>
      <w:pStyle w:val="Header"/>
      <w:tabs>
        <w:tab w:val="clear" w:pos="8306"/>
        <w:tab w:val="right" w:pos="9450"/>
      </w:tabs>
      <w:rPr>
        <w:rFonts w:ascii="Arial Narrow" w:hAnsi="Arial Narrow"/>
        <w:b/>
        <w:sz w:val="36"/>
      </w:rPr>
    </w:pPr>
    <w:r>
      <w:rPr>
        <w:rFonts w:ascii="Arial Narrow" w:hAnsi="Arial Narrow"/>
        <w:b/>
        <w:sz w:val="36"/>
      </w:rPr>
      <w:t>Core Financial Statements</w:t>
    </w:r>
  </w:p>
  <w:p w14:paraId="5F7F5A78" w14:textId="77777777" w:rsidR="00BD4E44" w:rsidRPr="00FA7707" w:rsidRDefault="00BD4E44" w:rsidP="0079461E">
    <w:pPr>
      <w:pStyle w:val="Header"/>
      <w:tabs>
        <w:tab w:val="clear" w:pos="8306"/>
        <w:tab w:val="right" w:pos="9450"/>
      </w:tabs>
      <w:rPr>
        <w:rFonts w:ascii="Arial Narrow" w:hAnsi="Arial Narrow"/>
        <w:b/>
        <w:sz w:val="36"/>
      </w:rPr>
    </w:pPr>
    <w:r>
      <w:rPr>
        <w:rFonts w:ascii="Arial Narrow" w:hAnsi="Arial Narrow"/>
        <w:b/>
        <w:sz w:val="36"/>
      </w:rPr>
      <w:t>Movement in Reserves Statement</w:t>
    </w:r>
    <w:r>
      <w:tab/>
    </w:r>
    <w:r>
      <w:tab/>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2F83DD51" w14:textId="77777777">
      <w:trPr>
        <w:jc w:val="right"/>
      </w:trPr>
      <w:tc>
        <w:tcPr>
          <w:tcW w:w="9558" w:type="dxa"/>
        </w:tcPr>
        <w:p w14:paraId="33BE8868" w14:textId="77777777" w:rsidR="00BD4E44" w:rsidRDefault="00BD4E44">
          <w:pPr>
            <w:pStyle w:val="Header"/>
            <w:jc w:val="right"/>
          </w:pPr>
        </w:p>
      </w:tc>
    </w:tr>
  </w:tbl>
  <w:p w14:paraId="70CE369A" w14:textId="77777777" w:rsidR="00BD4E44" w:rsidRDefault="00BD4E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7930" w14:textId="77777777" w:rsidR="00BD4E44" w:rsidRDefault="00BD4E44" w:rsidP="00C253BA">
    <w:pPr>
      <w:pStyle w:val="Header"/>
      <w:tabs>
        <w:tab w:val="clear" w:pos="8306"/>
        <w:tab w:val="right" w:pos="9000"/>
        <w:tab w:val="right" w:pos="9540"/>
      </w:tabs>
      <w:rPr>
        <w:rFonts w:ascii="Arial Narrow" w:hAnsi="Arial Narrow"/>
        <w:b/>
        <w:sz w:val="36"/>
      </w:rPr>
    </w:pPr>
    <w:r>
      <w:rPr>
        <w:rFonts w:ascii="Arial Narrow" w:hAnsi="Arial Narrow"/>
        <w:b/>
        <w:sz w:val="36"/>
      </w:rPr>
      <w:t>Core Financial Statements</w:t>
    </w:r>
  </w:p>
  <w:p w14:paraId="19DB206C" w14:textId="77777777" w:rsidR="00BD4E44" w:rsidRDefault="00BD4E44" w:rsidP="00C253BA">
    <w:pPr>
      <w:pStyle w:val="Header"/>
      <w:tabs>
        <w:tab w:val="clear" w:pos="8306"/>
        <w:tab w:val="right" w:pos="9000"/>
        <w:tab w:val="right" w:pos="9540"/>
      </w:tabs>
      <w:rPr>
        <w:rFonts w:ascii="Arial Narrow" w:hAnsi="Arial Narrow"/>
        <w:b/>
        <w:sz w:val="36"/>
      </w:rPr>
    </w:pPr>
    <w:r>
      <w:rPr>
        <w:rFonts w:ascii="Arial Narrow" w:hAnsi="Arial Narrow"/>
        <w:b/>
        <w:sz w:val="36"/>
      </w:rPr>
      <w:t>Balance Sheet</w:t>
    </w:r>
    <w:r>
      <w:rPr>
        <w:rFonts w:ascii="Arial Narrow" w:hAnsi="Arial Narrow"/>
        <w:b/>
        <w:sz w:val="36"/>
      </w:rPr>
      <w:tab/>
    </w:r>
    <w:r>
      <w:rPr>
        <w:rFonts w:ascii="Arial Narrow" w:hAnsi="Arial Narrow"/>
        <w:b/>
        <w:sz w:val="36"/>
      </w:rP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35F4A2B7" w14:textId="77777777">
      <w:trPr>
        <w:jc w:val="right"/>
      </w:trPr>
      <w:tc>
        <w:tcPr>
          <w:tcW w:w="9137" w:type="dxa"/>
        </w:tcPr>
        <w:p w14:paraId="06779DFD" w14:textId="77777777" w:rsidR="00BD4E44" w:rsidRDefault="00BD4E44">
          <w:pPr>
            <w:pStyle w:val="Header"/>
            <w:jc w:val="right"/>
          </w:pPr>
        </w:p>
      </w:tc>
    </w:tr>
  </w:tbl>
  <w:p w14:paraId="05131BFA" w14:textId="77777777" w:rsidR="00BD4E44" w:rsidRDefault="00BD4E44" w:rsidP="008307E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799A" w14:textId="77777777" w:rsidR="00BD4E44" w:rsidRDefault="00BD4E44" w:rsidP="00C253BA">
    <w:pPr>
      <w:pStyle w:val="Header"/>
      <w:tabs>
        <w:tab w:val="clear" w:pos="8306"/>
        <w:tab w:val="right" w:pos="9000"/>
        <w:tab w:val="right" w:pos="9540"/>
      </w:tabs>
      <w:rPr>
        <w:rFonts w:ascii="Arial Narrow" w:hAnsi="Arial Narrow"/>
        <w:b/>
        <w:sz w:val="36"/>
      </w:rPr>
    </w:pPr>
    <w:r>
      <w:rPr>
        <w:rFonts w:ascii="Arial Narrow" w:hAnsi="Arial Narrow"/>
        <w:b/>
        <w:sz w:val="36"/>
      </w:rPr>
      <w:t>Core Financial Statements</w:t>
    </w:r>
  </w:p>
  <w:p w14:paraId="1D18C172" w14:textId="77777777" w:rsidR="00BD4E44" w:rsidRDefault="00BD4E44" w:rsidP="00C253BA">
    <w:pPr>
      <w:pStyle w:val="Header"/>
      <w:tabs>
        <w:tab w:val="clear" w:pos="8306"/>
        <w:tab w:val="right" w:pos="9000"/>
        <w:tab w:val="right" w:pos="9540"/>
      </w:tabs>
      <w:rPr>
        <w:rFonts w:ascii="Arial Narrow" w:hAnsi="Arial Narrow"/>
        <w:b/>
        <w:sz w:val="36"/>
      </w:rPr>
    </w:pPr>
    <w:r>
      <w:rPr>
        <w:rFonts w:ascii="Arial Narrow" w:hAnsi="Arial Narrow"/>
        <w:b/>
        <w:sz w:val="36"/>
      </w:rPr>
      <w:t>Cash Flow Statement</w:t>
    </w:r>
    <w:r>
      <w:rPr>
        <w:rFonts w:ascii="Arial Narrow" w:hAnsi="Arial Narrow"/>
        <w:b/>
        <w:sz w:val="36"/>
      </w:rPr>
      <w:tab/>
    </w:r>
    <w:r>
      <w:rPr>
        <w:rFonts w:ascii="Arial Narrow" w:hAnsi="Arial Narrow"/>
        <w:b/>
        <w:sz w:val="36"/>
      </w:rP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7E5DF057" w14:textId="77777777">
      <w:trPr>
        <w:jc w:val="right"/>
      </w:trPr>
      <w:tc>
        <w:tcPr>
          <w:tcW w:w="9137" w:type="dxa"/>
        </w:tcPr>
        <w:p w14:paraId="59C1E43D" w14:textId="77777777" w:rsidR="00BD4E44" w:rsidRDefault="00BD4E44">
          <w:pPr>
            <w:pStyle w:val="Header"/>
            <w:jc w:val="right"/>
          </w:pPr>
        </w:p>
      </w:tc>
    </w:tr>
  </w:tbl>
  <w:p w14:paraId="74DA474B" w14:textId="77777777" w:rsidR="00BD4E44" w:rsidRDefault="00BD4E44" w:rsidP="008307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17AA" w14:textId="77777777" w:rsidR="00BD4E44" w:rsidRPr="009E18F5" w:rsidRDefault="00BD4E44" w:rsidP="0008271D">
    <w:pPr>
      <w:pStyle w:val="Header"/>
      <w:tabs>
        <w:tab w:val="clear" w:pos="8306"/>
        <w:tab w:val="right" w:pos="9000"/>
      </w:tabs>
      <w:rPr>
        <w:rFonts w:ascii="Arial Narrow" w:hAnsi="Arial Narrow"/>
        <w:b/>
        <w:sz w:val="36"/>
      </w:rPr>
    </w:pPr>
    <w:r>
      <w:rPr>
        <w:rFonts w:ascii="Arial Narrow" w:hAnsi="Arial Narrow"/>
        <w:b/>
        <w:sz w:val="36"/>
      </w:rPr>
      <w:t>Notes to the Core Financial Statements</w:t>
    </w:r>
    <w:r w:rsidRPr="005840B1">
      <w:t xml:space="preserve"> </w:t>
    </w:r>
    <w: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77CCD213" w14:textId="77777777">
      <w:trPr>
        <w:jc w:val="right"/>
      </w:trPr>
      <w:tc>
        <w:tcPr>
          <w:tcW w:w="9137" w:type="dxa"/>
        </w:tcPr>
        <w:p w14:paraId="3528C2FA" w14:textId="77777777" w:rsidR="00BD4E44" w:rsidRDefault="00BD4E44">
          <w:pPr>
            <w:pStyle w:val="Header"/>
            <w:jc w:val="right"/>
          </w:pPr>
        </w:p>
      </w:tc>
    </w:tr>
  </w:tbl>
  <w:p w14:paraId="07A41A44" w14:textId="77777777" w:rsidR="00BD4E44" w:rsidRDefault="00BD4E4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1CD8" w14:textId="77777777" w:rsidR="00BD4E44" w:rsidRDefault="00BD4E44" w:rsidP="00184FAC">
    <w:pPr>
      <w:pStyle w:val="Header"/>
      <w:tabs>
        <w:tab w:val="clear" w:pos="8306"/>
        <w:tab w:val="right" w:pos="9000"/>
      </w:tabs>
      <w:rPr>
        <w:rFonts w:ascii="Arial Narrow" w:hAnsi="Arial Narrow"/>
        <w:b/>
        <w:sz w:val="36"/>
      </w:rPr>
    </w:pPr>
    <w:r>
      <w:rPr>
        <w:rFonts w:ascii="Arial Narrow" w:hAnsi="Arial Narrow"/>
        <w:b/>
        <w:sz w:val="36"/>
      </w:rPr>
      <w:t>Pension Fund Accounts</w:t>
    </w:r>
    <w:r>
      <w:rPr>
        <w:rFonts w:ascii="Arial Narrow" w:hAnsi="Arial Narrow"/>
        <w:b/>
        <w:sz w:val="36"/>
      </w:rPr>
      <w:tab/>
    </w:r>
    <w:r>
      <w:rPr>
        <w:rFonts w:ascii="Arial Narrow" w:hAnsi="Arial Narrow"/>
        <w:b/>
        <w:sz w:val="36"/>
      </w:rPr>
      <w:tab/>
    </w:r>
  </w:p>
  <w:p w14:paraId="54297517" w14:textId="77777777" w:rsidR="00BD4E44" w:rsidRDefault="00BD4E44" w:rsidP="00C253BA">
    <w:pPr>
      <w:pStyle w:val="Header"/>
      <w:tabs>
        <w:tab w:val="clear" w:pos="8306"/>
        <w:tab w:val="right" w:pos="9000"/>
        <w:tab w:val="right" w:pos="9540"/>
      </w:tabs>
      <w:rPr>
        <w:rFonts w:ascii="Arial Narrow" w:hAnsi="Arial Narrow"/>
        <w:b/>
        <w:sz w:val="36"/>
      </w:rPr>
    </w:pP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58F04969" w14:textId="77777777">
      <w:trPr>
        <w:jc w:val="right"/>
      </w:trPr>
      <w:tc>
        <w:tcPr>
          <w:tcW w:w="9137" w:type="dxa"/>
        </w:tcPr>
        <w:p w14:paraId="557DDF67" w14:textId="77777777" w:rsidR="00BD4E44" w:rsidRDefault="00BD4E44">
          <w:pPr>
            <w:pStyle w:val="Header"/>
            <w:jc w:val="right"/>
          </w:pPr>
        </w:p>
      </w:tc>
    </w:tr>
  </w:tbl>
  <w:p w14:paraId="153D1691" w14:textId="77777777" w:rsidR="00BD4E44" w:rsidRDefault="00BD4E44" w:rsidP="00F8536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612F" w14:textId="77777777" w:rsidR="00BD4E44" w:rsidRDefault="00BD4E44" w:rsidP="00F82A45">
    <w:pPr>
      <w:pStyle w:val="Header"/>
      <w:tabs>
        <w:tab w:val="clear" w:pos="8306"/>
        <w:tab w:val="right" w:pos="9450"/>
      </w:tabs>
    </w:pPr>
    <w:r>
      <w:rPr>
        <w:rFonts w:ascii="Arial Narrow" w:hAnsi="Arial Narrow"/>
        <w:b/>
        <w:sz w:val="36"/>
      </w:rPr>
      <w:t>Glossary of Terms</w:t>
    </w:r>
    <w:r w:rsidRPr="00F82A45">
      <w:t xml:space="preserve"> </w:t>
    </w:r>
    <w:r>
      <w:tab/>
    </w:r>
    <w:r>
      <w:tab/>
      <w:t xml:space="preserve"> </w:t>
    </w:r>
  </w:p>
  <w:p w14:paraId="4891268F" w14:textId="77777777" w:rsidR="00BD4E44" w:rsidRDefault="00BD4E44" w:rsidP="00F82A45">
    <w:pPr>
      <w:pStyle w:val="Header"/>
      <w:tabs>
        <w:tab w:val="clear" w:pos="8306"/>
        <w:tab w:val="right" w:pos="9450"/>
      </w:tabs>
      <w:rPr>
        <w:rFonts w:ascii="Arial Narrow" w:hAnsi="Arial Narrow"/>
        <w:b/>
        <w:sz w:val="36"/>
      </w:rPr>
    </w:pPr>
    <w:r>
      <w:tab/>
    </w:r>
    <w:r>
      <w:tab/>
    </w:r>
  </w:p>
  <w:tbl>
    <w:tblPr>
      <w:tblW w:w="9554" w:type="dxa"/>
      <w:jc w:val="right"/>
      <w:tblBorders>
        <w:top w:val="single" w:sz="18" w:space="0" w:color="auto"/>
      </w:tblBorders>
      <w:tblLayout w:type="fixed"/>
      <w:tblLook w:val="0000" w:firstRow="0" w:lastRow="0" w:firstColumn="0" w:lastColumn="0" w:noHBand="0" w:noVBand="0"/>
    </w:tblPr>
    <w:tblGrid>
      <w:gridCol w:w="9554"/>
    </w:tblGrid>
    <w:tr w:rsidR="00BD4E44" w14:paraId="0A7594D3" w14:textId="77777777">
      <w:trPr>
        <w:jc w:val="right"/>
      </w:trPr>
      <w:tc>
        <w:tcPr>
          <w:tcW w:w="9554" w:type="dxa"/>
        </w:tcPr>
        <w:p w14:paraId="038117AA" w14:textId="77777777" w:rsidR="00BD4E44" w:rsidRDefault="00BD4E44">
          <w:pPr>
            <w:pStyle w:val="Header"/>
            <w:jc w:val="right"/>
          </w:pPr>
        </w:p>
      </w:tc>
    </w:tr>
  </w:tbl>
  <w:p w14:paraId="5BDB21BE" w14:textId="77777777" w:rsidR="00BD4E44" w:rsidRDefault="00BD4E4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66D7" w14:textId="77777777" w:rsidR="00BD4E44" w:rsidRDefault="00BD4E44" w:rsidP="00CB60F8">
    <w:pPr>
      <w:pStyle w:val="Header"/>
      <w:tabs>
        <w:tab w:val="clear" w:pos="8306"/>
        <w:tab w:val="right" w:pos="9450"/>
      </w:tabs>
    </w:pPr>
    <w:r>
      <w:rPr>
        <w:rFonts w:ascii="Arial Narrow" w:hAnsi="Arial Narrow"/>
        <w:b/>
        <w:sz w:val="36"/>
      </w:rPr>
      <w:t>Glossary of Terms</w:t>
    </w:r>
    <w:r w:rsidRPr="00F82A45">
      <w:t xml:space="preserve"> </w:t>
    </w:r>
    <w:r>
      <w:tab/>
    </w:r>
    <w:r>
      <w:tab/>
      <w:t xml:space="preserve"> </w:t>
    </w:r>
  </w:p>
  <w:p w14:paraId="132601AD" w14:textId="77777777" w:rsidR="00BD4E44" w:rsidRDefault="00BD4E44" w:rsidP="00CB60F8">
    <w:pPr>
      <w:pStyle w:val="Header"/>
      <w:tabs>
        <w:tab w:val="clear" w:pos="8306"/>
        <w:tab w:val="right" w:pos="9450"/>
      </w:tabs>
      <w:rPr>
        <w:rFonts w:ascii="Arial Narrow" w:hAnsi="Arial Narrow"/>
        <w:b/>
        <w:sz w:val="36"/>
      </w:rPr>
    </w:pPr>
    <w:r>
      <w:tab/>
    </w:r>
    <w:r>
      <w:tab/>
    </w:r>
  </w:p>
  <w:tbl>
    <w:tblPr>
      <w:tblW w:w="9554" w:type="dxa"/>
      <w:jc w:val="right"/>
      <w:tblBorders>
        <w:top w:val="single" w:sz="18" w:space="0" w:color="auto"/>
      </w:tblBorders>
      <w:tblLayout w:type="fixed"/>
      <w:tblLook w:val="0000" w:firstRow="0" w:lastRow="0" w:firstColumn="0" w:lastColumn="0" w:noHBand="0" w:noVBand="0"/>
    </w:tblPr>
    <w:tblGrid>
      <w:gridCol w:w="9554"/>
    </w:tblGrid>
    <w:tr w:rsidR="00BD4E44" w14:paraId="0E816C35" w14:textId="77777777" w:rsidTr="00F31FDD">
      <w:trPr>
        <w:jc w:val="right"/>
      </w:trPr>
      <w:tc>
        <w:tcPr>
          <w:tcW w:w="9554" w:type="dxa"/>
        </w:tcPr>
        <w:p w14:paraId="341B1856" w14:textId="77777777" w:rsidR="00BD4E44" w:rsidRDefault="00BD4E44" w:rsidP="00CB60F8">
          <w:pPr>
            <w:pStyle w:val="Header"/>
            <w:jc w:val="right"/>
          </w:pPr>
        </w:p>
      </w:tc>
    </w:tr>
  </w:tbl>
  <w:p w14:paraId="1620D7A1" w14:textId="77777777" w:rsidR="00BD4E44" w:rsidRPr="003318A4" w:rsidRDefault="00BD4E44" w:rsidP="00331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E61C9B" w14:paraId="01726307" w14:textId="77777777" w:rsidTr="47E61C9B">
      <w:trPr>
        <w:trHeight w:val="300"/>
      </w:trPr>
      <w:tc>
        <w:tcPr>
          <w:tcW w:w="3005" w:type="dxa"/>
        </w:tcPr>
        <w:p w14:paraId="71A749B2" w14:textId="14E83BC9" w:rsidR="47E61C9B" w:rsidRDefault="47E61C9B" w:rsidP="47E61C9B">
          <w:pPr>
            <w:pStyle w:val="Header"/>
            <w:ind w:left="-115"/>
          </w:pPr>
        </w:p>
      </w:tc>
      <w:tc>
        <w:tcPr>
          <w:tcW w:w="3005" w:type="dxa"/>
        </w:tcPr>
        <w:p w14:paraId="11D1D48C" w14:textId="053612B0" w:rsidR="47E61C9B" w:rsidRDefault="47E61C9B" w:rsidP="47E61C9B">
          <w:pPr>
            <w:pStyle w:val="Header"/>
            <w:jc w:val="center"/>
          </w:pPr>
        </w:p>
      </w:tc>
      <w:tc>
        <w:tcPr>
          <w:tcW w:w="3005" w:type="dxa"/>
        </w:tcPr>
        <w:p w14:paraId="08C55722" w14:textId="28909713" w:rsidR="47E61C9B" w:rsidRDefault="47E61C9B" w:rsidP="47E61C9B">
          <w:pPr>
            <w:pStyle w:val="Header"/>
            <w:ind w:right="-115"/>
            <w:jc w:val="right"/>
          </w:pPr>
        </w:p>
      </w:tc>
    </w:tr>
  </w:tbl>
  <w:p w14:paraId="171E9F17" w14:textId="275D710A" w:rsidR="00FF5FD6" w:rsidRDefault="00FF5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1099" w14:textId="77777777" w:rsidR="00BD4E44" w:rsidRDefault="00BD4E44" w:rsidP="00D875DF">
    <w:pPr>
      <w:pStyle w:val="Header"/>
      <w:tabs>
        <w:tab w:val="clear" w:pos="8306"/>
        <w:tab w:val="right" w:pos="9450"/>
      </w:tabs>
      <w:rPr>
        <w:rFonts w:ascii="Arial Narrow" w:hAnsi="Arial Narrow"/>
        <w:b/>
        <w:sz w:val="36"/>
      </w:rPr>
    </w:pPr>
    <w:r>
      <w:rPr>
        <w:rFonts w:ascii="Arial Narrow" w:hAnsi="Arial Narrow"/>
        <w:b/>
        <w:sz w:val="36"/>
      </w:rPr>
      <w:t>Contents</w:t>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6AC3D172" w14:textId="77777777">
      <w:trPr>
        <w:trHeight w:val="348"/>
        <w:jc w:val="right"/>
      </w:trPr>
      <w:tc>
        <w:tcPr>
          <w:tcW w:w="9558" w:type="dxa"/>
        </w:tcPr>
        <w:p w14:paraId="019C7868" w14:textId="77777777" w:rsidR="00BD4E44" w:rsidRDefault="00BD4E44">
          <w:pPr>
            <w:pStyle w:val="Header"/>
            <w:jc w:val="right"/>
          </w:pPr>
        </w:p>
      </w:tc>
    </w:tr>
  </w:tbl>
  <w:p w14:paraId="7546EDEF" w14:textId="77777777" w:rsidR="00BD4E44" w:rsidRDefault="00BD4E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45"/>
      <w:gridCol w:w="3145"/>
      <w:gridCol w:w="3145"/>
    </w:tblGrid>
    <w:tr w:rsidR="47E61C9B" w14:paraId="0658D129" w14:textId="77777777" w:rsidTr="47E61C9B">
      <w:trPr>
        <w:trHeight w:val="300"/>
      </w:trPr>
      <w:tc>
        <w:tcPr>
          <w:tcW w:w="3145" w:type="dxa"/>
        </w:tcPr>
        <w:p w14:paraId="59F0CC3F" w14:textId="220516FC" w:rsidR="47E61C9B" w:rsidRDefault="47E61C9B" w:rsidP="47E61C9B">
          <w:pPr>
            <w:pStyle w:val="Header"/>
            <w:ind w:left="-115"/>
          </w:pPr>
        </w:p>
      </w:tc>
      <w:tc>
        <w:tcPr>
          <w:tcW w:w="3145" w:type="dxa"/>
        </w:tcPr>
        <w:p w14:paraId="2DDD3945" w14:textId="62664CC4" w:rsidR="47E61C9B" w:rsidRDefault="47E61C9B" w:rsidP="47E61C9B">
          <w:pPr>
            <w:pStyle w:val="Header"/>
            <w:jc w:val="center"/>
          </w:pPr>
        </w:p>
      </w:tc>
      <w:tc>
        <w:tcPr>
          <w:tcW w:w="3145" w:type="dxa"/>
        </w:tcPr>
        <w:p w14:paraId="19A75D1B" w14:textId="00A27BDF" w:rsidR="47E61C9B" w:rsidRDefault="47E61C9B" w:rsidP="47E61C9B">
          <w:pPr>
            <w:pStyle w:val="Header"/>
            <w:ind w:right="-115"/>
            <w:jc w:val="right"/>
          </w:pPr>
        </w:p>
      </w:tc>
    </w:tr>
  </w:tbl>
  <w:p w14:paraId="2D07D17A" w14:textId="18B5D84A" w:rsidR="00FF5FD6" w:rsidRDefault="00FF5F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E364" w14:textId="77777777" w:rsidR="00BD4E44" w:rsidRDefault="00BD4E44" w:rsidP="00D875DF">
    <w:pPr>
      <w:pStyle w:val="Header"/>
      <w:tabs>
        <w:tab w:val="clear" w:pos="8306"/>
        <w:tab w:val="right" w:pos="9450"/>
      </w:tabs>
      <w:rPr>
        <w:rFonts w:ascii="Arial Narrow" w:hAnsi="Arial Narrow"/>
        <w:b/>
        <w:sz w:val="36"/>
      </w:rPr>
    </w:pPr>
    <w:r>
      <w:rPr>
        <w:rFonts w:ascii="Arial Narrow" w:hAnsi="Arial Narrow"/>
        <w:b/>
        <w:sz w:val="36"/>
      </w:rPr>
      <w:t>Narrative Report</w:t>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25952AEA" w14:textId="77777777">
      <w:trPr>
        <w:trHeight w:val="348"/>
        <w:jc w:val="right"/>
      </w:trPr>
      <w:tc>
        <w:tcPr>
          <w:tcW w:w="9558" w:type="dxa"/>
        </w:tcPr>
        <w:p w14:paraId="04A769DE" w14:textId="77777777" w:rsidR="00BD4E44" w:rsidRDefault="00BD4E44">
          <w:pPr>
            <w:pStyle w:val="Header"/>
            <w:jc w:val="right"/>
          </w:pPr>
        </w:p>
      </w:tc>
    </w:tr>
  </w:tbl>
  <w:p w14:paraId="669C0E80" w14:textId="77777777" w:rsidR="00BD4E44" w:rsidRDefault="00BD4E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DCAA" w14:textId="77777777" w:rsidR="00BD4E44" w:rsidRDefault="00BD4E44" w:rsidP="001A7C1D">
    <w:pPr>
      <w:pStyle w:val="Header"/>
      <w:tabs>
        <w:tab w:val="clear" w:pos="8306"/>
        <w:tab w:val="right" w:pos="9450"/>
      </w:tabs>
      <w:rPr>
        <w:rFonts w:ascii="Arial Narrow" w:hAnsi="Arial Narrow"/>
        <w:b/>
        <w:sz w:val="36"/>
      </w:rPr>
    </w:pPr>
  </w:p>
  <w:p w14:paraId="04B324C7" w14:textId="77777777" w:rsidR="00BD4E44" w:rsidRDefault="00BD4E44" w:rsidP="001A7C1D">
    <w:pPr>
      <w:pStyle w:val="Header"/>
      <w:tabs>
        <w:tab w:val="clear" w:pos="8306"/>
        <w:tab w:val="right" w:pos="9450"/>
      </w:tabs>
      <w:rPr>
        <w:rFonts w:ascii="Arial Narrow" w:hAnsi="Arial Narrow"/>
        <w:b/>
        <w:sz w:val="36"/>
      </w:rPr>
    </w:pPr>
    <w:r>
      <w:rPr>
        <w:rFonts w:ascii="Arial Narrow" w:hAnsi="Arial Narrow"/>
        <w:b/>
        <w:sz w:val="36"/>
      </w:rPr>
      <w:t>Narrative Report</w:t>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16345C26" w14:textId="77777777" w:rsidTr="001A7C1D">
      <w:trPr>
        <w:trHeight w:val="348"/>
        <w:jc w:val="right"/>
      </w:trPr>
      <w:tc>
        <w:tcPr>
          <w:tcW w:w="9137" w:type="dxa"/>
        </w:tcPr>
        <w:p w14:paraId="6796908D" w14:textId="77777777" w:rsidR="00BD4E44" w:rsidRDefault="00BD4E44" w:rsidP="001A7C1D">
          <w:pPr>
            <w:pStyle w:val="Header"/>
            <w:jc w:val="right"/>
          </w:pPr>
        </w:p>
      </w:tc>
    </w:tr>
  </w:tbl>
  <w:p w14:paraId="71BFD8FF" w14:textId="77777777" w:rsidR="00BD4E44" w:rsidRPr="001A7C1D" w:rsidRDefault="00BD4E44" w:rsidP="001A7C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D03A" w14:textId="77777777" w:rsidR="00BD4E44" w:rsidRDefault="00BD4E44" w:rsidP="00D875DF">
    <w:pPr>
      <w:pStyle w:val="Header"/>
      <w:tabs>
        <w:tab w:val="clear" w:pos="8306"/>
        <w:tab w:val="right" w:pos="9450"/>
      </w:tabs>
      <w:rPr>
        <w:rFonts w:ascii="Arial Narrow" w:hAnsi="Arial Narrow"/>
        <w:b/>
        <w:sz w:val="36"/>
      </w:rPr>
    </w:pPr>
    <w:r>
      <w:rPr>
        <w:rFonts w:ascii="Arial Narrow" w:hAnsi="Arial Narrow"/>
        <w:b/>
        <w:sz w:val="36"/>
      </w:rPr>
      <w:t>Annual Governance Statement</w:t>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07F6664D" w14:textId="77777777">
      <w:trPr>
        <w:trHeight w:val="348"/>
        <w:jc w:val="right"/>
      </w:trPr>
      <w:tc>
        <w:tcPr>
          <w:tcW w:w="9558" w:type="dxa"/>
        </w:tcPr>
        <w:p w14:paraId="47FB1F8E" w14:textId="77777777" w:rsidR="00BD4E44" w:rsidRDefault="00BD4E44">
          <w:pPr>
            <w:pStyle w:val="Header"/>
            <w:jc w:val="right"/>
          </w:pPr>
        </w:p>
      </w:tc>
    </w:tr>
  </w:tbl>
  <w:p w14:paraId="12BF580A" w14:textId="77777777" w:rsidR="00BD4E44" w:rsidRDefault="00BD4E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2ECD" w14:textId="77777777" w:rsidR="00BD4E44" w:rsidRDefault="00BD4E44" w:rsidP="001A7C1D">
    <w:pPr>
      <w:pStyle w:val="Header"/>
      <w:tabs>
        <w:tab w:val="clear" w:pos="8306"/>
        <w:tab w:val="right" w:pos="9450"/>
      </w:tabs>
      <w:rPr>
        <w:rFonts w:ascii="Arial Narrow" w:hAnsi="Arial Narrow"/>
        <w:b/>
        <w:sz w:val="36"/>
      </w:rPr>
    </w:pPr>
  </w:p>
  <w:p w14:paraId="64B92EE9" w14:textId="77777777" w:rsidR="00BD4E44" w:rsidRDefault="00BD4E44" w:rsidP="001A7C1D">
    <w:pPr>
      <w:pStyle w:val="Header"/>
      <w:tabs>
        <w:tab w:val="clear" w:pos="8306"/>
        <w:tab w:val="right" w:pos="9450"/>
      </w:tabs>
      <w:rPr>
        <w:rFonts w:ascii="Arial Narrow" w:hAnsi="Arial Narrow"/>
        <w:b/>
        <w:sz w:val="36"/>
      </w:rPr>
    </w:pPr>
    <w:r>
      <w:rPr>
        <w:rFonts w:ascii="Arial Narrow" w:hAnsi="Arial Narrow"/>
        <w:b/>
        <w:sz w:val="36"/>
      </w:rPr>
      <w:t>Annual Governance Statement</w:t>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32232AC1" w14:textId="77777777" w:rsidTr="001A7C1D">
      <w:trPr>
        <w:trHeight w:val="348"/>
        <w:jc w:val="right"/>
      </w:trPr>
      <w:tc>
        <w:tcPr>
          <w:tcW w:w="9137" w:type="dxa"/>
        </w:tcPr>
        <w:p w14:paraId="2F498294" w14:textId="77777777" w:rsidR="00BD4E44" w:rsidRDefault="00BD4E44" w:rsidP="001A7C1D">
          <w:pPr>
            <w:pStyle w:val="Header"/>
            <w:jc w:val="right"/>
          </w:pPr>
        </w:p>
      </w:tc>
    </w:tr>
  </w:tbl>
  <w:p w14:paraId="0A2BF06E" w14:textId="77777777" w:rsidR="00BD4E44" w:rsidRPr="001A7C1D" w:rsidRDefault="00BD4E44" w:rsidP="001A7C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0DC9" w14:textId="77777777" w:rsidR="00BD4E44" w:rsidRDefault="00BD4E44" w:rsidP="00D875DF">
    <w:pPr>
      <w:pStyle w:val="Header"/>
      <w:tabs>
        <w:tab w:val="clear" w:pos="8306"/>
        <w:tab w:val="right" w:pos="9450"/>
      </w:tabs>
      <w:rPr>
        <w:rFonts w:ascii="Arial Narrow" w:hAnsi="Arial Narrow"/>
        <w:b/>
        <w:sz w:val="36"/>
      </w:rPr>
    </w:pPr>
    <w:r>
      <w:rPr>
        <w:rFonts w:ascii="Arial Narrow" w:hAnsi="Arial Narrow"/>
        <w:b/>
        <w:sz w:val="36"/>
      </w:rPr>
      <w:t>Statement of Responsibilities</w:t>
    </w:r>
    <w:r>
      <w:rPr>
        <w:rFonts w:ascii="Arial Narrow" w:hAnsi="Arial Narrow"/>
        <w:b/>
        <w:sz w:val="36"/>
      </w:rPr>
      <w:tab/>
    </w:r>
    <w:r>
      <w:rPr>
        <w:rFonts w:ascii="Arial Narrow" w:hAnsi="Arial Narrow"/>
        <w:b/>
        <w:sz w:val="36"/>
      </w:rPr>
      <w:tab/>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5CB1CF09" w14:textId="77777777">
      <w:trPr>
        <w:trHeight w:val="348"/>
        <w:jc w:val="right"/>
      </w:trPr>
      <w:tc>
        <w:tcPr>
          <w:tcW w:w="9558" w:type="dxa"/>
        </w:tcPr>
        <w:p w14:paraId="61C1A3B2" w14:textId="77777777" w:rsidR="00BD4E44" w:rsidRDefault="00BD4E44">
          <w:pPr>
            <w:pStyle w:val="Header"/>
            <w:jc w:val="right"/>
          </w:pPr>
        </w:p>
      </w:tc>
    </w:tr>
  </w:tbl>
  <w:p w14:paraId="2C607146" w14:textId="77777777" w:rsidR="00BD4E44" w:rsidRDefault="00BD4E4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rodGmF8" int2:invalidationBookmarkName="" int2:hashCode="e0dMsLOcF3PXGS" int2:id="18mg33N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8E7"/>
    <w:multiLevelType w:val="multilevel"/>
    <w:tmpl w:val="EC66BF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1D1BA2"/>
    <w:multiLevelType w:val="multilevel"/>
    <w:tmpl w:val="751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13403"/>
    <w:multiLevelType w:val="hybridMultilevel"/>
    <w:tmpl w:val="295068E0"/>
    <w:lvl w:ilvl="0" w:tplc="EABE1504">
      <w:start w:val="1"/>
      <w:numFmt w:val="decimal"/>
      <w:lvlRestart w:val="0"/>
      <w:pStyle w:val="Bodytextnumbered"/>
      <w:lvlText w:val="%1"/>
      <w:lvlJc w:val="left"/>
      <w:pPr>
        <w:tabs>
          <w:tab w:val="num" w:pos="397"/>
        </w:tabs>
        <w:ind w:left="397" w:hanging="397"/>
      </w:pPr>
      <w:rPr>
        <w:rFonts w:hint="default"/>
        <w:b/>
        <w:i w:val="0"/>
        <w:color w:val="auto"/>
        <w:sz w:val="20"/>
        <w:szCs w:val="20"/>
      </w:rPr>
    </w:lvl>
    <w:lvl w:ilvl="1" w:tplc="08090019">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rPr>
        <w:rFonts w:hint="default"/>
        <w:b/>
        <w:i w:val="0"/>
        <w:color w:val="083863"/>
        <w:sz w:val="20"/>
        <w:szCs w:val="20"/>
      </w:r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3" w15:restartNumberingAfterBreak="0">
    <w:nsid w:val="042B0EDB"/>
    <w:multiLevelType w:val="hybridMultilevel"/>
    <w:tmpl w:val="51CA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90351"/>
    <w:multiLevelType w:val="hybridMultilevel"/>
    <w:tmpl w:val="E980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B5ACC"/>
    <w:multiLevelType w:val="hybridMultilevel"/>
    <w:tmpl w:val="1CD6B96C"/>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E11314"/>
    <w:multiLevelType w:val="hybridMultilevel"/>
    <w:tmpl w:val="2B420EB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FF432C"/>
    <w:multiLevelType w:val="hybridMultilevel"/>
    <w:tmpl w:val="C682EDE0"/>
    <w:lvl w:ilvl="0" w:tplc="FA90ED16">
      <w:start w:val="1"/>
      <w:numFmt w:val="decimal"/>
      <w:lvlText w:val="%1."/>
      <w:lvlJc w:val="left"/>
      <w:pPr>
        <w:tabs>
          <w:tab w:val="num" w:pos="360"/>
        </w:tabs>
        <w:ind w:left="360" w:hanging="360"/>
      </w:pPr>
      <w:rPr>
        <w:rFonts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DA4713"/>
    <w:multiLevelType w:val="multilevel"/>
    <w:tmpl w:val="B4FC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A7C42"/>
    <w:multiLevelType w:val="hybridMultilevel"/>
    <w:tmpl w:val="73424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312AC2"/>
    <w:multiLevelType w:val="hybridMultilevel"/>
    <w:tmpl w:val="037295B6"/>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CA0497"/>
    <w:multiLevelType w:val="multilevel"/>
    <w:tmpl w:val="916A08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B4615E"/>
    <w:multiLevelType w:val="multilevel"/>
    <w:tmpl w:val="314E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04640"/>
    <w:multiLevelType w:val="hybridMultilevel"/>
    <w:tmpl w:val="B27AA198"/>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2386CEC"/>
    <w:multiLevelType w:val="hybridMultilevel"/>
    <w:tmpl w:val="7962335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3D015F4"/>
    <w:multiLevelType w:val="multilevel"/>
    <w:tmpl w:val="BD3084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5A71FCE"/>
    <w:multiLevelType w:val="hybridMultilevel"/>
    <w:tmpl w:val="D572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35482"/>
    <w:multiLevelType w:val="hybridMultilevel"/>
    <w:tmpl w:val="8F68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3012D0"/>
    <w:multiLevelType w:val="multilevel"/>
    <w:tmpl w:val="0478AFB4"/>
    <w:lvl w:ilvl="0">
      <w:start w:val="1"/>
      <w:numFmt w:val="bullet"/>
      <w:lvlText w:val="o"/>
      <w:lvlJc w:val="left"/>
      <w:pPr>
        <w:tabs>
          <w:tab w:val="num" w:pos="720"/>
        </w:tabs>
        <w:ind w:left="720" w:hanging="360"/>
      </w:pPr>
      <w:rPr>
        <w:rFonts w:ascii="Courier New" w:hAnsi="Courier New" w:hint="default"/>
        <w:sz w:val="20"/>
      </w:rPr>
    </w:lvl>
    <w:lvl w:ilvl="1">
      <w:start w:val="9"/>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7687193"/>
    <w:multiLevelType w:val="hybridMultilevel"/>
    <w:tmpl w:val="B858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BD350A"/>
    <w:multiLevelType w:val="hybridMultilevel"/>
    <w:tmpl w:val="ED487BA6"/>
    <w:lvl w:ilvl="0" w:tplc="04090001">
      <w:start w:val="1"/>
      <w:numFmt w:val="bullet"/>
      <w:lvlText w:val=""/>
      <w:lvlJc w:val="left"/>
      <w:pPr>
        <w:ind w:left="360" w:hanging="360"/>
      </w:pPr>
      <w:rPr>
        <w:rFonts w:ascii="Symbol" w:hAnsi="Symbol" w:hint="default"/>
      </w:rPr>
    </w:lvl>
    <w:lvl w:ilvl="1" w:tplc="A70270E8">
      <w:start w:val="1"/>
      <w:numFmt w:val="bullet"/>
      <w:lvlText w:val=""/>
      <w:lvlJc w:val="left"/>
      <w:pPr>
        <w:tabs>
          <w:tab w:val="num" w:pos="3445"/>
        </w:tabs>
        <w:ind w:left="1857" w:hanging="57"/>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0D24DC"/>
    <w:multiLevelType w:val="hybridMultilevel"/>
    <w:tmpl w:val="A91661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2CBA16E9"/>
    <w:multiLevelType w:val="multilevel"/>
    <w:tmpl w:val="38CC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026138"/>
    <w:multiLevelType w:val="multilevel"/>
    <w:tmpl w:val="BAC0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C92674"/>
    <w:multiLevelType w:val="hybridMultilevel"/>
    <w:tmpl w:val="D6ECCF9C"/>
    <w:lvl w:ilvl="0" w:tplc="A70270E8">
      <w:start w:val="1"/>
      <w:numFmt w:val="bullet"/>
      <w:lvlText w:val=""/>
      <w:lvlJc w:val="left"/>
      <w:pPr>
        <w:tabs>
          <w:tab w:val="num" w:pos="1786"/>
        </w:tabs>
        <w:ind w:left="198" w:hanging="57"/>
      </w:pPr>
      <w:rPr>
        <w:rFonts w:ascii="Symbol" w:hAnsi="Symbol" w:hint="default"/>
      </w:rPr>
    </w:lvl>
    <w:lvl w:ilvl="1" w:tplc="04090003" w:tentative="1">
      <w:start w:val="1"/>
      <w:numFmt w:val="bullet"/>
      <w:lvlText w:val="o"/>
      <w:lvlJc w:val="left"/>
      <w:pPr>
        <w:tabs>
          <w:tab w:val="num" w:pos="2407"/>
        </w:tabs>
        <w:ind w:left="2407" w:hanging="360"/>
      </w:pPr>
      <w:rPr>
        <w:rFonts w:ascii="Courier New" w:hAnsi="Courier New" w:cs="Courier New" w:hint="default"/>
      </w:rPr>
    </w:lvl>
    <w:lvl w:ilvl="2" w:tplc="04090005" w:tentative="1">
      <w:start w:val="1"/>
      <w:numFmt w:val="bullet"/>
      <w:lvlText w:val=""/>
      <w:lvlJc w:val="left"/>
      <w:pPr>
        <w:tabs>
          <w:tab w:val="num" w:pos="3127"/>
        </w:tabs>
        <w:ind w:left="3127" w:hanging="360"/>
      </w:pPr>
      <w:rPr>
        <w:rFonts w:ascii="Wingdings" w:hAnsi="Wingdings" w:hint="default"/>
      </w:rPr>
    </w:lvl>
    <w:lvl w:ilvl="3" w:tplc="04090001" w:tentative="1">
      <w:start w:val="1"/>
      <w:numFmt w:val="bullet"/>
      <w:lvlText w:val=""/>
      <w:lvlJc w:val="left"/>
      <w:pPr>
        <w:tabs>
          <w:tab w:val="num" w:pos="3847"/>
        </w:tabs>
        <w:ind w:left="3847" w:hanging="360"/>
      </w:pPr>
      <w:rPr>
        <w:rFonts w:ascii="Symbol" w:hAnsi="Symbol" w:hint="default"/>
      </w:rPr>
    </w:lvl>
    <w:lvl w:ilvl="4" w:tplc="04090003" w:tentative="1">
      <w:start w:val="1"/>
      <w:numFmt w:val="bullet"/>
      <w:lvlText w:val="o"/>
      <w:lvlJc w:val="left"/>
      <w:pPr>
        <w:tabs>
          <w:tab w:val="num" w:pos="4567"/>
        </w:tabs>
        <w:ind w:left="4567" w:hanging="360"/>
      </w:pPr>
      <w:rPr>
        <w:rFonts w:ascii="Courier New" w:hAnsi="Courier New" w:cs="Courier New" w:hint="default"/>
      </w:rPr>
    </w:lvl>
    <w:lvl w:ilvl="5" w:tplc="04090005" w:tentative="1">
      <w:start w:val="1"/>
      <w:numFmt w:val="bullet"/>
      <w:lvlText w:val=""/>
      <w:lvlJc w:val="left"/>
      <w:pPr>
        <w:tabs>
          <w:tab w:val="num" w:pos="5287"/>
        </w:tabs>
        <w:ind w:left="5287" w:hanging="360"/>
      </w:pPr>
      <w:rPr>
        <w:rFonts w:ascii="Wingdings" w:hAnsi="Wingdings" w:hint="default"/>
      </w:rPr>
    </w:lvl>
    <w:lvl w:ilvl="6" w:tplc="04090001" w:tentative="1">
      <w:start w:val="1"/>
      <w:numFmt w:val="bullet"/>
      <w:lvlText w:val=""/>
      <w:lvlJc w:val="left"/>
      <w:pPr>
        <w:tabs>
          <w:tab w:val="num" w:pos="6007"/>
        </w:tabs>
        <w:ind w:left="6007" w:hanging="360"/>
      </w:pPr>
      <w:rPr>
        <w:rFonts w:ascii="Symbol" w:hAnsi="Symbol" w:hint="default"/>
      </w:rPr>
    </w:lvl>
    <w:lvl w:ilvl="7" w:tplc="04090003" w:tentative="1">
      <w:start w:val="1"/>
      <w:numFmt w:val="bullet"/>
      <w:lvlText w:val="o"/>
      <w:lvlJc w:val="left"/>
      <w:pPr>
        <w:tabs>
          <w:tab w:val="num" w:pos="6727"/>
        </w:tabs>
        <w:ind w:left="6727" w:hanging="360"/>
      </w:pPr>
      <w:rPr>
        <w:rFonts w:ascii="Courier New" w:hAnsi="Courier New" w:cs="Courier New" w:hint="default"/>
      </w:rPr>
    </w:lvl>
    <w:lvl w:ilvl="8" w:tplc="04090005" w:tentative="1">
      <w:start w:val="1"/>
      <w:numFmt w:val="bullet"/>
      <w:lvlText w:val=""/>
      <w:lvlJc w:val="left"/>
      <w:pPr>
        <w:tabs>
          <w:tab w:val="num" w:pos="7447"/>
        </w:tabs>
        <w:ind w:left="7447" w:hanging="360"/>
      </w:pPr>
      <w:rPr>
        <w:rFonts w:ascii="Wingdings" w:hAnsi="Wingdings" w:hint="default"/>
      </w:rPr>
    </w:lvl>
  </w:abstractNum>
  <w:abstractNum w:abstractNumId="25" w15:restartNumberingAfterBreak="0">
    <w:nsid w:val="32D14AE0"/>
    <w:multiLevelType w:val="hybridMultilevel"/>
    <w:tmpl w:val="6C6E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DA0E00"/>
    <w:multiLevelType w:val="hybridMultilevel"/>
    <w:tmpl w:val="8B36146C"/>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27" w15:restartNumberingAfterBreak="0">
    <w:nsid w:val="33C416C7"/>
    <w:multiLevelType w:val="hybridMultilevel"/>
    <w:tmpl w:val="EC68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272A2C"/>
    <w:multiLevelType w:val="hybridMultilevel"/>
    <w:tmpl w:val="287CA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6CA2BBB"/>
    <w:multiLevelType w:val="hybridMultilevel"/>
    <w:tmpl w:val="CDC6B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7347425"/>
    <w:multiLevelType w:val="hybridMultilevel"/>
    <w:tmpl w:val="FD52D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37A6336"/>
    <w:multiLevelType w:val="hybridMultilevel"/>
    <w:tmpl w:val="B03689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4400878"/>
    <w:multiLevelType w:val="hybridMultilevel"/>
    <w:tmpl w:val="3B129FE6"/>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33" w15:restartNumberingAfterBreak="0">
    <w:nsid w:val="44A24F3B"/>
    <w:multiLevelType w:val="hybridMultilevel"/>
    <w:tmpl w:val="F7309DDA"/>
    <w:lvl w:ilvl="0" w:tplc="5D7250EC">
      <w:start w:val="1"/>
      <w:numFmt w:val="bullet"/>
      <w:pStyle w:val="Bullet1"/>
      <w:lvlText w:val=""/>
      <w:lvlJc w:val="left"/>
      <w:pPr>
        <w:tabs>
          <w:tab w:val="num" w:pos="794"/>
        </w:tabs>
        <w:ind w:left="794" w:hanging="39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871AFC"/>
    <w:multiLevelType w:val="hybridMultilevel"/>
    <w:tmpl w:val="BADE79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71D5B17"/>
    <w:multiLevelType w:val="hybridMultilevel"/>
    <w:tmpl w:val="B9DCD5DC"/>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453BCC"/>
    <w:multiLevelType w:val="hybridMultilevel"/>
    <w:tmpl w:val="71AE9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797640"/>
    <w:multiLevelType w:val="multilevel"/>
    <w:tmpl w:val="9D8EF7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B6A5C45"/>
    <w:multiLevelType w:val="hybridMultilevel"/>
    <w:tmpl w:val="394A5BB6"/>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BAD67BB"/>
    <w:multiLevelType w:val="hybridMultilevel"/>
    <w:tmpl w:val="598827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4CE9482D"/>
    <w:multiLevelType w:val="hybridMultilevel"/>
    <w:tmpl w:val="23E205E2"/>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D7FCB"/>
    <w:multiLevelType w:val="hybridMultilevel"/>
    <w:tmpl w:val="A57C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E780CB1"/>
    <w:multiLevelType w:val="multilevel"/>
    <w:tmpl w:val="0BD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9E52E6"/>
    <w:multiLevelType w:val="hybridMultilevel"/>
    <w:tmpl w:val="299CC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43F2E45"/>
    <w:multiLevelType w:val="multilevel"/>
    <w:tmpl w:val="8CE234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6AB1AB1"/>
    <w:multiLevelType w:val="multilevel"/>
    <w:tmpl w:val="77D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D1497D"/>
    <w:multiLevelType w:val="multilevel"/>
    <w:tmpl w:val="F7E83D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B0C37D7"/>
    <w:multiLevelType w:val="hybridMultilevel"/>
    <w:tmpl w:val="DBE693C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5D8167F7"/>
    <w:multiLevelType w:val="multilevel"/>
    <w:tmpl w:val="858E33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DDB5E6E"/>
    <w:multiLevelType w:val="multilevel"/>
    <w:tmpl w:val="FAE6F968"/>
    <w:numStyleLink w:val="GTListBullet"/>
  </w:abstractNum>
  <w:abstractNum w:abstractNumId="50" w15:restartNumberingAfterBreak="0">
    <w:nsid w:val="5E047DD8"/>
    <w:multiLevelType w:val="hybridMultilevel"/>
    <w:tmpl w:val="3C6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667BEC"/>
    <w:multiLevelType w:val="hybridMultilevel"/>
    <w:tmpl w:val="DD9076E0"/>
    <w:lvl w:ilvl="0" w:tplc="FA90ED16">
      <w:start w:val="1"/>
      <w:numFmt w:val="decimal"/>
      <w:lvlText w:val="%1."/>
      <w:lvlJc w:val="left"/>
      <w:pPr>
        <w:tabs>
          <w:tab w:val="num" w:pos="502"/>
        </w:tabs>
        <w:ind w:left="502" w:hanging="360"/>
      </w:pPr>
      <w:rPr>
        <w:rFonts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0A734DA"/>
    <w:multiLevelType w:val="hybridMultilevel"/>
    <w:tmpl w:val="60C2560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ind w:left="851" w:firstLine="0"/>
      </w:pPr>
    </w:lvl>
  </w:abstractNum>
  <w:abstractNum w:abstractNumId="54" w15:restartNumberingAfterBreak="0">
    <w:nsid w:val="62343B0D"/>
    <w:multiLevelType w:val="hybridMultilevel"/>
    <w:tmpl w:val="214CB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3C8317A"/>
    <w:multiLevelType w:val="hybridMultilevel"/>
    <w:tmpl w:val="C1C66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43C1FCC"/>
    <w:multiLevelType w:val="multilevel"/>
    <w:tmpl w:val="3BEC5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4E90E10"/>
    <w:multiLevelType w:val="hybridMultilevel"/>
    <w:tmpl w:val="6E7E6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7317CE5"/>
    <w:multiLevelType w:val="hybridMultilevel"/>
    <w:tmpl w:val="09288438"/>
    <w:lvl w:ilvl="0" w:tplc="08090001">
      <w:start w:val="1"/>
      <w:numFmt w:val="bullet"/>
      <w:lvlText w:val=""/>
      <w:lvlJc w:val="left"/>
      <w:pPr>
        <w:ind w:left="720" w:hanging="360"/>
      </w:pPr>
      <w:rPr>
        <w:rFonts w:ascii="Symbol" w:hAnsi="Symbol" w:hint="default"/>
      </w:rPr>
    </w:lvl>
    <w:lvl w:ilvl="1" w:tplc="ED80DD8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D10E3C"/>
    <w:multiLevelType w:val="hybridMultilevel"/>
    <w:tmpl w:val="8AB0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8BE04FC"/>
    <w:multiLevelType w:val="hybridMultilevel"/>
    <w:tmpl w:val="C4B28E12"/>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9B229BD"/>
    <w:multiLevelType w:val="hybridMultilevel"/>
    <w:tmpl w:val="F03CF80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78631C"/>
    <w:multiLevelType w:val="hybridMultilevel"/>
    <w:tmpl w:val="D87E1BD0"/>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EE92324"/>
    <w:multiLevelType w:val="hybridMultilevel"/>
    <w:tmpl w:val="A94A18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1547B21"/>
    <w:multiLevelType w:val="hybridMultilevel"/>
    <w:tmpl w:val="D5AA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7A1392"/>
    <w:multiLevelType w:val="hybridMultilevel"/>
    <w:tmpl w:val="E6EEEFA2"/>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71AD5645"/>
    <w:multiLevelType w:val="hybridMultilevel"/>
    <w:tmpl w:val="B86A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2949DA"/>
    <w:multiLevelType w:val="hybridMultilevel"/>
    <w:tmpl w:val="F8244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383398B"/>
    <w:multiLevelType w:val="hybridMultilevel"/>
    <w:tmpl w:val="AC84B2F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1C1FCF"/>
    <w:multiLevelType w:val="hybridMultilevel"/>
    <w:tmpl w:val="F7DEBE7C"/>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7AF5588B"/>
    <w:multiLevelType w:val="hybridMultilevel"/>
    <w:tmpl w:val="2A9E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B76957"/>
    <w:multiLevelType w:val="hybridMultilevel"/>
    <w:tmpl w:val="147EACB6"/>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982728309">
    <w:abstractNumId w:val="51"/>
  </w:num>
  <w:num w:numId="2" w16cid:durableId="947853880">
    <w:abstractNumId w:val="33"/>
  </w:num>
  <w:num w:numId="3" w16cid:durableId="1299412649">
    <w:abstractNumId w:val="2"/>
  </w:num>
  <w:num w:numId="4" w16cid:durableId="446393455">
    <w:abstractNumId w:val="20"/>
  </w:num>
  <w:num w:numId="5" w16cid:durableId="127089869">
    <w:abstractNumId w:val="67"/>
  </w:num>
  <w:num w:numId="6" w16cid:durableId="841817561">
    <w:abstractNumId w:val="24"/>
  </w:num>
  <w:num w:numId="7" w16cid:durableId="752356794">
    <w:abstractNumId w:val="5"/>
  </w:num>
  <w:num w:numId="8" w16cid:durableId="1474325726">
    <w:abstractNumId w:val="52"/>
  </w:num>
  <w:num w:numId="9" w16cid:durableId="1078014468">
    <w:abstractNumId w:val="60"/>
  </w:num>
  <w:num w:numId="10" w16cid:durableId="1883638951">
    <w:abstractNumId w:val="10"/>
  </w:num>
  <w:num w:numId="11" w16cid:durableId="261493614">
    <w:abstractNumId w:val="61"/>
  </w:num>
  <w:num w:numId="12" w16cid:durableId="437067399">
    <w:abstractNumId w:val="40"/>
  </w:num>
  <w:num w:numId="13" w16cid:durableId="1123501700">
    <w:abstractNumId w:val="35"/>
  </w:num>
  <w:num w:numId="14" w16cid:durableId="2093969349">
    <w:abstractNumId w:val="62"/>
  </w:num>
  <w:num w:numId="15" w16cid:durableId="56633784">
    <w:abstractNumId w:val="7"/>
  </w:num>
  <w:num w:numId="16" w16cid:durableId="2069068287">
    <w:abstractNumId w:val="68"/>
  </w:num>
  <w:num w:numId="17" w16cid:durableId="1852527447">
    <w:abstractNumId w:val="38"/>
  </w:num>
  <w:num w:numId="18" w16cid:durableId="111558767">
    <w:abstractNumId w:val="69"/>
  </w:num>
  <w:num w:numId="19" w16cid:durableId="1268393161">
    <w:abstractNumId w:val="6"/>
  </w:num>
  <w:num w:numId="20" w16cid:durableId="1185050495">
    <w:abstractNumId w:val="71"/>
  </w:num>
  <w:num w:numId="21" w16cid:durableId="1618443224">
    <w:abstractNumId w:val="13"/>
  </w:num>
  <w:num w:numId="22" w16cid:durableId="748237502">
    <w:abstractNumId w:val="47"/>
  </w:num>
  <w:num w:numId="23" w16cid:durableId="1039015111">
    <w:abstractNumId w:val="14"/>
  </w:num>
  <w:num w:numId="24" w16cid:durableId="1041899199">
    <w:abstractNumId w:val="58"/>
  </w:num>
  <w:num w:numId="25" w16cid:durableId="312291757">
    <w:abstractNumId w:val="50"/>
  </w:num>
  <w:num w:numId="26" w16cid:durableId="1932473174">
    <w:abstractNumId w:val="65"/>
  </w:num>
  <w:num w:numId="27" w16cid:durableId="163862597">
    <w:abstractNumId w:val="30"/>
  </w:num>
  <w:num w:numId="28" w16cid:durableId="2133163473">
    <w:abstractNumId w:val="21"/>
  </w:num>
  <w:num w:numId="29" w16cid:durableId="1734541408">
    <w:abstractNumId w:val="43"/>
  </w:num>
  <w:num w:numId="30" w16cid:durableId="754401952">
    <w:abstractNumId w:val="63"/>
  </w:num>
  <w:num w:numId="31" w16cid:durableId="1215700950">
    <w:abstractNumId w:val="27"/>
  </w:num>
  <w:num w:numId="32" w16cid:durableId="120195860">
    <w:abstractNumId w:val="64"/>
  </w:num>
  <w:num w:numId="33" w16cid:durableId="1983193697">
    <w:abstractNumId w:val="16"/>
  </w:num>
  <w:num w:numId="34" w16cid:durableId="1909609397">
    <w:abstractNumId w:val="34"/>
  </w:num>
  <w:num w:numId="35" w16cid:durableId="837043326">
    <w:abstractNumId w:val="36"/>
  </w:num>
  <w:num w:numId="36" w16cid:durableId="652417593">
    <w:abstractNumId w:val="54"/>
  </w:num>
  <w:num w:numId="37" w16cid:durableId="1210386418">
    <w:abstractNumId w:val="3"/>
  </w:num>
  <w:num w:numId="38" w16cid:durableId="659575036">
    <w:abstractNumId w:val="59"/>
  </w:num>
  <w:num w:numId="39" w16cid:durableId="907228223">
    <w:abstractNumId w:val="25"/>
  </w:num>
  <w:num w:numId="40" w16cid:durableId="2128430553">
    <w:abstractNumId w:val="70"/>
  </w:num>
  <w:num w:numId="41" w16cid:durableId="1167747240">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8265017">
    <w:abstractNumId w:val="53"/>
  </w:num>
  <w:num w:numId="43" w16cid:durableId="1708289092">
    <w:abstractNumId w:val="26"/>
  </w:num>
  <w:num w:numId="44" w16cid:durableId="1541434052">
    <w:abstractNumId w:val="1"/>
  </w:num>
  <w:num w:numId="45" w16cid:durableId="1491672559">
    <w:abstractNumId w:val="9"/>
  </w:num>
  <w:num w:numId="46" w16cid:durableId="20506900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5192186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1882842">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1561882">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112542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8188814">
    <w:abstractNumId w:val="12"/>
  </w:num>
  <w:num w:numId="52" w16cid:durableId="1672298957">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073350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5343251">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36533239">
    <w:abstractNumId w:val="45"/>
  </w:num>
  <w:num w:numId="56" w16cid:durableId="136993612">
    <w:abstractNumId w:val="8"/>
  </w:num>
  <w:num w:numId="57" w16cid:durableId="1576818086">
    <w:abstractNumId w:val="42"/>
  </w:num>
  <w:num w:numId="58" w16cid:durableId="168255832">
    <w:abstractNumId w:val="22"/>
  </w:num>
  <w:num w:numId="59" w16cid:durableId="661080064">
    <w:abstractNumId w:val="18"/>
    <w:lvlOverride w:ilvl="0"/>
    <w:lvlOverride w:ilvl="1">
      <w:startOverride w:val="9"/>
    </w:lvlOverride>
    <w:lvlOverride w:ilvl="2"/>
    <w:lvlOverride w:ilvl="3"/>
    <w:lvlOverride w:ilvl="4"/>
    <w:lvlOverride w:ilvl="5"/>
    <w:lvlOverride w:ilvl="6"/>
    <w:lvlOverride w:ilvl="7"/>
    <w:lvlOverride w:ilvl="8"/>
  </w:num>
  <w:num w:numId="60" w16cid:durableId="604382632">
    <w:abstractNumId w:val="23"/>
  </w:num>
  <w:num w:numId="61" w16cid:durableId="1240017820">
    <w:abstractNumId w:val="55"/>
  </w:num>
  <w:num w:numId="62" w16cid:durableId="100150360">
    <w:abstractNumId w:val="29"/>
  </w:num>
  <w:num w:numId="63" w16cid:durableId="1625424185">
    <w:abstractNumId w:val="57"/>
  </w:num>
  <w:num w:numId="64" w16cid:durableId="1908110543">
    <w:abstractNumId w:val="41"/>
  </w:num>
  <w:num w:numId="65" w16cid:durableId="110327834">
    <w:abstractNumId w:val="28"/>
  </w:num>
  <w:num w:numId="66" w16cid:durableId="2105178298">
    <w:abstractNumId w:val="32"/>
  </w:num>
  <w:num w:numId="67" w16cid:durableId="1316570918">
    <w:abstractNumId w:val="31"/>
  </w:num>
  <w:num w:numId="68" w16cid:durableId="1410230012">
    <w:abstractNumId w:val="17"/>
  </w:num>
  <w:num w:numId="69" w16cid:durableId="1469472516">
    <w:abstractNumId w:val="66"/>
  </w:num>
  <w:num w:numId="70" w16cid:durableId="368992903">
    <w:abstractNumId w:val="19"/>
  </w:num>
  <w:num w:numId="71" w16cid:durableId="1756586655">
    <w:abstractNumId w:val="39"/>
  </w:num>
  <w:num w:numId="72" w16cid:durableId="994991533">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42"/>
    <w:rsid w:val="00000254"/>
    <w:rsid w:val="00000423"/>
    <w:rsid w:val="0000044A"/>
    <w:rsid w:val="00000745"/>
    <w:rsid w:val="000007DE"/>
    <w:rsid w:val="000008DC"/>
    <w:rsid w:val="00000AE6"/>
    <w:rsid w:val="00000BCD"/>
    <w:rsid w:val="00001348"/>
    <w:rsid w:val="00001359"/>
    <w:rsid w:val="00001482"/>
    <w:rsid w:val="00001500"/>
    <w:rsid w:val="00001604"/>
    <w:rsid w:val="00001D8E"/>
    <w:rsid w:val="00001FA6"/>
    <w:rsid w:val="00002086"/>
    <w:rsid w:val="00002347"/>
    <w:rsid w:val="000026D1"/>
    <w:rsid w:val="00002B22"/>
    <w:rsid w:val="00002B84"/>
    <w:rsid w:val="00002D92"/>
    <w:rsid w:val="000031B5"/>
    <w:rsid w:val="000036A0"/>
    <w:rsid w:val="0000371D"/>
    <w:rsid w:val="0000382F"/>
    <w:rsid w:val="00003909"/>
    <w:rsid w:val="00003974"/>
    <w:rsid w:val="00003ACF"/>
    <w:rsid w:val="00003D85"/>
    <w:rsid w:val="00004109"/>
    <w:rsid w:val="000042EC"/>
    <w:rsid w:val="00004731"/>
    <w:rsid w:val="0000495D"/>
    <w:rsid w:val="00004B52"/>
    <w:rsid w:val="00005134"/>
    <w:rsid w:val="00005513"/>
    <w:rsid w:val="000056DA"/>
    <w:rsid w:val="000059D7"/>
    <w:rsid w:val="00005CE1"/>
    <w:rsid w:val="00005ED8"/>
    <w:rsid w:val="00006014"/>
    <w:rsid w:val="00006354"/>
    <w:rsid w:val="00006647"/>
    <w:rsid w:val="00006654"/>
    <w:rsid w:val="00006C9A"/>
    <w:rsid w:val="000070C4"/>
    <w:rsid w:val="0000740D"/>
    <w:rsid w:val="0000744F"/>
    <w:rsid w:val="00007768"/>
    <w:rsid w:val="0000784E"/>
    <w:rsid w:val="0000794C"/>
    <w:rsid w:val="00007AB7"/>
    <w:rsid w:val="00007E61"/>
    <w:rsid w:val="00007EA2"/>
    <w:rsid w:val="00010094"/>
    <w:rsid w:val="000108AC"/>
    <w:rsid w:val="000109AC"/>
    <w:rsid w:val="00010C3E"/>
    <w:rsid w:val="00010D08"/>
    <w:rsid w:val="00010E53"/>
    <w:rsid w:val="00010F29"/>
    <w:rsid w:val="00011088"/>
    <w:rsid w:val="00011095"/>
    <w:rsid w:val="000111F9"/>
    <w:rsid w:val="00011402"/>
    <w:rsid w:val="0001182C"/>
    <w:rsid w:val="000119F4"/>
    <w:rsid w:val="00011A21"/>
    <w:rsid w:val="00011D47"/>
    <w:rsid w:val="0001204A"/>
    <w:rsid w:val="000125CD"/>
    <w:rsid w:val="000125E4"/>
    <w:rsid w:val="00012CB2"/>
    <w:rsid w:val="00012DF9"/>
    <w:rsid w:val="00012FF3"/>
    <w:rsid w:val="00013683"/>
    <w:rsid w:val="00013831"/>
    <w:rsid w:val="0001390F"/>
    <w:rsid w:val="00013A8E"/>
    <w:rsid w:val="00013BB6"/>
    <w:rsid w:val="00013DCE"/>
    <w:rsid w:val="000140A6"/>
    <w:rsid w:val="00014192"/>
    <w:rsid w:val="0001486F"/>
    <w:rsid w:val="00014937"/>
    <w:rsid w:val="00014A7C"/>
    <w:rsid w:val="00014B5E"/>
    <w:rsid w:val="00014D31"/>
    <w:rsid w:val="00014F05"/>
    <w:rsid w:val="00015A91"/>
    <w:rsid w:val="00015BBE"/>
    <w:rsid w:val="00015E78"/>
    <w:rsid w:val="00015EC5"/>
    <w:rsid w:val="00016DF2"/>
    <w:rsid w:val="00016EB1"/>
    <w:rsid w:val="00017B25"/>
    <w:rsid w:val="00017BEC"/>
    <w:rsid w:val="00020099"/>
    <w:rsid w:val="0002045D"/>
    <w:rsid w:val="00020965"/>
    <w:rsid w:val="00020DA2"/>
    <w:rsid w:val="00020F57"/>
    <w:rsid w:val="0002124F"/>
    <w:rsid w:val="000212DA"/>
    <w:rsid w:val="00021649"/>
    <w:rsid w:val="000217A7"/>
    <w:rsid w:val="0002188A"/>
    <w:rsid w:val="00021A4B"/>
    <w:rsid w:val="00021A93"/>
    <w:rsid w:val="00021B32"/>
    <w:rsid w:val="00022231"/>
    <w:rsid w:val="0002282B"/>
    <w:rsid w:val="00022CE0"/>
    <w:rsid w:val="00022D26"/>
    <w:rsid w:val="0002321B"/>
    <w:rsid w:val="00023331"/>
    <w:rsid w:val="000240E3"/>
    <w:rsid w:val="000249FC"/>
    <w:rsid w:val="00024A58"/>
    <w:rsid w:val="000251BD"/>
    <w:rsid w:val="000254E7"/>
    <w:rsid w:val="000257D6"/>
    <w:rsid w:val="0002585F"/>
    <w:rsid w:val="000258E8"/>
    <w:rsid w:val="00025A28"/>
    <w:rsid w:val="00025DC0"/>
    <w:rsid w:val="00026B65"/>
    <w:rsid w:val="00027290"/>
    <w:rsid w:val="00027327"/>
    <w:rsid w:val="00027444"/>
    <w:rsid w:val="000276D2"/>
    <w:rsid w:val="000277BF"/>
    <w:rsid w:val="00027C23"/>
    <w:rsid w:val="000300CE"/>
    <w:rsid w:val="000302EC"/>
    <w:rsid w:val="0003035F"/>
    <w:rsid w:val="00030A34"/>
    <w:rsid w:val="00030B34"/>
    <w:rsid w:val="00030E9E"/>
    <w:rsid w:val="00031081"/>
    <w:rsid w:val="00031396"/>
    <w:rsid w:val="00031418"/>
    <w:rsid w:val="00031437"/>
    <w:rsid w:val="0003170F"/>
    <w:rsid w:val="00031A35"/>
    <w:rsid w:val="00031C2D"/>
    <w:rsid w:val="00031C45"/>
    <w:rsid w:val="00031C94"/>
    <w:rsid w:val="00031CEA"/>
    <w:rsid w:val="00031ED8"/>
    <w:rsid w:val="00031FCA"/>
    <w:rsid w:val="00032475"/>
    <w:rsid w:val="000325A2"/>
    <w:rsid w:val="0003266F"/>
    <w:rsid w:val="00032900"/>
    <w:rsid w:val="00032D9D"/>
    <w:rsid w:val="000331C7"/>
    <w:rsid w:val="000335E5"/>
    <w:rsid w:val="0003379F"/>
    <w:rsid w:val="000338C4"/>
    <w:rsid w:val="00033999"/>
    <w:rsid w:val="000339DE"/>
    <w:rsid w:val="00033ED9"/>
    <w:rsid w:val="00033F85"/>
    <w:rsid w:val="00033FF3"/>
    <w:rsid w:val="0003450A"/>
    <w:rsid w:val="00034A12"/>
    <w:rsid w:val="00034A24"/>
    <w:rsid w:val="00034B77"/>
    <w:rsid w:val="00034B81"/>
    <w:rsid w:val="00034D26"/>
    <w:rsid w:val="00034EFD"/>
    <w:rsid w:val="00034FB9"/>
    <w:rsid w:val="0003514F"/>
    <w:rsid w:val="00035751"/>
    <w:rsid w:val="0003576E"/>
    <w:rsid w:val="000357D7"/>
    <w:rsid w:val="00035CDD"/>
    <w:rsid w:val="000366D1"/>
    <w:rsid w:val="0003671C"/>
    <w:rsid w:val="00036B7F"/>
    <w:rsid w:val="00036D22"/>
    <w:rsid w:val="00036F13"/>
    <w:rsid w:val="00036F85"/>
    <w:rsid w:val="00037007"/>
    <w:rsid w:val="0003719C"/>
    <w:rsid w:val="000371F1"/>
    <w:rsid w:val="000373B7"/>
    <w:rsid w:val="0003746D"/>
    <w:rsid w:val="00037679"/>
    <w:rsid w:val="000376D2"/>
    <w:rsid w:val="00037A98"/>
    <w:rsid w:val="00037CF1"/>
    <w:rsid w:val="00037D33"/>
    <w:rsid w:val="00037D9E"/>
    <w:rsid w:val="0004002D"/>
    <w:rsid w:val="000400B4"/>
    <w:rsid w:val="00040228"/>
    <w:rsid w:val="00040312"/>
    <w:rsid w:val="00040555"/>
    <w:rsid w:val="00040585"/>
    <w:rsid w:val="00040968"/>
    <w:rsid w:val="00040A46"/>
    <w:rsid w:val="00040B35"/>
    <w:rsid w:val="00040B5F"/>
    <w:rsid w:val="00041085"/>
    <w:rsid w:val="00041450"/>
    <w:rsid w:val="000414E1"/>
    <w:rsid w:val="000417DC"/>
    <w:rsid w:val="000417E8"/>
    <w:rsid w:val="00041810"/>
    <w:rsid w:val="000418FB"/>
    <w:rsid w:val="00041A86"/>
    <w:rsid w:val="00041AC9"/>
    <w:rsid w:val="00041FE2"/>
    <w:rsid w:val="0004254C"/>
    <w:rsid w:val="00042F49"/>
    <w:rsid w:val="0004335B"/>
    <w:rsid w:val="00043749"/>
    <w:rsid w:val="00043B3C"/>
    <w:rsid w:val="00043C2F"/>
    <w:rsid w:val="000442CE"/>
    <w:rsid w:val="000442DC"/>
    <w:rsid w:val="000443DD"/>
    <w:rsid w:val="00044416"/>
    <w:rsid w:val="0004479D"/>
    <w:rsid w:val="000447AD"/>
    <w:rsid w:val="00044891"/>
    <w:rsid w:val="0004613A"/>
    <w:rsid w:val="000463F1"/>
    <w:rsid w:val="00046401"/>
    <w:rsid w:val="0004649C"/>
    <w:rsid w:val="00046559"/>
    <w:rsid w:val="00046773"/>
    <w:rsid w:val="000467F1"/>
    <w:rsid w:val="00046DEB"/>
    <w:rsid w:val="00047358"/>
    <w:rsid w:val="00047650"/>
    <w:rsid w:val="00047691"/>
    <w:rsid w:val="00047959"/>
    <w:rsid w:val="000479DA"/>
    <w:rsid w:val="00047ABA"/>
    <w:rsid w:val="00047B13"/>
    <w:rsid w:val="00047F01"/>
    <w:rsid w:val="0005012C"/>
    <w:rsid w:val="000502FD"/>
    <w:rsid w:val="00050582"/>
    <w:rsid w:val="00050B13"/>
    <w:rsid w:val="00050C34"/>
    <w:rsid w:val="00050C46"/>
    <w:rsid w:val="00050CF5"/>
    <w:rsid w:val="000513AC"/>
    <w:rsid w:val="000515FF"/>
    <w:rsid w:val="000517DA"/>
    <w:rsid w:val="00051967"/>
    <w:rsid w:val="00051BF6"/>
    <w:rsid w:val="00051C44"/>
    <w:rsid w:val="000525FB"/>
    <w:rsid w:val="00052656"/>
    <w:rsid w:val="000526F0"/>
    <w:rsid w:val="000526F5"/>
    <w:rsid w:val="00052E37"/>
    <w:rsid w:val="00052E8A"/>
    <w:rsid w:val="00052FCA"/>
    <w:rsid w:val="00053187"/>
    <w:rsid w:val="00053E94"/>
    <w:rsid w:val="00054617"/>
    <w:rsid w:val="000546A4"/>
    <w:rsid w:val="0005493A"/>
    <w:rsid w:val="00054DEC"/>
    <w:rsid w:val="00055396"/>
    <w:rsid w:val="0005548F"/>
    <w:rsid w:val="000555C7"/>
    <w:rsid w:val="00055615"/>
    <w:rsid w:val="00055920"/>
    <w:rsid w:val="00055980"/>
    <w:rsid w:val="00055B00"/>
    <w:rsid w:val="00055F0F"/>
    <w:rsid w:val="00056445"/>
    <w:rsid w:val="00056814"/>
    <w:rsid w:val="0005690D"/>
    <w:rsid w:val="00057042"/>
    <w:rsid w:val="0005715D"/>
    <w:rsid w:val="00057674"/>
    <w:rsid w:val="00057A6C"/>
    <w:rsid w:val="00057B7D"/>
    <w:rsid w:val="00057D7A"/>
    <w:rsid w:val="00057ED0"/>
    <w:rsid w:val="00057FBF"/>
    <w:rsid w:val="000605C5"/>
    <w:rsid w:val="0006076D"/>
    <w:rsid w:val="000609C1"/>
    <w:rsid w:val="00060DCD"/>
    <w:rsid w:val="00060E40"/>
    <w:rsid w:val="00061135"/>
    <w:rsid w:val="0006160F"/>
    <w:rsid w:val="00061AAA"/>
    <w:rsid w:val="00061EC5"/>
    <w:rsid w:val="00061FC5"/>
    <w:rsid w:val="00062340"/>
    <w:rsid w:val="0006253A"/>
    <w:rsid w:val="000626D0"/>
    <w:rsid w:val="00062A5B"/>
    <w:rsid w:val="00062E6A"/>
    <w:rsid w:val="00063035"/>
    <w:rsid w:val="0006321D"/>
    <w:rsid w:val="0006337F"/>
    <w:rsid w:val="000634AE"/>
    <w:rsid w:val="00063998"/>
    <w:rsid w:val="000640E8"/>
    <w:rsid w:val="000645BE"/>
    <w:rsid w:val="0006478F"/>
    <w:rsid w:val="00064A3D"/>
    <w:rsid w:val="00064E57"/>
    <w:rsid w:val="0006520E"/>
    <w:rsid w:val="00065626"/>
    <w:rsid w:val="000659C4"/>
    <w:rsid w:val="00065A74"/>
    <w:rsid w:val="00065BBE"/>
    <w:rsid w:val="00065E35"/>
    <w:rsid w:val="00066733"/>
    <w:rsid w:val="0006681A"/>
    <w:rsid w:val="00066887"/>
    <w:rsid w:val="0006695F"/>
    <w:rsid w:val="00067077"/>
    <w:rsid w:val="00067082"/>
    <w:rsid w:val="00067189"/>
    <w:rsid w:val="00067379"/>
    <w:rsid w:val="000674AE"/>
    <w:rsid w:val="00067550"/>
    <w:rsid w:val="000675F4"/>
    <w:rsid w:val="0006795D"/>
    <w:rsid w:val="0007073D"/>
    <w:rsid w:val="000707F2"/>
    <w:rsid w:val="0007084D"/>
    <w:rsid w:val="000708FB"/>
    <w:rsid w:val="00070E06"/>
    <w:rsid w:val="00070F58"/>
    <w:rsid w:val="00071310"/>
    <w:rsid w:val="00071354"/>
    <w:rsid w:val="000713DC"/>
    <w:rsid w:val="0007162F"/>
    <w:rsid w:val="00071A92"/>
    <w:rsid w:val="00071CBF"/>
    <w:rsid w:val="00072035"/>
    <w:rsid w:val="000726A1"/>
    <w:rsid w:val="00072B6C"/>
    <w:rsid w:val="00072E7B"/>
    <w:rsid w:val="00072F14"/>
    <w:rsid w:val="0007319A"/>
    <w:rsid w:val="0007345A"/>
    <w:rsid w:val="00073621"/>
    <w:rsid w:val="00073632"/>
    <w:rsid w:val="000736DE"/>
    <w:rsid w:val="0007388F"/>
    <w:rsid w:val="00073C9D"/>
    <w:rsid w:val="000748DC"/>
    <w:rsid w:val="000748EB"/>
    <w:rsid w:val="000753E4"/>
    <w:rsid w:val="0007578E"/>
    <w:rsid w:val="00075EE8"/>
    <w:rsid w:val="00076104"/>
    <w:rsid w:val="000764A6"/>
    <w:rsid w:val="00076A9B"/>
    <w:rsid w:val="00076AB7"/>
    <w:rsid w:val="00076BF3"/>
    <w:rsid w:val="00076F7A"/>
    <w:rsid w:val="00077792"/>
    <w:rsid w:val="000777FE"/>
    <w:rsid w:val="00077950"/>
    <w:rsid w:val="00077D02"/>
    <w:rsid w:val="00077EFA"/>
    <w:rsid w:val="000801BA"/>
    <w:rsid w:val="000802C9"/>
    <w:rsid w:val="000802ED"/>
    <w:rsid w:val="00080CA2"/>
    <w:rsid w:val="00080F5F"/>
    <w:rsid w:val="00081400"/>
    <w:rsid w:val="00081445"/>
    <w:rsid w:val="0008180E"/>
    <w:rsid w:val="00081B1B"/>
    <w:rsid w:val="00081DE5"/>
    <w:rsid w:val="00081F17"/>
    <w:rsid w:val="00082084"/>
    <w:rsid w:val="000820BD"/>
    <w:rsid w:val="0008235D"/>
    <w:rsid w:val="00082617"/>
    <w:rsid w:val="0008271D"/>
    <w:rsid w:val="0008282A"/>
    <w:rsid w:val="00082900"/>
    <w:rsid w:val="00082DD5"/>
    <w:rsid w:val="00083088"/>
    <w:rsid w:val="000837F5"/>
    <w:rsid w:val="00083C7D"/>
    <w:rsid w:val="00083E58"/>
    <w:rsid w:val="00084228"/>
    <w:rsid w:val="00084526"/>
    <w:rsid w:val="000849C1"/>
    <w:rsid w:val="00084B0E"/>
    <w:rsid w:val="00084BFD"/>
    <w:rsid w:val="0008572A"/>
    <w:rsid w:val="00085B87"/>
    <w:rsid w:val="00085DC4"/>
    <w:rsid w:val="00085E66"/>
    <w:rsid w:val="000861DA"/>
    <w:rsid w:val="00086314"/>
    <w:rsid w:val="000867E3"/>
    <w:rsid w:val="00086A14"/>
    <w:rsid w:val="00086C2A"/>
    <w:rsid w:val="00087349"/>
    <w:rsid w:val="0008756A"/>
    <w:rsid w:val="0008776F"/>
    <w:rsid w:val="00087C0D"/>
    <w:rsid w:val="00087F7A"/>
    <w:rsid w:val="00087FA4"/>
    <w:rsid w:val="00090074"/>
    <w:rsid w:val="0009055B"/>
    <w:rsid w:val="00090866"/>
    <w:rsid w:val="000908AB"/>
    <w:rsid w:val="000908D2"/>
    <w:rsid w:val="00090921"/>
    <w:rsid w:val="00090ABE"/>
    <w:rsid w:val="00090C51"/>
    <w:rsid w:val="00090CCB"/>
    <w:rsid w:val="00090CDE"/>
    <w:rsid w:val="00090E12"/>
    <w:rsid w:val="00090FFA"/>
    <w:rsid w:val="00091178"/>
    <w:rsid w:val="00091211"/>
    <w:rsid w:val="00091583"/>
    <w:rsid w:val="000919AD"/>
    <w:rsid w:val="00091B5F"/>
    <w:rsid w:val="00091CD2"/>
    <w:rsid w:val="00091DB2"/>
    <w:rsid w:val="00091F49"/>
    <w:rsid w:val="00092241"/>
    <w:rsid w:val="00092556"/>
    <w:rsid w:val="000925C1"/>
    <w:rsid w:val="00092609"/>
    <w:rsid w:val="00092A39"/>
    <w:rsid w:val="00092E0B"/>
    <w:rsid w:val="00092F4B"/>
    <w:rsid w:val="0009322C"/>
    <w:rsid w:val="000933F9"/>
    <w:rsid w:val="00093EE5"/>
    <w:rsid w:val="00093F40"/>
    <w:rsid w:val="00094569"/>
    <w:rsid w:val="000946F1"/>
    <w:rsid w:val="000948F8"/>
    <w:rsid w:val="00094C8E"/>
    <w:rsid w:val="0009538A"/>
    <w:rsid w:val="000954DF"/>
    <w:rsid w:val="00095986"/>
    <w:rsid w:val="00095AF0"/>
    <w:rsid w:val="000965EC"/>
    <w:rsid w:val="00096A73"/>
    <w:rsid w:val="00096B25"/>
    <w:rsid w:val="00096C83"/>
    <w:rsid w:val="00096E25"/>
    <w:rsid w:val="00096EAC"/>
    <w:rsid w:val="00096FBE"/>
    <w:rsid w:val="0009735A"/>
    <w:rsid w:val="00097473"/>
    <w:rsid w:val="000979CF"/>
    <w:rsid w:val="00097D3D"/>
    <w:rsid w:val="000A004B"/>
    <w:rsid w:val="000A07E5"/>
    <w:rsid w:val="000A1357"/>
    <w:rsid w:val="000A16BC"/>
    <w:rsid w:val="000A17B2"/>
    <w:rsid w:val="000A1CF5"/>
    <w:rsid w:val="000A1ED4"/>
    <w:rsid w:val="000A1F1A"/>
    <w:rsid w:val="000A26C8"/>
    <w:rsid w:val="000A2752"/>
    <w:rsid w:val="000A2855"/>
    <w:rsid w:val="000A335F"/>
    <w:rsid w:val="000A3446"/>
    <w:rsid w:val="000A37E1"/>
    <w:rsid w:val="000A3939"/>
    <w:rsid w:val="000A3A9F"/>
    <w:rsid w:val="000A3C17"/>
    <w:rsid w:val="000A4168"/>
    <w:rsid w:val="000A424F"/>
    <w:rsid w:val="000A44D1"/>
    <w:rsid w:val="000A46AA"/>
    <w:rsid w:val="000A4700"/>
    <w:rsid w:val="000A4ACF"/>
    <w:rsid w:val="000A4FB8"/>
    <w:rsid w:val="000A5280"/>
    <w:rsid w:val="000A533E"/>
    <w:rsid w:val="000A53CC"/>
    <w:rsid w:val="000A5653"/>
    <w:rsid w:val="000A59BD"/>
    <w:rsid w:val="000A5B9B"/>
    <w:rsid w:val="000A604B"/>
    <w:rsid w:val="000A62D5"/>
    <w:rsid w:val="000A6987"/>
    <w:rsid w:val="000A6C0D"/>
    <w:rsid w:val="000A6EC7"/>
    <w:rsid w:val="000A71CD"/>
    <w:rsid w:val="000A750D"/>
    <w:rsid w:val="000A7753"/>
    <w:rsid w:val="000A786C"/>
    <w:rsid w:val="000A7AC6"/>
    <w:rsid w:val="000A7E28"/>
    <w:rsid w:val="000A7EC4"/>
    <w:rsid w:val="000B0368"/>
    <w:rsid w:val="000B05BD"/>
    <w:rsid w:val="000B105A"/>
    <w:rsid w:val="000B1A44"/>
    <w:rsid w:val="000B2108"/>
    <w:rsid w:val="000B2344"/>
    <w:rsid w:val="000B2577"/>
    <w:rsid w:val="000B25FF"/>
    <w:rsid w:val="000B27D8"/>
    <w:rsid w:val="000B2FBA"/>
    <w:rsid w:val="000B3165"/>
    <w:rsid w:val="000B3169"/>
    <w:rsid w:val="000B3187"/>
    <w:rsid w:val="000B345E"/>
    <w:rsid w:val="000B34A4"/>
    <w:rsid w:val="000B36DF"/>
    <w:rsid w:val="000B36F7"/>
    <w:rsid w:val="000B3B36"/>
    <w:rsid w:val="000B3CF5"/>
    <w:rsid w:val="000B3D96"/>
    <w:rsid w:val="000B3FD3"/>
    <w:rsid w:val="000B3FDF"/>
    <w:rsid w:val="000B4467"/>
    <w:rsid w:val="000B4795"/>
    <w:rsid w:val="000B4865"/>
    <w:rsid w:val="000B48D9"/>
    <w:rsid w:val="000B4C3F"/>
    <w:rsid w:val="000B4DE6"/>
    <w:rsid w:val="000B4E56"/>
    <w:rsid w:val="000B50AC"/>
    <w:rsid w:val="000B5322"/>
    <w:rsid w:val="000B5427"/>
    <w:rsid w:val="000B54DB"/>
    <w:rsid w:val="000B5513"/>
    <w:rsid w:val="000B5630"/>
    <w:rsid w:val="000B568C"/>
    <w:rsid w:val="000B57D0"/>
    <w:rsid w:val="000B5823"/>
    <w:rsid w:val="000B5B3B"/>
    <w:rsid w:val="000B5C30"/>
    <w:rsid w:val="000B5D1F"/>
    <w:rsid w:val="000B6170"/>
    <w:rsid w:val="000B61F7"/>
    <w:rsid w:val="000B6220"/>
    <w:rsid w:val="000B627B"/>
    <w:rsid w:val="000B6C2C"/>
    <w:rsid w:val="000B7016"/>
    <w:rsid w:val="000B7488"/>
    <w:rsid w:val="000B7895"/>
    <w:rsid w:val="000B7CC1"/>
    <w:rsid w:val="000B7D74"/>
    <w:rsid w:val="000B7F0B"/>
    <w:rsid w:val="000B7F7C"/>
    <w:rsid w:val="000B7F7E"/>
    <w:rsid w:val="000C071D"/>
    <w:rsid w:val="000C09C4"/>
    <w:rsid w:val="000C0AA1"/>
    <w:rsid w:val="000C0F3E"/>
    <w:rsid w:val="000C1075"/>
    <w:rsid w:val="000C1272"/>
    <w:rsid w:val="000C12B4"/>
    <w:rsid w:val="000C1351"/>
    <w:rsid w:val="000C1427"/>
    <w:rsid w:val="000C1595"/>
    <w:rsid w:val="000C1610"/>
    <w:rsid w:val="000C1E8A"/>
    <w:rsid w:val="000C1FAE"/>
    <w:rsid w:val="000C2044"/>
    <w:rsid w:val="000C20D5"/>
    <w:rsid w:val="000C22A1"/>
    <w:rsid w:val="000C2943"/>
    <w:rsid w:val="000C2A80"/>
    <w:rsid w:val="000C2AAD"/>
    <w:rsid w:val="000C2B41"/>
    <w:rsid w:val="000C2F62"/>
    <w:rsid w:val="000C3AB5"/>
    <w:rsid w:val="000C3CB9"/>
    <w:rsid w:val="000C3D10"/>
    <w:rsid w:val="000C3EB2"/>
    <w:rsid w:val="000C3FC0"/>
    <w:rsid w:val="000C44DE"/>
    <w:rsid w:val="000C4A7D"/>
    <w:rsid w:val="000C5132"/>
    <w:rsid w:val="000C534E"/>
    <w:rsid w:val="000C53E6"/>
    <w:rsid w:val="000C5869"/>
    <w:rsid w:val="000C588E"/>
    <w:rsid w:val="000C5D11"/>
    <w:rsid w:val="000C6555"/>
    <w:rsid w:val="000C6AAB"/>
    <w:rsid w:val="000C6BAC"/>
    <w:rsid w:val="000C6BCF"/>
    <w:rsid w:val="000C70F7"/>
    <w:rsid w:val="000C741B"/>
    <w:rsid w:val="000C7AA1"/>
    <w:rsid w:val="000D0139"/>
    <w:rsid w:val="000D0512"/>
    <w:rsid w:val="000D063C"/>
    <w:rsid w:val="000D072F"/>
    <w:rsid w:val="000D0A51"/>
    <w:rsid w:val="000D0A53"/>
    <w:rsid w:val="000D0A54"/>
    <w:rsid w:val="000D0DE1"/>
    <w:rsid w:val="000D13D3"/>
    <w:rsid w:val="000D152C"/>
    <w:rsid w:val="000D16A9"/>
    <w:rsid w:val="000D1A84"/>
    <w:rsid w:val="000D1BBE"/>
    <w:rsid w:val="000D2329"/>
    <w:rsid w:val="000D2837"/>
    <w:rsid w:val="000D2892"/>
    <w:rsid w:val="000D28C3"/>
    <w:rsid w:val="000D2ACC"/>
    <w:rsid w:val="000D2BD9"/>
    <w:rsid w:val="000D3234"/>
    <w:rsid w:val="000D3272"/>
    <w:rsid w:val="000D364B"/>
    <w:rsid w:val="000D3682"/>
    <w:rsid w:val="000D3BD3"/>
    <w:rsid w:val="000D4103"/>
    <w:rsid w:val="000D4207"/>
    <w:rsid w:val="000D4526"/>
    <w:rsid w:val="000D4594"/>
    <w:rsid w:val="000D4780"/>
    <w:rsid w:val="000D49DA"/>
    <w:rsid w:val="000D4C9B"/>
    <w:rsid w:val="000D4D57"/>
    <w:rsid w:val="000D4DCA"/>
    <w:rsid w:val="000D4FAF"/>
    <w:rsid w:val="000D5559"/>
    <w:rsid w:val="000D5810"/>
    <w:rsid w:val="000D5A81"/>
    <w:rsid w:val="000D5E07"/>
    <w:rsid w:val="000D5FDE"/>
    <w:rsid w:val="000D60BF"/>
    <w:rsid w:val="000D644B"/>
    <w:rsid w:val="000D6639"/>
    <w:rsid w:val="000D668C"/>
    <w:rsid w:val="000D6802"/>
    <w:rsid w:val="000D68BA"/>
    <w:rsid w:val="000D6914"/>
    <w:rsid w:val="000D692F"/>
    <w:rsid w:val="000D6AE1"/>
    <w:rsid w:val="000D6F43"/>
    <w:rsid w:val="000D70DA"/>
    <w:rsid w:val="000D73FD"/>
    <w:rsid w:val="000D74F2"/>
    <w:rsid w:val="000D7512"/>
    <w:rsid w:val="000D756E"/>
    <w:rsid w:val="000D7571"/>
    <w:rsid w:val="000D75F1"/>
    <w:rsid w:val="000D7608"/>
    <w:rsid w:val="000D7808"/>
    <w:rsid w:val="000D78EE"/>
    <w:rsid w:val="000E03F4"/>
    <w:rsid w:val="000E07C2"/>
    <w:rsid w:val="000E0896"/>
    <w:rsid w:val="000E128A"/>
    <w:rsid w:val="000E13F3"/>
    <w:rsid w:val="000E1577"/>
    <w:rsid w:val="000E1656"/>
    <w:rsid w:val="000E173A"/>
    <w:rsid w:val="000E1A14"/>
    <w:rsid w:val="000E1D95"/>
    <w:rsid w:val="000E20F9"/>
    <w:rsid w:val="000E2153"/>
    <w:rsid w:val="000E23E2"/>
    <w:rsid w:val="000E257F"/>
    <w:rsid w:val="000E272A"/>
    <w:rsid w:val="000E2825"/>
    <w:rsid w:val="000E289E"/>
    <w:rsid w:val="000E2BF7"/>
    <w:rsid w:val="000E2E78"/>
    <w:rsid w:val="000E306B"/>
    <w:rsid w:val="000E331B"/>
    <w:rsid w:val="000E3547"/>
    <w:rsid w:val="000E3CE3"/>
    <w:rsid w:val="000E3EC6"/>
    <w:rsid w:val="000E446F"/>
    <w:rsid w:val="000E4E2D"/>
    <w:rsid w:val="000E4EB4"/>
    <w:rsid w:val="000E520E"/>
    <w:rsid w:val="000E53AA"/>
    <w:rsid w:val="000E5AE4"/>
    <w:rsid w:val="000E62D2"/>
    <w:rsid w:val="000E63C4"/>
    <w:rsid w:val="000E64A9"/>
    <w:rsid w:val="000E66A1"/>
    <w:rsid w:val="000E6A2C"/>
    <w:rsid w:val="000E6AEF"/>
    <w:rsid w:val="000E6B87"/>
    <w:rsid w:val="000E6C97"/>
    <w:rsid w:val="000E6CEF"/>
    <w:rsid w:val="000E6CF4"/>
    <w:rsid w:val="000E6D3C"/>
    <w:rsid w:val="000E6EEF"/>
    <w:rsid w:val="000E71BC"/>
    <w:rsid w:val="000E72FA"/>
    <w:rsid w:val="000E7410"/>
    <w:rsid w:val="000F0228"/>
    <w:rsid w:val="000F0B20"/>
    <w:rsid w:val="000F0D25"/>
    <w:rsid w:val="000F0DC4"/>
    <w:rsid w:val="000F11F7"/>
    <w:rsid w:val="000F1432"/>
    <w:rsid w:val="000F181B"/>
    <w:rsid w:val="000F1955"/>
    <w:rsid w:val="000F1973"/>
    <w:rsid w:val="000F1EFA"/>
    <w:rsid w:val="000F2828"/>
    <w:rsid w:val="000F2B35"/>
    <w:rsid w:val="000F2D54"/>
    <w:rsid w:val="000F2F52"/>
    <w:rsid w:val="000F2F9D"/>
    <w:rsid w:val="000F33FF"/>
    <w:rsid w:val="000F36E2"/>
    <w:rsid w:val="000F3704"/>
    <w:rsid w:val="000F3AC9"/>
    <w:rsid w:val="000F3E22"/>
    <w:rsid w:val="000F3F0D"/>
    <w:rsid w:val="000F43D3"/>
    <w:rsid w:val="000F473A"/>
    <w:rsid w:val="000F4824"/>
    <w:rsid w:val="000F4A5C"/>
    <w:rsid w:val="000F4B3B"/>
    <w:rsid w:val="000F4B9B"/>
    <w:rsid w:val="000F4E0C"/>
    <w:rsid w:val="000F4F02"/>
    <w:rsid w:val="000F50EE"/>
    <w:rsid w:val="000F53E9"/>
    <w:rsid w:val="000F56C6"/>
    <w:rsid w:val="000F60FB"/>
    <w:rsid w:val="000F65E0"/>
    <w:rsid w:val="000F6BB1"/>
    <w:rsid w:val="000F6D6A"/>
    <w:rsid w:val="000F6F21"/>
    <w:rsid w:val="000F779C"/>
    <w:rsid w:val="000F781E"/>
    <w:rsid w:val="000F7966"/>
    <w:rsid w:val="000F7A51"/>
    <w:rsid w:val="000F7D5B"/>
    <w:rsid w:val="0010025E"/>
    <w:rsid w:val="0010044D"/>
    <w:rsid w:val="001004FE"/>
    <w:rsid w:val="00100501"/>
    <w:rsid w:val="001005FC"/>
    <w:rsid w:val="001007B7"/>
    <w:rsid w:val="001008C1"/>
    <w:rsid w:val="00100970"/>
    <w:rsid w:val="00100A3F"/>
    <w:rsid w:val="00101013"/>
    <w:rsid w:val="0010111D"/>
    <w:rsid w:val="00101752"/>
    <w:rsid w:val="001017BC"/>
    <w:rsid w:val="00101A64"/>
    <w:rsid w:val="00101D20"/>
    <w:rsid w:val="00102095"/>
    <w:rsid w:val="00102153"/>
    <w:rsid w:val="001025A1"/>
    <w:rsid w:val="00102F2D"/>
    <w:rsid w:val="00103241"/>
    <w:rsid w:val="001032A5"/>
    <w:rsid w:val="00103445"/>
    <w:rsid w:val="001036F6"/>
    <w:rsid w:val="0010376E"/>
    <w:rsid w:val="0010452E"/>
    <w:rsid w:val="00104B6C"/>
    <w:rsid w:val="00104D77"/>
    <w:rsid w:val="0010527E"/>
    <w:rsid w:val="0010535B"/>
    <w:rsid w:val="00105509"/>
    <w:rsid w:val="00105941"/>
    <w:rsid w:val="00105BFF"/>
    <w:rsid w:val="00105ED8"/>
    <w:rsid w:val="00105EFB"/>
    <w:rsid w:val="001060D0"/>
    <w:rsid w:val="001062FE"/>
    <w:rsid w:val="001066FB"/>
    <w:rsid w:val="001068B0"/>
    <w:rsid w:val="00106AEE"/>
    <w:rsid w:val="00106B03"/>
    <w:rsid w:val="00106D6C"/>
    <w:rsid w:val="00106EA4"/>
    <w:rsid w:val="0010725B"/>
    <w:rsid w:val="00107405"/>
    <w:rsid w:val="001075D4"/>
    <w:rsid w:val="0010782E"/>
    <w:rsid w:val="00107880"/>
    <w:rsid w:val="00107B93"/>
    <w:rsid w:val="00107DD9"/>
    <w:rsid w:val="001100D8"/>
    <w:rsid w:val="001104DD"/>
    <w:rsid w:val="00110545"/>
    <w:rsid w:val="0011061F"/>
    <w:rsid w:val="00110633"/>
    <w:rsid w:val="0011072A"/>
    <w:rsid w:val="001107E5"/>
    <w:rsid w:val="00110A80"/>
    <w:rsid w:val="00110AF1"/>
    <w:rsid w:val="00110DA5"/>
    <w:rsid w:val="00110E2C"/>
    <w:rsid w:val="001113F5"/>
    <w:rsid w:val="00111B82"/>
    <w:rsid w:val="00111E14"/>
    <w:rsid w:val="00112211"/>
    <w:rsid w:val="00112530"/>
    <w:rsid w:val="001125EC"/>
    <w:rsid w:val="00112639"/>
    <w:rsid w:val="001126B6"/>
    <w:rsid w:val="001129BB"/>
    <w:rsid w:val="00112A91"/>
    <w:rsid w:val="00112B9B"/>
    <w:rsid w:val="00112E31"/>
    <w:rsid w:val="00113303"/>
    <w:rsid w:val="001137EA"/>
    <w:rsid w:val="0011392D"/>
    <w:rsid w:val="00113C4E"/>
    <w:rsid w:val="00113C9B"/>
    <w:rsid w:val="00114391"/>
    <w:rsid w:val="00114489"/>
    <w:rsid w:val="00114568"/>
    <w:rsid w:val="0011464A"/>
    <w:rsid w:val="00114D6A"/>
    <w:rsid w:val="00115085"/>
    <w:rsid w:val="00115122"/>
    <w:rsid w:val="00115A46"/>
    <w:rsid w:val="00115ADA"/>
    <w:rsid w:val="00115E06"/>
    <w:rsid w:val="00115E58"/>
    <w:rsid w:val="00116526"/>
    <w:rsid w:val="00116926"/>
    <w:rsid w:val="00116CCC"/>
    <w:rsid w:val="00116D56"/>
    <w:rsid w:val="0011738C"/>
    <w:rsid w:val="00117424"/>
    <w:rsid w:val="00117673"/>
    <w:rsid w:val="00117753"/>
    <w:rsid w:val="00117868"/>
    <w:rsid w:val="00117B82"/>
    <w:rsid w:val="00117BFB"/>
    <w:rsid w:val="001202D6"/>
    <w:rsid w:val="00120A39"/>
    <w:rsid w:val="00120B9E"/>
    <w:rsid w:val="00120C43"/>
    <w:rsid w:val="00120EA6"/>
    <w:rsid w:val="00121912"/>
    <w:rsid w:val="00121C24"/>
    <w:rsid w:val="00121EB5"/>
    <w:rsid w:val="00122578"/>
    <w:rsid w:val="00122873"/>
    <w:rsid w:val="00122CBD"/>
    <w:rsid w:val="00122DE6"/>
    <w:rsid w:val="00122F71"/>
    <w:rsid w:val="001232D2"/>
    <w:rsid w:val="0012366D"/>
    <w:rsid w:val="00123D3D"/>
    <w:rsid w:val="00123D46"/>
    <w:rsid w:val="00123EBE"/>
    <w:rsid w:val="001241C7"/>
    <w:rsid w:val="0012461E"/>
    <w:rsid w:val="001247A4"/>
    <w:rsid w:val="00124985"/>
    <w:rsid w:val="001249AA"/>
    <w:rsid w:val="00124DBE"/>
    <w:rsid w:val="001252CB"/>
    <w:rsid w:val="001253BB"/>
    <w:rsid w:val="00125437"/>
    <w:rsid w:val="0012596A"/>
    <w:rsid w:val="00125A6F"/>
    <w:rsid w:val="00125A75"/>
    <w:rsid w:val="00125DF4"/>
    <w:rsid w:val="00125E2E"/>
    <w:rsid w:val="001261F3"/>
    <w:rsid w:val="0012623B"/>
    <w:rsid w:val="001263BA"/>
    <w:rsid w:val="0012658B"/>
    <w:rsid w:val="001266C4"/>
    <w:rsid w:val="001266C9"/>
    <w:rsid w:val="0012688A"/>
    <w:rsid w:val="00126A83"/>
    <w:rsid w:val="00126DE0"/>
    <w:rsid w:val="00127416"/>
    <w:rsid w:val="001277DC"/>
    <w:rsid w:val="00127CC6"/>
    <w:rsid w:val="00127D82"/>
    <w:rsid w:val="00127F90"/>
    <w:rsid w:val="0013005F"/>
    <w:rsid w:val="001303EB"/>
    <w:rsid w:val="001306A4"/>
    <w:rsid w:val="00130721"/>
    <w:rsid w:val="00130C5A"/>
    <w:rsid w:val="00130E9C"/>
    <w:rsid w:val="00130EEC"/>
    <w:rsid w:val="00131135"/>
    <w:rsid w:val="00131229"/>
    <w:rsid w:val="00131B57"/>
    <w:rsid w:val="00131C8A"/>
    <w:rsid w:val="00131CA2"/>
    <w:rsid w:val="00131E48"/>
    <w:rsid w:val="00131F82"/>
    <w:rsid w:val="001322FB"/>
    <w:rsid w:val="001323F5"/>
    <w:rsid w:val="001324E4"/>
    <w:rsid w:val="001326B1"/>
    <w:rsid w:val="00132828"/>
    <w:rsid w:val="001328B1"/>
    <w:rsid w:val="00132A0B"/>
    <w:rsid w:val="00132CD9"/>
    <w:rsid w:val="00132F44"/>
    <w:rsid w:val="001330AD"/>
    <w:rsid w:val="00133517"/>
    <w:rsid w:val="00133549"/>
    <w:rsid w:val="001335EB"/>
    <w:rsid w:val="0013360A"/>
    <w:rsid w:val="001338A3"/>
    <w:rsid w:val="001340D3"/>
    <w:rsid w:val="0013418F"/>
    <w:rsid w:val="00134530"/>
    <w:rsid w:val="00134627"/>
    <w:rsid w:val="001346BD"/>
    <w:rsid w:val="001347A4"/>
    <w:rsid w:val="00134872"/>
    <w:rsid w:val="00134A56"/>
    <w:rsid w:val="00134AE7"/>
    <w:rsid w:val="00134B5C"/>
    <w:rsid w:val="00134D61"/>
    <w:rsid w:val="00135375"/>
    <w:rsid w:val="00135454"/>
    <w:rsid w:val="001354E1"/>
    <w:rsid w:val="001358C5"/>
    <w:rsid w:val="00135C6A"/>
    <w:rsid w:val="00135DC4"/>
    <w:rsid w:val="001361F9"/>
    <w:rsid w:val="001363C6"/>
    <w:rsid w:val="001366B1"/>
    <w:rsid w:val="00136B36"/>
    <w:rsid w:val="00136B8B"/>
    <w:rsid w:val="00136BE8"/>
    <w:rsid w:val="00136CD0"/>
    <w:rsid w:val="00136CD2"/>
    <w:rsid w:val="00136F04"/>
    <w:rsid w:val="00137062"/>
    <w:rsid w:val="00137D9F"/>
    <w:rsid w:val="00137F88"/>
    <w:rsid w:val="001402E3"/>
    <w:rsid w:val="00140574"/>
    <w:rsid w:val="00140831"/>
    <w:rsid w:val="00140C11"/>
    <w:rsid w:val="00141ABA"/>
    <w:rsid w:val="00141E1B"/>
    <w:rsid w:val="00141FF2"/>
    <w:rsid w:val="0014218B"/>
    <w:rsid w:val="001421E0"/>
    <w:rsid w:val="001426BB"/>
    <w:rsid w:val="001428A3"/>
    <w:rsid w:val="00143261"/>
    <w:rsid w:val="00143709"/>
    <w:rsid w:val="00143721"/>
    <w:rsid w:val="001438A3"/>
    <w:rsid w:val="00143D8B"/>
    <w:rsid w:val="0014422D"/>
    <w:rsid w:val="001449EF"/>
    <w:rsid w:val="00144A78"/>
    <w:rsid w:val="00144A92"/>
    <w:rsid w:val="00144C85"/>
    <w:rsid w:val="00144CCE"/>
    <w:rsid w:val="00144DF5"/>
    <w:rsid w:val="00144E33"/>
    <w:rsid w:val="00145156"/>
    <w:rsid w:val="0014520F"/>
    <w:rsid w:val="001454DC"/>
    <w:rsid w:val="001457AA"/>
    <w:rsid w:val="0014586D"/>
    <w:rsid w:val="00145BC8"/>
    <w:rsid w:val="00145CBC"/>
    <w:rsid w:val="001463A3"/>
    <w:rsid w:val="001467E6"/>
    <w:rsid w:val="00146B72"/>
    <w:rsid w:val="00146BDB"/>
    <w:rsid w:val="00146DDA"/>
    <w:rsid w:val="0014743C"/>
    <w:rsid w:val="0014743F"/>
    <w:rsid w:val="001476E2"/>
    <w:rsid w:val="00147A14"/>
    <w:rsid w:val="00147AB8"/>
    <w:rsid w:val="00147FB5"/>
    <w:rsid w:val="00150116"/>
    <w:rsid w:val="0015043B"/>
    <w:rsid w:val="001511C5"/>
    <w:rsid w:val="0015153A"/>
    <w:rsid w:val="00151AC9"/>
    <w:rsid w:val="00151AEF"/>
    <w:rsid w:val="00151C6D"/>
    <w:rsid w:val="00151DB8"/>
    <w:rsid w:val="00151FC0"/>
    <w:rsid w:val="001523B7"/>
    <w:rsid w:val="00152D44"/>
    <w:rsid w:val="00152EA1"/>
    <w:rsid w:val="001534D1"/>
    <w:rsid w:val="00153533"/>
    <w:rsid w:val="0015385C"/>
    <w:rsid w:val="00153A4D"/>
    <w:rsid w:val="00153A63"/>
    <w:rsid w:val="00153CBB"/>
    <w:rsid w:val="00153D1D"/>
    <w:rsid w:val="0015432E"/>
    <w:rsid w:val="00154485"/>
    <w:rsid w:val="00154A43"/>
    <w:rsid w:val="00154E9D"/>
    <w:rsid w:val="00155429"/>
    <w:rsid w:val="0015565A"/>
    <w:rsid w:val="00155663"/>
    <w:rsid w:val="0015566C"/>
    <w:rsid w:val="00155842"/>
    <w:rsid w:val="00155B6D"/>
    <w:rsid w:val="00155FB7"/>
    <w:rsid w:val="0015604D"/>
    <w:rsid w:val="00156238"/>
    <w:rsid w:val="0015680E"/>
    <w:rsid w:val="00156FC0"/>
    <w:rsid w:val="00157039"/>
    <w:rsid w:val="00157446"/>
    <w:rsid w:val="001575AB"/>
    <w:rsid w:val="00157AA3"/>
    <w:rsid w:val="00157B15"/>
    <w:rsid w:val="00157C4D"/>
    <w:rsid w:val="00157F5F"/>
    <w:rsid w:val="00160223"/>
    <w:rsid w:val="00160370"/>
    <w:rsid w:val="00161247"/>
    <w:rsid w:val="00161339"/>
    <w:rsid w:val="00161E70"/>
    <w:rsid w:val="00162249"/>
    <w:rsid w:val="001622F2"/>
    <w:rsid w:val="0016265C"/>
    <w:rsid w:val="001626F2"/>
    <w:rsid w:val="0016279F"/>
    <w:rsid w:val="00162BBF"/>
    <w:rsid w:val="00162C65"/>
    <w:rsid w:val="00162D50"/>
    <w:rsid w:val="00162E08"/>
    <w:rsid w:val="001630B9"/>
    <w:rsid w:val="001631AE"/>
    <w:rsid w:val="00163220"/>
    <w:rsid w:val="00163481"/>
    <w:rsid w:val="00163BBD"/>
    <w:rsid w:val="00163CA7"/>
    <w:rsid w:val="00163CAC"/>
    <w:rsid w:val="001640F1"/>
    <w:rsid w:val="0016458F"/>
    <w:rsid w:val="00164E94"/>
    <w:rsid w:val="001652FA"/>
    <w:rsid w:val="0016554E"/>
    <w:rsid w:val="00165707"/>
    <w:rsid w:val="00165A09"/>
    <w:rsid w:val="00165CCE"/>
    <w:rsid w:val="0016634B"/>
    <w:rsid w:val="001665F3"/>
    <w:rsid w:val="00166722"/>
    <w:rsid w:val="001667AA"/>
    <w:rsid w:val="001667DB"/>
    <w:rsid w:val="00166853"/>
    <w:rsid w:val="001668FA"/>
    <w:rsid w:val="00166AB5"/>
    <w:rsid w:val="00166B21"/>
    <w:rsid w:val="00166C7A"/>
    <w:rsid w:val="00166DA2"/>
    <w:rsid w:val="00166F76"/>
    <w:rsid w:val="001674FE"/>
    <w:rsid w:val="00167792"/>
    <w:rsid w:val="00167C12"/>
    <w:rsid w:val="00167C91"/>
    <w:rsid w:val="00167E79"/>
    <w:rsid w:val="001701DA"/>
    <w:rsid w:val="001704AF"/>
    <w:rsid w:val="0017063C"/>
    <w:rsid w:val="00170675"/>
    <w:rsid w:val="00170A25"/>
    <w:rsid w:val="00170CD8"/>
    <w:rsid w:val="00171047"/>
    <w:rsid w:val="0017115D"/>
    <w:rsid w:val="001711F3"/>
    <w:rsid w:val="001713C7"/>
    <w:rsid w:val="001714CC"/>
    <w:rsid w:val="001718E0"/>
    <w:rsid w:val="00171A87"/>
    <w:rsid w:val="00171C54"/>
    <w:rsid w:val="00171F7F"/>
    <w:rsid w:val="0017258D"/>
    <w:rsid w:val="00172656"/>
    <w:rsid w:val="001729DF"/>
    <w:rsid w:val="00172CCC"/>
    <w:rsid w:val="00172F09"/>
    <w:rsid w:val="00173146"/>
    <w:rsid w:val="001732A6"/>
    <w:rsid w:val="0017351C"/>
    <w:rsid w:val="00173AE0"/>
    <w:rsid w:val="00173CDA"/>
    <w:rsid w:val="00173D41"/>
    <w:rsid w:val="00173F54"/>
    <w:rsid w:val="00174117"/>
    <w:rsid w:val="0017417F"/>
    <w:rsid w:val="001743AF"/>
    <w:rsid w:val="00174572"/>
    <w:rsid w:val="001745A0"/>
    <w:rsid w:val="00174FC1"/>
    <w:rsid w:val="001757EE"/>
    <w:rsid w:val="00175817"/>
    <w:rsid w:val="00175841"/>
    <w:rsid w:val="00175872"/>
    <w:rsid w:val="00176331"/>
    <w:rsid w:val="00176503"/>
    <w:rsid w:val="00176571"/>
    <w:rsid w:val="00176A18"/>
    <w:rsid w:val="00176A25"/>
    <w:rsid w:val="00176B0F"/>
    <w:rsid w:val="00176DC9"/>
    <w:rsid w:val="00176EA0"/>
    <w:rsid w:val="00176EE3"/>
    <w:rsid w:val="00177216"/>
    <w:rsid w:val="001773E8"/>
    <w:rsid w:val="0017745D"/>
    <w:rsid w:val="00177A8D"/>
    <w:rsid w:val="00177B40"/>
    <w:rsid w:val="00180300"/>
    <w:rsid w:val="001803D3"/>
    <w:rsid w:val="00180EA4"/>
    <w:rsid w:val="00180EDB"/>
    <w:rsid w:val="001810B7"/>
    <w:rsid w:val="00181149"/>
    <w:rsid w:val="001812BA"/>
    <w:rsid w:val="00181795"/>
    <w:rsid w:val="00181F77"/>
    <w:rsid w:val="0018208B"/>
    <w:rsid w:val="001820A3"/>
    <w:rsid w:val="00182126"/>
    <w:rsid w:val="00182195"/>
    <w:rsid w:val="00182330"/>
    <w:rsid w:val="00182AEC"/>
    <w:rsid w:val="00182D80"/>
    <w:rsid w:val="001830D9"/>
    <w:rsid w:val="001833D3"/>
    <w:rsid w:val="001836B8"/>
    <w:rsid w:val="00183911"/>
    <w:rsid w:val="00183959"/>
    <w:rsid w:val="00183E1E"/>
    <w:rsid w:val="0018489E"/>
    <w:rsid w:val="00184931"/>
    <w:rsid w:val="00184D27"/>
    <w:rsid w:val="00184F56"/>
    <w:rsid w:val="00184FAC"/>
    <w:rsid w:val="0018514D"/>
    <w:rsid w:val="001856E9"/>
    <w:rsid w:val="00186527"/>
    <w:rsid w:val="00186565"/>
    <w:rsid w:val="00186948"/>
    <w:rsid w:val="00186B59"/>
    <w:rsid w:val="00186F7D"/>
    <w:rsid w:val="00187027"/>
    <w:rsid w:val="0018753C"/>
    <w:rsid w:val="00187CFD"/>
    <w:rsid w:val="00187F45"/>
    <w:rsid w:val="00187F7B"/>
    <w:rsid w:val="001906DC"/>
    <w:rsid w:val="0019076E"/>
    <w:rsid w:val="0019080F"/>
    <w:rsid w:val="001909D1"/>
    <w:rsid w:val="00190C4B"/>
    <w:rsid w:val="00190D00"/>
    <w:rsid w:val="00190FC1"/>
    <w:rsid w:val="001910C6"/>
    <w:rsid w:val="001911B5"/>
    <w:rsid w:val="001912C1"/>
    <w:rsid w:val="001915D1"/>
    <w:rsid w:val="00191747"/>
    <w:rsid w:val="00191980"/>
    <w:rsid w:val="00191B0E"/>
    <w:rsid w:val="001920A4"/>
    <w:rsid w:val="001920D3"/>
    <w:rsid w:val="00192905"/>
    <w:rsid w:val="001929D4"/>
    <w:rsid w:val="00192C6A"/>
    <w:rsid w:val="00193214"/>
    <w:rsid w:val="00193296"/>
    <w:rsid w:val="001939C8"/>
    <w:rsid w:val="00193A13"/>
    <w:rsid w:val="00193B90"/>
    <w:rsid w:val="00193BF4"/>
    <w:rsid w:val="00193ED3"/>
    <w:rsid w:val="00194168"/>
    <w:rsid w:val="00194207"/>
    <w:rsid w:val="0019434C"/>
    <w:rsid w:val="00194A27"/>
    <w:rsid w:val="00194A9D"/>
    <w:rsid w:val="00194ACF"/>
    <w:rsid w:val="00194E32"/>
    <w:rsid w:val="00195045"/>
    <w:rsid w:val="00195075"/>
    <w:rsid w:val="001953FE"/>
    <w:rsid w:val="0019557C"/>
    <w:rsid w:val="00195AA7"/>
    <w:rsid w:val="00195FDE"/>
    <w:rsid w:val="00195FFA"/>
    <w:rsid w:val="00196073"/>
    <w:rsid w:val="0019619B"/>
    <w:rsid w:val="00196255"/>
    <w:rsid w:val="00196365"/>
    <w:rsid w:val="00196A89"/>
    <w:rsid w:val="00196D4D"/>
    <w:rsid w:val="00196EBB"/>
    <w:rsid w:val="00196FFE"/>
    <w:rsid w:val="001970B8"/>
    <w:rsid w:val="0019712A"/>
    <w:rsid w:val="00197C5E"/>
    <w:rsid w:val="001A0004"/>
    <w:rsid w:val="001A0060"/>
    <w:rsid w:val="001A00EB"/>
    <w:rsid w:val="001A017E"/>
    <w:rsid w:val="001A0329"/>
    <w:rsid w:val="001A035F"/>
    <w:rsid w:val="001A0ACE"/>
    <w:rsid w:val="001A0ADE"/>
    <w:rsid w:val="001A0BC1"/>
    <w:rsid w:val="001A0C42"/>
    <w:rsid w:val="001A0E85"/>
    <w:rsid w:val="001A0F5F"/>
    <w:rsid w:val="001A1214"/>
    <w:rsid w:val="001A162A"/>
    <w:rsid w:val="001A1777"/>
    <w:rsid w:val="001A1796"/>
    <w:rsid w:val="001A1CF7"/>
    <w:rsid w:val="001A1D03"/>
    <w:rsid w:val="001A278B"/>
    <w:rsid w:val="001A2B02"/>
    <w:rsid w:val="001A3362"/>
    <w:rsid w:val="001A352A"/>
    <w:rsid w:val="001A38E3"/>
    <w:rsid w:val="001A3AE3"/>
    <w:rsid w:val="001A3D45"/>
    <w:rsid w:val="001A3EC2"/>
    <w:rsid w:val="001A419B"/>
    <w:rsid w:val="001A44CE"/>
    <w:rsid w:val="001A462E"/>
    <w:rsid w:val="001A4638"/>
    <w:rsid w:val="001A4B4B"/>
    <w:rsid w:val="001A4B89"/>
    <w:rsid w:val="001A501D"/>
    <w:rsid w:val="001A539C"/>
    <w:rsid w:val="001A56B3"/>
    <w:rsid w:val="001A5B12"/>
    <w:rsid w:val="001A5B4B"/>
    <w:rsid w:val="001A5EB4"/>
    <w:rsid w:val="001A6021"/>
    <w:rsid w:val="001A6030"/>
    <w:rsid w:val="001A613B"/>
    <w:rsid w:val="001A624F"/>
    <w:rsid w:val="001A6256"/>
    <w:rsid w:val="001A6788"/>
    <w:rsid w:val="001A6915"/>
    <w:rsid w:val="001A6B91"/>
    <w:rsid w:val="001A6C83"/>
    <w:rsid w:val="001A6DF0"/>
    <w:rsid w:val="001A700A"/>
    <w:rsid w:val="001A7211"/>
    <w:rsid w:val="001A747D"/>
    <w:rsid w:val="001A7C1D"/>
    <w:rsid w:val="001B00D1"/>
    <w:rsid w:val="001B06E4"/>
    <w:rsid w:val="001B12BA"/>
    <w:rsid w:val="001B1688"/>
    <w:rsid w:val="001B16E8"/>
    <w:rsid w:val="001B1863"/>
    <w:rsid w:val="001B22EA"/>
    <w:rsid w:val="001B2644"/>
    <w:rsid w:val="001B2976"/>
    <w:rsid w:val="001B2C07"/>
    <w:rsid w:val="001B31AD"/>
    <w:rsid w:val="001B332E"/>
    <w:rsid w:val="001B3486"/>
    <w:rsid w:val="001B379E"/>
    <w:rsid w:val="001B3BEB"/>
    <w:rsid w:val="001B3F92"/>
    <w:rsid w:val="001B42C2"/>
    <w:rsid w:val="001B477D"/>
    <w:rsid w:val="001B4793"/>
    <w:rsid w:val="001B48B1"/>
    <w:rsid w:val="001B4A9B"/>
    <w:rsid w:val="001B4C64"/>
    <w:rsid w:val="001B4D4E"/>
    <w:rsid w:val="001B4F05"/>
    <w:rsid w:val="001B5526"/>
    <w:rsid w:val="001B5535"/>
    <w:rsid w:val="001B5620"/>
    <w:rsid w:val="001B5CCF"/>
    <w:rsid w:val="001B5FB3"/>
    <w:rsid w:val="001B6243"/>
    <w:rsid w:val="001B629A"/>
    <w:rsid w:val="001B659A"/>
    <w:rsid w:val="001B6729"/>
    <w:rsid w:val="001B7005"/>
    <w:rsid w:val="001B75C6"/>
    <w:rsid w:val="001B7887"/>
    <w:rsid w:val="001B7A62"/>
    <w:rsid w:val="001B7BDA"/>
    <w:rsid w:val="001B7C1E"/>
    <w:rsid w:val="001C0236"/>
    <w:rsid w:val="001C0338"/>
    <w:rsid w:val="001C038E"/>
    <w:rsid w:val="001C03B9"/>
    <w:rsid w:val="001C040A"/>
    <w:rsid w:val="001C08DC"/>
    <w:rsid w:val="001C0BB4"/>
    <w:rsid w:val="001C1363"/>
    <w:rsid w:val="001C138C"/>
    <w:rsid w:val="001C139B"/>
    <w:rsid w:val="001C14E0"/>
    <w:rsid w:val="001C164E"/>
    <w:rsid w:val="001C1814"/>
    <w:rsid w:val="001C1EC8"/>
    <w:rsid w:val="001C227A"/>
    <w:rsid w:val="001C245C"/>
    <w:rsid w:val="001C2C0D"/>
    <w:rsid w:val="001C30F7"/>
    <w:rsid w:val="001C32AD"/>
    <w:rsid w:val="001C3648"/>
    <w:rsid w:val="001C3787"/>
    <w:rsid w:val="001C3989"/>
    <w:rsid w:val="001C3A94"/>
    <w:rsid w:val="001C3EF2"/>
    <w:rsid w:val="001C433A"/>
    <w:rsid w:val="001C4D00"/>
    <w:rsid w:val="001C4F6F"/>
    <w:rsid w:val="001C52C0"/>
    <w:rsid w:val="001C6592"/>
    <w:rsid w:val="001C67B1"/>
    <w:rsid w:val="001C68A8"/>
    <w:rsid w:val="001C6A18"/>
    <w:rsid w:val="001C6CDD"/>
    <w:rsid w:val="001C6EE3"/>
    <w:rsid w:val="001C713C"/>
    <w:rsid w:val="001C764C"/>
    <w:rsid w:val="001C797F"/>
    <w:rsid w:val="001C7D0E"/>
    <w:rsid w:val="001C7D90"/>
    <w:rsid w:val="001C7DC0"/>
    <w:rsid w:val="001C7E1B"/>
    <w:rsid w:val="001D00A7"/>
    <w:rsid w:val="001D0166"/>
    <w:rsid w:val="001D05AF"/>
    <w:rsid w:val="001D06F2"/>
    <w:rsid w:val="001D08AF"/>
    <w:rsid w:val="001D0B6C"/>
    <w:rsid w:val="001D0DEC"/>
    <w:rsid w:val="001D1404"/>
    <w:rsid w:val="001D1966"/>
    <w:rsid w:val="001D1A95"/>
    <w:rsid w:val="001D1B42"/>
    <w:rsid w:val="001D1CDE"/>
    <w:rsid w:val="001D1D9D"/>
    <w:rsid w:val="001D1E1F"/>
    <w:rsid w:val="001D1FB9"/>
    <w:rsid w:val="001D2491"/>
    <w:rsid w:val="001D26F4"/>
    <w:rsid w:val="001D2972"/>
    <w:rsid w:val="001D2B1B"/>
    <w:rsid w:val="001D318E"/>
    <w:rsid w:val="001D3422"/>
    <w:rsid w:val="001D3CA8"/>
    <w:rsid w:val="001D3EF9"/>
    <w:rsid w:val="001D45AD"/>
    <w:rsid w:val="001D4A99"/>
    <w:rsid w:val="001D4D6D"/>
    <w:rsid w:val="001D5031"/>
    <w:rsid w:val="001D5086"/>
    <w:rsid w:val="001D51F3"/>
    <w:rsid w:val="001D556E"/>
    <w:rsid w:val="001D585F"/>
    <w:rsid w:val="001D5E14"/>
    <w:rsid w:val="001D5E8F"/>
    <w:rsid w:val="001D5EA4"/>
    <w:rsid w:val="001D6077"/>
    <w:rsid w:val="001D6250"/>
    <w:rsid w:val="001D635B"/>
    <w:rsid w:val="001D6511"/>
    <w:rsid w:val="001D68C6"/>
    <w:rsid w:val="001D6AE3"/>
    <w:rsid w:val="001D6C2B"/>
    <w:rsid w:val="001D6D0C"/>
    <w:rsid w:val="001D6F5C"/>
    <w:rsid w:val="001D7128"/>
    <w:rsid w:val="001D72DB"/>
    <w:rsid w:val="001D732F"/>
    <w:rsid w:val="001D7742"/>
    <w:rsid w:val="001D7985"/>
    <w:rsid w:val="001D7E38"/>
    <w:rsid w:val="001E075A"/>
    <w:rsid w:val="001E084E"/>
    <w:rsid w:val="001E0A81"/>
    <w:rsid w:val="001E0B42"/>
    <w:rsid w:val="001E1126"/>
    <w:rsid w:val="001E17D6"/>
    <w:rsid w:val="001E1848"/>
    <w:rsid w:val="001E1866"/>
    <w:rsid w:val="001E186F"/>
    <w:rsid w:val="001E1FA5"/>
    <w:rsid w:val="001E215B"/>
    <w:rsid w:val="001E2598"/>
    <w:rsid w:val="001E295D"/>
    <w:rsid w:val="001E29F1"/>
    <w:rsid w:val="001E2BB6"/>
    <w:rsid w:val="001E3096"/>
    <w:rsid w:val="001E426D"/>
    <w:rsid w:val="001E4693"/>
    <w:rsid w:val="001E4751"/>
    <w:rsid w:val="001E4A73"/>
    <w:rsid w:val="001E4D53"/>
    <w:rsid w:val="001E5011"/>
    <w:rsid w:val="001E5039"/>
    <w:rsid w:val="001E57DD"/>
    <w:rsid w:val="001E58FB"/>
    <w:rsid w:val="001E5949"/>
    <w:rsid w:val="001E6478"/>
    <w:rsid w:val="001E6B4D"/>
    <w:rsid w:val="001E7086"/>
    <w:rsid w:val="001E72A8"/>
    <w:rsid w:val="001E76B0"/>
    <w:rsid w:val="001E76EE"/>
    <w:rsid w:val="001E779D"/>
    <w:rsid w:val="001E7A4F"/>
    <w:rsid w:val="001F00FD"/>
    <w:rsid w:val="001F017D"/>
    <w:rsid w:val="001F01E9"/>
    <w:rsid w:val="001F0365"/>
    <w:rsid w:val="001F0712"/>
    <w:rsid w:val="001F07EB"/>
    <w:rsid w:val="001F0C34"/>
    <w:rsid w:val="001F0C77"/>
    <w:rsid w:val="001F0E0E"/>
    <w:rsid w:val="001F0EA8"/>
    <w:rsid w:val="001F11E2"/>
    <w:rsid w:val="001F1328"/>
    <w:rsid w:val="001F1635"/>
    <w:rsid w:val="001F1E2C"/>
    <w:rsid w:val="001F21F0"/>
    <w:rsid w:val="001F2581"/>
    <w:rsid w:val="001F2637"/>
    <w:rsid w:val="001F26C5"/>
    <w:rsid w:val="001F2777"/>
    <w:rsid w:val="001F2D62"/>
    <w:rsid w:val="001F2DE0"/>
    <w:rsid w:val="001F2F6B"/>
    <w:rsid w:val="001F3263"/>
    <w:rsid w:val="001F3745"/>
    <w:rsid w:val="001F3775"/>
    <w:rsid w:val="001F37A6"/>
    <w:rsid w:val="001F3BF6"/>
    <w:rsid w:val="001F4386"/>
    <w:rsid w:val="001F4663"/>
    <w:rsid w:val="001F4734"/>
    <w:rsid w:val="001F4879"/>
    <w:rsid w:val="001F4948"/>
    <w:rsid w:val="001F4ABD"/>
    <w:rsid w:val="001F4E40"/>
    <w:rsid w:val="001F5243"/>
    <w:rsid w:val="001F52DE"/>
    <w:rsid w:val="001F550F"/>
    <w:rsid w:val="001F58D3"/>
    <w:rsid w:val="001F59C3"/>
    <w:rsid w:val="001F5A73"/>
    <w:rsid w:val="001F601E"/>
    <w:rsid w:val="001F608B"/>
    <w:rsid w:val="001F652D"/>
    <w:rsid w:val="001F660E"/>
    <w:rsid w:val="001F670F"/>
    <w:rsid w:val="001F6B6D"/>
    <w:rsid w:val="001F6D4E"/>
    <w:rsid w:val="001F6EF5"/>
    <w:rsid w:val="001F7372"/>
    <w:rsid w:val="001F74B6"/>
    <w:rsid w:val="001F75F4"/>
    <w:rsid w:val="001F7780"/>
    <w:rsid w:val="001F7810"/>
    <w:rsid w:val="001F78D3"/>
    <w:rsid w:val="001F798A"/>
    <w:rsid w:val="001F7D54"/>
    <w:rsid w:val="001F7F28"/>
    <w:rsid w:val="002000A0"/>
    <w:rsid w:val="00200226"/>
    <w:rsid w:val="002003EB"/>
    <w:rsid w:val="00200A9A"/>
    <w:rsid w:val="00200DB4"/>
    <w:rsid w:val="00200F37"/>
    <w:rsid w:val="00200FD3"/>
    <w:rsid w:val="002014F3"/>
    <w:rsid w:val="002016D4"/>
    <w:rsid w:val="00201758"/>
    <w:rsid w:val="0020197A"/>
    <w:rsid w:val="00201A34"/>
    <w:rsid w:val="00201C9E"/>
    <w:rsid w:val="00201DB2"/>
    <w:rsid w:val="00202086"/>
    <w:rsid w:val="00202103"/>
    <w:rsid w:val="00202198"/>
    <w:rsid w:val="0020219F"/>
    <w:rsid w:val="002022C0"/>
    <w:rsid w:val="00202C3D"/>
    <w:rsid w:val="00202C57"/>
    <w:rsid w:val="00202EFA"/>
    <w:rsid w:val="00202F9D"/>
    <w:rsid w:val="002030A2"/>
    <w:rsid w:val="002031D6"/>
    <w:rsid w:val="00203377"/>
    <w:rsid w:val="00203440"/>
    <w:rsid w:val="0020381C"/>
    <w:rsid w:val="002039CF"/>
    <w:rsid w:val="00203C09"/>
    <w:rsid w:val="00204C57"/>
    <w:rsid w:val="00204E51"/>
    <w:rsid w:val="00204F4D"/>
    <w:rsid w:val="00205070"/>
    <w:rsid w:val="002057BA"/>
    <w:rsid w:val="002057EF"/>
    <w:rsid w:val="0020589A"/>
    <w:rsid w:val="00205987"/>
    <w:rsid w:val="00205C3B"/>
    <w:rsid w:val="00205EB8"/>
    <w:rsid w:val="00205F52"/>
    <w:rsid w:val="0020617D"/>
    <w:rsid w:val="00206324"/>
    <w:rsid w:val="002064DD"/>
    <w:rsid w:val="00206691"/>
    <w:rsid w:val="00206C7A"/>
    <w:rsid w:val="00206E73"/>
    <w:rsid w:val="00207063"/>
    <w:rsid w:val="00207212"/>
    <w:rsid w:val="002074D0"/>
    <w:rsid w:val="00207A22"/>
    <w:rsid w:val="00207DCC"/>
    <w:rsid w:val="00207F79"/>
    <w:rsid w:val="002100FD"/>
    <w:rsid w:val="002105AA"/>
    <w:rsid w:val="00210B70"/>
    <w:rsid w:val="00210C03"/>
    <w:rsid w:val="00210D4D"/>
    <w:rsid w:val="0021185A"/>
    <w:rsid w:val="002119C6"/>
    <w:rsid w:val="002119E4"/>
    <w:rsid w:val="00211A95"/>
    <w:rsid w:val="00211AA4"/>
    <w:rsid w:val="00211BC0"/>
    <w:rsid w:val="00212235"/>
    <w:rsid w:val="002122CB"/>
    <w:rsid w:val="002122DB"/>
    <w:rsid w:val="002125AF"/>
    <w:rsid w:val="00212E39"/>
    <w:rsid w:val="002131C2"/>
    <w:rsid w:val="0021324A"/>
    <w:rsid w:val="00213529"/>
    <w:rsid w:val="00213BC4"/>
    <w:rsid w:val="0021450C"/>
    <w:rsid w:val="00214D6A"/>
    <w:rsid w:val="00214DAB"/>
    <w:rsid w:val="00214EAA"/>
    <w:rsid w:val="00214FC5"/>
    <w:rsid w:val="002153B0"/>
    <w:rsid w:val="0021573A"/>
    <w:rsid w:val="00215C35"/>
    <w:rsid w:val="00215E67"/>
    <w:rsid w:val="00215EB4"/>
    <w:rsid w:val="00216142"/>
    <w:rsid w:val="00216363"/>
    <w:rsid w:val="002167B4"/>
    <w:rsid w:val="00216A01"/>
    <w:rsid w:val="00216ACB"/>
    <w:rsid w:val="00216BFB"/>
    <w:rsid w:val="00216C27"/>
    <w:rsid w:val="00216FD8"/>
    <w:rsid w:val="00217175"/>
    <w:rsid w:val="0021759B"/>
    <w:rsid w:val="00220335"/>
    <w:rsid w:val="00220357"/>
    <w:rsid w:val="00220627"/>
    <w:rsid w:val="002207D4"/>
    <w:rsid w:val="00220892"/>
    <w:rsid w:val="00220DD9"/>
    <w:rsid w:val="00220E31"/>
    <w:rsid w:val="00220E39"/>
    <w:rsid w:val="0022102B"/>
    <w:rsid w:val="00221137"/>
    <w:rsid w:val="00221353"/>
    <w:rsid w:val="002219A6"/>
    <w:rsid w:val="002219F2"/>
    <w:rsid w:val="00221D42"/>
    <w:rsid w:val="00221D87"/>
    <w:rsid w:val="00221ECC"/>
    <w:rsid w:val="002220D9"/>
    <w:rsid w:val="002222DF"/>
    <w:rsid w:val="002223E9"/>
    <w:rsid w:val="00222467"/>
    <w:rsid w:val="002226BD"/>
    <w:rsid w:val="00222CBC"/>
    <w:rsid w:val="00222F84"/>
    <w:rsid w:val="00223395"/>
    <w:rsid w:val="002233EF"/>
    <w:rsid w:val="00223CE4"/>
    <w:rsid w:val="00223D83"/>
    <w:rsid w:val="00224749"/>
    <w:rsid w:val="002247D0"/>
    <w:rsid w:val="00224B4B"/>
    <w:rsid w:val="00224CD5"/>
    <w:rsid w:val="00224D92"/>
    <w:rsid w:val="0022504F"/>
    <w:rsid w:val="00225291"/>
    <w:rsid w:val="002256C3"/>
    <w:rsid w:val="0022588D"/>
    <w:rsid w:val="00225ED2"/>
    <w:rsid w:val="002267B6"/>
    <w:rsid w:val="002267E6"/>
    <w:rsid w:val="002268EC"/>
    <w:rsid w:val="00226F4F"/>
    <w:rsid w:val="00226F53"/>
    <w:rsid w:val="00227647"/>
    <w:rsid w:val="00227756"/>
    <w:rsid w:val="00227920"/>
    <w:rsid w:val="00227D0D"/>
    <w:rsid w:val="00227EDF"/>
    <w:rsid w:val="00230179"/>
    <w:rsid w:val="002301B8"/>
    <w:rsid w:val="002302AA"/>
    <w:rsid w:val="00230494"/>
    <w:rsid w:val="002306FE"/>
    <w:rsid w:val="002307CB"/>
    <w:rsid w:val="002308EB"/>
    <w:rsid w:val="00230DAE"/>
    <w:rsid w:val="002310AD"/>
    <w:rsid w:val="002311A2"/>
    <w:rsid w:val="002311B9"/>
    <w:rsid w:val="00231508"/>
    <w:rsid w:val="00231569"/>
    <w:rsid w:val="00231596"/>
    <w:rsid w:val="00231621"/>
    <w:rsid w:val="00231D77"/>
    <w:rsid w:val="0023298F"/>
    <w:rsid w:val="00232AE4"/>
    <w:rsid w:val="00232C93"/>
    <w:rsid w:val="00233022"/>
    <w:rsid w:val="00233958"/>
    <w:rsid w:val="002339BB"/>
    <w:rsid w:val="00233EE7"/>
    <w:rsid w:val="002340E7"/>
    <w:rsid w:val="00234184"/>
    <w:rsid w:val="002342BA"/>
    <w:rsid w:val="00234308"/>
    <w:rsid w:val="0023435F"/>
    <w:rsid w:val="002345DB"/>
    <w:rsid w:val="00234A1F"/>
    <w:rsid w:val="00234DDF"/>
    <w:rsid w:val="00234E95"/>
    <w:rsid w:val="00234F5B"/>
    <w:rsid w:val="00234F7E"/>
    <w:rsid w:val="002350D1"/>
    <w:rsid w:val="00235133"/>
    <w:rsid w:val="002351F2"/>
    <w:rsid w:val="00235AA3"/>
    <w:rsid w:val="0023604A"/>
    <w:rsid w:val="00236255"/>
    <w:rsid w:val="002362BD"/>
    <w:rsid w:val="00236558"/>
    <w:rsid w:val="0023656E"/>
    <w:rsid w:val="0023669F"/>
    <w:rsid w:val="002366EC"/>
    <w:rsid w:val="0023686B"/>
    <w:rsid w:val="002368BD"/>
    <w:rsid w:val="00236E32"/>
    <w:rsid w:val="00237042"/>
    <w:rsid w:val="002373F7"/>
    <w:rsid w:val="00237B9B"/>
    <w:rsid w:val="00237D05"/>
    <w:rsid w:val="00237D1E"/>
    <w:rsid w:val="00237D8E"/>
    <w:rsid w:val="002400A0"/>
    <w:rsid w:val="002400BD"/>
    <w:rsid w:val="00240BDA"/>
    <w:rsid w:val="00240C26"/>
    <w:rsid w:val="00240F1C"/>
    <w:rsid w:val="002417AB"/>
    <w:rsid w:val="00241D78"/>
    <w:rsid w:val="00241FCD"/>
    <w:rsid w:val="00242054"/>
    <w:rsid w:val="0024228C"/>
    <w:rsid w:val="002427C4"/>
    <w:rsid w:val="00242D2D"/>
    <w:rsid w:val="00243136"/>
    <w:rsid w:val="0024318F"/>
    <w:rsid w:val="002434A9"/>
    <w:rsid w:val="00243665"/>
    <w:rsid w:val="00243CF3"/>
    <w:rsid w:val="00243D7F"/>
    <w:rsid w:val="00243F6D"/>
    <w:rsid w:val="00244119"/>
    <w:rsid w:val="0024437A"/>
    <w:rsid w:val="00244C81"/>
    <w:rsid w:val="00244EFE"/>
    <w:rsid w:val="002457E1"/>
    <w:rsid w:val="002458F3"/>
    <w:rsid w:val="00245BF1"/>
    <w:rsid w:val="00245C51"/>
    <w:rsid w:val="00246335"/>
    <w:rsid w:val="00246365"/>
    <w:rsid w:val="002464B5"/>
    <w:rsid w:val="00246626"/>
    <w:rsid w:val="00246A1B"/>
    <w:rsid w:val="00246A5B"/>
    <w:rsid w:val="00246CB3"/>
    <w:rsid w:val="00247033"/>
    <w:rsid w:val="00247B21"/>
    <w:rsid w:val="00247F7D"/>
    <w:rsid w:val="0025001C"/>
    <w:rsid w:val="002501CB"/>
    <w:rsid w:val="00250EAF"/>
    <w:rsid w:val="00251001"/>
    <w:rsid w:val="002514A7"/>
    <w:rsid w:val="00251502"/>
    <w:rsid w:val="002518C5"/>
    <w:rsid w:val="00251A28"/>
    <w:rsid w:val="00251A6B"/>
    <w:rsid w:val="00251AA1"/>
    <w:rsid w:val="00251B3F"/>
    <w:rsid w:val="00251DA7"/>
    <w:rsid w:val="00251EB8"/>
    <w:rsid w:val="00251EBA"/>
    <w:rsid w:val="0025213C"/>
    <w:rsid w:val="00252AD7"/>
    <w:rsid w:val="00252E6B"/>
    <w:rsid w:val="00252E90"/>
    <w:rsid w:val="0025388F"/>
    <w:rsid w:val="00253A3F"/>
    <w:rsid w:val="00253B0B"/>
    <w:rsid w:val="00253DBA"/>
    <w:rsid w:val="00254133"/>
    <w:rsid w:val="0025445C"/>
    <w:rsid w:val="002544DF"/>
    <w:rsid w:val="00254625"/>
    <w:rsid w:val="00254FC0"/>
    <w:rsid w:val="0025527A"/>
    <w:rsid w:val="002552C1"/>
    <w:rsid w:val="00255499"/>
    <w:rsid w:val="002556CC"/>
    <w:rsid w:val="002557CD"/>
    <w:rsid w:val="002558C9"/>
    <w:rsid w:val="0025593C"/>
    <w:rsid w:val="00255C39"/>
    <w:rsid w:val="00255E27"/>
    <w:rsid w:val="002560AC"/>
    <w:rsid w:val="002560F0"/>
    <w:rsid w:val="00256123"/>
    <w:rsid w:val="0025642E"/>
    <w:rsid w:val="00256574"/>
    <w:rsid w:val="0025676B"/>
    <w:rsid w:val="00256BD5"/>
    <w:rsid w:val="00256C3D"/>
    <w:rsid w:val="00256CF9"/>
    <w:rsid w:val="00256EA7"/>
    <w:rsid w:val="0025753F"/>
    <w:rsid w:val="002576FE"/>
    <w:rsid w:val="00257720"/>
    <w:rsid w:val="00257890"/>
    <w:rsid w:val="00257A64"/>
    <w:rsid w:val="00257AA5"/>
    <w:rsid w:val="00257C5C"/>
    <w:rsid w:val="00257C81"/>
    <w:rsid w:val="00257CDF"/>
    <w:rsid w:val="00257DE6"/>
    <w:rsid w:val="00257EC8"/>
    <w:rsid w:val="00257F91"/>
    <w:rsid w:val="00260DC9"/>
    <w:rsid w:val="00260ECF"/>
    <w:rsid w:val="002617ED"/>
    <w:rsid w:val="002618C9"/>
    <w:rsid w:val="00261DAF"/>
    <w:rsid w:val="00262624"/>
    <w:rsid w:val="0026290B"/>
    <w:rsid w:val="0026295D"/>
    <w:rsid w:val="00262C4F"/>
    <w:rsid w:val="00262DCE"/>
    <w:rsid w:val="00262E07"/>
    <w:rsid w:val="00262E0F"/>
    <w:rsid w:val="00262E4A"/>
    <w:rsid w:val="00263044"/>
    <w:rsid w:val="00263087"/>
    <w:rsid w:val="002633C5"/>
    <w:rsid w:val="00263481"/>
    <w:rsid w:val="0026393C"/>
    <w:rsid w:val="00263C53"/>
    <w:rsid w:val="00263E2B"/>
    <w:rsid w:val="00263E2C"/>
    <w:rsid w:val="00264059"/>
    <w:rsid w:val="00264074"/>
    <w:rsid w:val="002644DD"/>
    <w:rsid w:val="002644E1"/>
    <w:rsid w:val="002649EE"/>
    <w:rsid w:val="00265486"/>
    <w:rsid w:val="00265A13"/>
    <w:rsid w:val="00265B69"/>
    <w:rsid w:val="002660F8"/>
    <w:rsid w:val="002662EA"/>
    <w:rsid w:val="00266AE0"/>
    <w:rsid w:val="00266CAF"/>
    <w:rsid w:val="00266E44"/>
    <w:rsid w:val="00267139"/>
    <w:rsid w:val="0026723E"/>
    <w:rsid w:val="00267347"/>
    <w:rsid w:val="00267753"/>
    <w:rsid w:val="00267C59"/>
    <w:rsid w:val="00267C64"/>
    <w:rsid w:val="00267EA0"/>
    <w:rsid w:val="00267EBC"/>
    <w:rsid w:val="002702CF"/>
    <w:rsid w:val="002702E1"/>
    <w:rsid w:val="00270395"/>
    <w:rsid w:val="002704C6"/>
    <w:rsid w:val="00270AC2"/>
    <w:rsid w:val="00270B01"/>
    <w:rsid w:val="00270E7B"/>
    <w:rsid w:val="00270F5D"/>
    <w:rsid w:val="002718DC"/>
    <w:rsid w:val="00271A89"/>
    <w:rsid w:val="00271E68"/>
    <w:rsid w:val="00271F31"/>
    <w:rsid w:val="002721AB"/>
    <w:rsid w:val="002725D3"/>
    <w:rsid w:val="00272727"/>
    <w:rsid w:val="0027285A"/>
    <w:rsid w:val="002729D4"/>
    <w:rsid w:val="00272B4B"/>
    <w:rsid w:val="00272BB6"/>
    <w:rsid w:val="00272C0D"/>
    <w:rsid w:val="00272C85"/>
    <w:rsid w:val="00272FB5"/>
    <w:rsid w:val="0027346F"/>
    <w:rsid w:val="00273652"/>
    <w:rsid w:val="002736D9"/>
    <w:rsid w:val="00273AB2"/>
    <w:rsid w:val="00273B3B"/>
    <w:rsid w:val="00273B6A"/>
    <w:rsid w:val="00273BA0"/>
    <w:rsid w:val="00273D5E"/>
    <w:rsid w:val="00273E32"/>
    <w:rsid w:val="002741E8"/>
    <w:rsid w:val="0027433D"/>
    <w:rsid w:val="0027434F"/>
    <w:rsid w:val="00274876"/>
    <w:rsid w:val="00274934"/>
    <w:rsid w:val="00274B4E"/>
    <w:rsid w:val="00275340"/>
    <w:rsid w:val="002757D9"/>
    <w:rsid w:val="002759E6"/>
    <w:rsid w:val="00275A0E"/>
    <w:rsid w:val="00275C1F"/>
    <w:rsid w:val="00275D89"/>
    <w:rsid w:val="00276080"/>
    <w:rsid w:val="002762B3"/>
    <w:rsid w:val="002766AC"/>
    <w:rsid w:val="002767C0"/>
    <w:rsid w:val="002769F9"/>
    <w:rsid w:val="00276D72"/>
    <w:rsid w:val="00276EDC"/>
    <w:rsid w:val="002770A1"/>
    <w:rsid w:val="00277109"/>
    <w:rsid w:val="002771B2"/>
    <w:rsid w:val="00277208"/>
    <w:rsid w:val="00277DB3"/>
    <w:rsid w:val="00277EF3"/>
    <w:rsid w:val="002802AA"/>
    <w:rsid w:val="002802D2"/>
    <w:rsid w:val="00280486"/>
    <w:rsid w:val="002804E4"/>
    <w:rsid w:val="00280AE4"/>
    <w:rsid w:val="00280B11"/>
    <w:rsid w:val="00280B41"/>
    <w:rsid w:val="00280D2D"/>
    <w:rsid w:val="00280F7B"/>
    <w:rsid w:val="0028121C"/>
    <w:rsid w:val="00281260"/>
    <w:rsid w:val="00281510"/>
    <w:rsid w:val="00281AC7"/>
    <w:rsid w:val="00281B6C"/>
    <w:rsid w:val="00281DF7"/>
    <w:rsid w:val="00281FEE"/>
    <w:rsid w:val="0028265B"/>
    <w:rsid w:val="002829A5"/>
    <w:rsid w:val="00282A4B"/>
    <w:rsid w:val="00282C05"/>
    <w:rsid w:val="00282DF6"/>
    <w:rsid w:val="0028349A"/>
    <w:rsid w:val="002835E1"/>
    <w:rsid w:val="00283D64"/>
    <w:rsid w:val="00283EA1"/>
    <w:rsid w:val="00284071"/>
    <w:rsid w:val="0028498A"/>
    <w:rsid w:val="00284A43"/>
    <w:rsid w:val="00284DF7"/>
    <w:rsid w:val="00284FAF"/>
    <w:rsid w:val="00285FF4"/>
    <w:rsid w:val="00286458"/>
    <w:rsid w:val="00286765"/>
    <w:rsid w:val="00286CA2"/>
    <w:rsid w:val="00287294"/>
    <w:rsid w:val="00287360"/>
    <w:rsid w:val="0028763F"/>
    <w:rsid w:val="00287D81"/>
    <w:rsid w:val="00287E48"/>
    <w:rsid w:val="00287F27"/>
    <w:rsid w:val="0029017D"/>
    <w:rsid w:val="0029028E"/>
    <w:rsid w:val="00290A2F"/>
    <w:rsid w:val="00291175"/>
    <w:rsid w:val="00291585"/>
    <w:rsid w:val="00291672"/>
    <w:rsid w:val="002916BD"/>
    <w:rsid w:val="0029181B"/>
    <w:rsid w:val="00291A88"/>
    <w:rsid w:val="00291C75"/>
    <w:rsid w:val="00291C79"/>
    <w:rsid w:val="00291F85"/>
    <w:rsid w:val="002924F3"/>
    <w:rsid w:val="00292DA2"/>
    <w:rsid w:val="00292FF1"/>
    <w:rsid w:val="002932D0"/>
    <w:rsid w:val="002934B7"/>
    <w:rsid w:val="002939BB"/>
    <w:rsid w:val="00293CB3"/>
    <w:rsid w:val="00293CB8"/>
    <w:rsid w:val="00293D30"/>
    <w:rsid w:val="00293DCD"/>
    <w:rsid w:val="00294391"/>
    <w:rsid w:val="00294529"/>
    <w:rsid w:val="002947F8"/>
    <w:rsid w:val="00294999"/>
    <w:rsid w:val="00294C82"/>
    <w:rsid w:val="00294DC8"/>
    <w:rsid w:val="002950A6"/>
    <w:rsid w:val="002958C3"/>
    <w:rsid w:val="00295E2D"/>
    <w:rsid w:val="00295E71"/>
    <w:rsid w:val="002960E0"/>
    <w:rsid w:val="0029624E"/>
    <w:rsid w:val="002965ED"/>
    <w:rsid w:val="0029671A"/>
    <w:rsid w:val="0029678C"/>
    <w:rsid w:val="00296858"/>
    <w:rsid w:val="00296C37"/>
    <w:rsid w:val="00296CEF"/>
    <w:rsid w:val="00296EFD"/>
    <w:rsid w:val="002971E2"/>
    <w:rsid w:val="00297384"/>
    <w:rsid w:val="00297538"/>
    <w:rsid w:val="002977A1"/>
    <w:rsid w:val="0029787D"/>
    <w:rsid w:val="002979F0"/>
    <w:rsid w:val="002A0483"/>
    <w:rsid w:val="002A0594"/>
    <w:rsid w:val="002A09F7"/>
    <w:rsid w:val="002A0B7B"/>
    <w:rsid w:val="002A0D41"/>
    <w:rsid w:val="002A1082"/>
    <w:rsid w:val="002A118C"/>
    <w:rsid w:val="002A1336"/>
    <w:rsid w:val="002A15ED"/>
    <w:rsid w:val="002A1945"/>
    <w:rsid w:val="002A1B25"/>
    <w:rsid w:val="002A1BA7"/>
    <w:rsid w:val="002A202F"/>
    <w:rsid w:val="002A2307"/>
    <w:rsid w:val="002A2440"/>
    <w:rsid w:val="002A25A9"/>
    <w:rsid w:val="002A296F"/>
    <w:rsid w:val="002A2A8D"/>
    <w:rsid w:val="002A2D19"/>
    <w:rsid w:val="002A2FE7"/>
    <w:rsid w:val="002A309C"/>
    <w:rsid w:val="002A3564"/>
    <w:rsid w:val="002A4286"/>
    <w:rsid w:val="002A48D2"/>
    <w:rsid w:val="002A4B13"/>
    <w:rsid w:val="002A4CBC"/>
    <w:rsid w:val="002A5269"/>
    <w:rsid w:val="002A572B"/>
    <w:rsid w:val="002A5733"/>
    <w:rsid w:val="002A5A38"/>
    <w:rsid w:val="002A5A3D"/>
    <w:rsid w:val="002A5DC0"/>
    <w:rsid w:val="002A689A"/>
    <w:rsid w:val="002A70D9"/>
    <w:rsid w:val="002A7165"/>
    <w:rsid w:val="002A77C3"/>
    <w:rsid w:val="002A794D"/>
    <w:rsid w:val="002A7A9B"/>
    <w:rsid w:val="002A7C01"/>
    <w:rsid w:val="002B0046"/>
    <w:rsid w:val="002B026A"/>
    <w:rsid w:val="002B0406"/>
    <w:rsid w:val="002B0574"/>
    <w:rsid w:val="002B0632"/>
    <w:rsid w:val="002B0801"/>
    <w:rsid w:val="002B09E4"/>
    <w:rsid w:val="002B0AAB"/>
    <w:rsid w:val="002B0C47"/>
    <w:rsid w:val="002B1612"/>
    <w:rsid w:val="002B1854"/>
    <w:rsid w:val="002B19F8"/>
    <w:rsid w:val="002B1B12"/>
    <w:rsid w:val="002B1E6E"/>
    <w:rsid w:val="002B2021"/>
    <w:rsid w:val="002B204F"/>
    <w:rsid w:val="002B2052"/>
    <w:rsid w:val="002B2266"/>
    <w:rsid w:val="002B2E25"/>
    <w:rsid w:val="002B2FF0"/>
    <w:rsid w:val="002B335E"/>
    <w:rsid w:val="002B3922"/>
    <w:rsid w:val="002B3A24"/>
    <w:rsid w:val="002B3A28"/>
    <w:rsid w:val="002B3D03"/>
    <w:rsid w:val="002B3EE2"/>
    <w:rsid w:val="002B4010"/>
    <w:rsid w:val="002B441D"/>
    <w:rsid w:val="002B49F9"/>
    <w:rsid w:val="002B4A59"/>
    <w:rsid w:val="002B4A70"/>
    <w:rsid w:val="002B4B84"/>
    <w:rsid w:val="002B4BD2"/>
    <w:rsid w:val="002B511E"/>
    <w:rsid w:val="002B5748"/>
    <w:rsid w:val="002B574A"/>
    <w:rsid w:val="002B5A47"/>
    <w:rsid w:val="002B5C86"/>
    <w:rsid w:val="002B60BD"/>
    <w:rsid w:val="002B6368"/>
    <w:rsid w:val="002B6611"/>
    <w:rsid w:val="002B6703"/>
    <w:rsid w:val="002B683C"/>
    <w:rsid w:val="002B6A45"/>
    <w:rsid w:val="002B6E3A"/>
    <w:rsid w:val="002B6FC5"/>
    <w:rsid w:val="002B785E"/>
    <w:rsid w:val="002B7C51"/>
    <w:rsid w:val="002B7CF8"/>
    <w:rsid w:val="002B7EF0"/>
    <w:rsid w:val="002C001C"/>
    <w:rsid w:val="002C01B2"/>
    <w:rsid w:val="002C061B"/>
    <w:rsid w:val="002C089D"/>
    <w:rsid w:val="002C0F12"/>
    <w:rsid w:val="002C0F56"/>
    <w:rsid w:val="002C13EB"/>
    <w:rsid w:val="002C1445"/>
    <w:rsid w:val="002C1780"/>
    <w:rsid w:val="002C1C3E"/>
    <w:rsid w:val="002C1CCD"/>
    <w:rsid w:val="002C1F2B"/>
    <w:rsid w:val="002C20C7"/>
    <w:rsid w:val="002C21F4"/>
    <w:rsid w:val="002C2391"/>
    <w:rsid w:val="002C2447"/>
    <w:rsid w:val="002C2733"/>
    <w:rsid w:val="002C28C0"/>
    <w:rsid w:val="002C2B73"/>
    <w:rsid w:val="002C3640"/>
    <w:rsid w:val="002C3997"/>
    <w:rsid w:val="002C3A16"/>
    <w:rsid w:val="002C3A30"/>
    <w:rsid w:val="002C3D02"/>
    <w:rsid w:val="002C468F"/>
    <w:rsid w:val="002C4B4C"/>
    <w:rsid w:val="002C4B9C"/>
    <w:rsid w:val="002C530B"/>
    <w:rsid w:val="002C5328"/>
    <w:rsid w:val="002C552C"/>
    <w:rsid w:val="002C5673"/>
    <w:rsid w:val="002C576E"/>
    <w:rsid w:val="002C5879"/>
    <w:rsid w:val="002C5DD5"/>
    <w:rsid w:val="002C5F99"/>
    <w:rsid w:val="002C60E6"/>
    <w:rsid w:val="002C6200"/>
    <w:rsid w:val="002C6B47"/>
    <w:rsid w:val="002C6DEB"/>
    <w:rsid w:val="002C6DFA"/>
    <w:rsid w:val="002C7230"/>
    <w:rsid w:val="002C737B"/>
    <w:rsid w:val="002C74E1"/>
    <w:rsid w:val="002C790F"/>
    <w:rsid w:val="002C7912"/>
    <w:rsid w:val="002C794A"/>
    <w:rsid w:val="002C7B31"/>
    <w:rsid w:val="002C7E57"/>
    <w:rsid w:val="002D03D4"/>
    <w:rsid w:val="002D03F4"/>
    <w:rsid w:val="002D09C8"/>
    <w:rsid w:val="002D09E0"/>
    <w:rsid w:val="002D0B56"/>
    <w:rsid w:val="002D137D"/>
    <w:rsid w:val="002D16BB"/>
    <w:rsid w:val="002D20D4"/>
    <w:rsid w:val="002D267A"/>
    <w:rsid w:val="002D2822"/>
    <w:rsid w:val="002D2866"/>
    <w:rsid w:val="002D33F8"/>
    <w:rsid w:val="002D3652"/>
    <w:rsid w:val="002D394E"/>
    <w:rsid w:val="002D3C0A"/>
    <w:rsid w:val="002D4630"/>
    <w:rsid w:val="002D4AEA"/>
    <w:rsid w:val="002D4B56"/>
    <w:rsid w:val="002D566F"/>
    <w:rsid w:val="002D56D4"/>
    <w:rsid w:val="002D5C91"/>
    <w:rsid w:val="002D6201"/>
    <w:rsid w:val="002D63E7"/>
    <w:rsid w:val="002D66F3"/>
    <w:rsid w:val="002D6E36"/>
    <w:rsid w:val="002D7026"/>
    <w:rsid w:val="002D72CE"/>
    <w:rsid w:val="002D7774"/>
    <w:rsid w:val="002D77DF"/>
    <w:rsid w:val="002D7A49"/>
    <w:rsid w:val="002D7A95"/>
    <w:rsid w:val="002D7B42"/>
    <w:rsid w:val="002D7C41"/>
    <w:rsid w:val="002D7DB7"/>
    <w:rsid w:val="002E012C"/>
    <w:rsid w:val="002E0307"/>
    <w:rsid w:val="002E03AF"/>
    <w:rsid w:val="002E05A5"/>
    <w:rsid w:val="002E10EE"/>
    <w:rsid w:val="002E135A"/>
    <w:rsid w:val="002E1409"/>
    <w:rsid w:val="002E17BA"/>
    <w:rsid w:val="002E1878"/>
    <w:rsid w:val="002E1D52"/>
    <w:rsid w:val="002E1DD8"/>
    <w:rsid w:val="002E1F35"/>
    <w:rsid w:val="002E1FDB"/>
    <w:rsid w:val="002E1FDF"/>
    <w:rsid w:val="002E1FFA"/>
    <w:rsid w:val="002E2161"/>
    <w:rsid w:val="002E2667"/>
    <w:rsid w:val="002E2774"/>
    <w:rsid w:val="002E2B2D"/>
    <w:rsid w:val="002E2E99"/>
    <w:rsid w:val="002E3656"/>
    <w:rsid w:val="002E3B23"/>
    <w:rsid w:val="002E3D10"/>
    <w:rsid w:val="002E3E2E"/>
    <w:rsid w:val="002E3E88"/>
    <w:rsid w:val="002E4168"/>
    <w:rsid w:val="002E4265"/>
    <w:rsid w:val="002E42D4"/>
    <w:rsid w:val="002E42F0"/>
    <w:rsid w:val="002E45D7"/>
    <w:rsid w:val="002E4D7A"/>
    <w:rsid w:val="002E4F2D"/>
    <w:rsid w:val="002E52C5"/>
    <w:rsid w:val="002E5336"/>
    <w:rsid w:val="002E575A"/>
    <w:rsid w:val="002E58F0"/>
    <w:rsid w:val="002E59A9"/>
    <w:rsid w:val="002E59D4"/>
    <w:rsid w:val="002E5FF9"/>
    <w:rsid w:val="002E617D"/>
    <w:rsid w:val="002E62F4"/>
    <w:rsid w:val="002E6862"/>
    <w:rsid w:val="002E6872"/>
    <w:rsid w:val="002E6E44"/>
    <w:rsid w:val="002E6F8E"/>
    <w:rsid w:val="002E72E6"/>
    <w:rsid w:val="002E7A05"/>
    <w:rsid w:val="002E7A91"/>
    <w:rsid w:val="002E7C38"/>
    <w:rsid w:val="002E7FAF"/>
    <w:rsid w:val="002F014A"/>
    <w:rsid w:val="002F014C"/>
    <w:rsid w:val="002F0688"/>
    <w:rsid w:val="002F09AD"/>
    <w:rsid w:val="002F0C48"/>
    <w:rsid w:val="002F0D9F"/>
    <w:rsid w:val="002F1530"/>
    <w:rsid w:val="002F167A"/>
    <w:rsid w:val="002F1740"/>
    <w:rsid w:val="002F1752"/>
    <w:rsid w:val="002F1B8D"/>
    <w:rsid w:val="002F1BCC"/>
    <w:rsid w:val="002F2345"/>
    <w:rsid w:val="002F23E3"/>
    <w:rsid w:val="002F275F"/>
    <w:rsid w:val="002F28AF"/>
    <w:rsid w:val="002F2A86"/>
    <w:rsid w:val="002F2AD6"/>
    <w:rsid w:val="002F2BEA"/>
    <w:rsid w:val="002F2DB5"/>
    <w:rsid w:val="002F319C"/>
    <w:rsid w:val="002F3276"/>
    <w:rsid w:val="002F337A"/>
    <w:rsid w:val="002F35D8"/>
    <w:rsid w:val="002F36D5"/>
    <w:rsid w:val="002F3C47"/>
    <w:rsid w:val="002F3CA4"/>
    <w:rsid w:val="002F4742"/>
    <w:rsid w:val="002F4768"/>
    <w:rsid w:val="002F495C"/>
    <w:rsid w:val="002F52C5"/>
    <w:rsid w:val="002F551F"/>
    <w:rsid w:val="002F55FC"/>
    <w:rsid w:val="002F5669"/>
    <w:rsid w:val="002F5AB8"/>
    <w:rsid w:val="002F601D"/>
    <w:rsid w:val="002F6700"/>
    <w:rsid w:val="002F67BC"/>
    <w:rsid w:val="002F6CA4"/>
    <w:rsid w:val="002F6D4A"/>
    <w:rsid w:val="002F6F84"/>
    <w:rsid w:val="002F70B3"/>
    <w:rsid w:val="002F7735"/>
    <w:rsid w:val="002F777C"/>
    <w:rsid w:val="002F7FCA"/>
    <w:rsid w:val="0030074B"/>
    <w:rsid w:val="00300D9A"/>
    <w:rsid w:val="0030106A"/>
    <w:rsid w:val="00301261"/>
    <w:rsid w:val="003012C4"/>
    <w:rsid w:val="00301F04"/>
    <w:rsid w:val="00301F1B"/>
    <w:rsid w:val="0030209C"/>
    <w:rsid w:val="003020E2"/>
    <w:rsid w:val="0030254C"/>
    <w:rsid w:val="0030257C"/>
    <w:rsid w:val="00302D2F"/>
    <w:rsid w:val="00302FAC"/>
    <w:rsid w:val="0030301A"/>
    <w:rsid w:val="003031A9"/>
    <w:rsid w:val="0030370D"/>
    <w:rsid w:val="00303C87"/>
    <w:rsid w:val="00304295"/>
    <w:rsid w:val="00304A1E"/>
    <w:rsid w:val="00304E3A"/>
    <w:rsid w:val="00304F0C"/>
    <w:rsid w:val="003051E8"/>
    <w:rsid w:val="003051FC"/>
    <w:rsid w:val="00305630"/>
    <w:rsid w:val="003056B4"/>
    <w:rsid w:val="00305A8F"/>
    <w:rsid w:val="00305F08"/>
    <w:rsid w:val="003061F0"/>
    <w:rsid w:val="003065FC"/>
    <w:rsid w:val="0030699A"/>
    <w:rsid w:val="00306A9C"/>
    <w:rsid w:val="00306AC1"/>
    <w:rsid w:val="0030720A"/>
    <w:rsid w:val="0030729F"/>
    <w:rsid w:val="003077B4"/>
    <w:rsid w:val="00307BCC"/>
    <w:rsid w:val="00307E11"/>
    <w:rsid w:val="003102BC"/>
    <w:rsid w:val="003104DF"/>
    <w:rsid w:val="00310BB3"/>
    <w:rsid w:val="00310BF3"/>
    <w:rsid w:val="00310EC3"/>
    <w:rsid w:val="00311019"/>
    <w:rsid w:val="0031103D"/>
    <w:rsid w:val="003110E7"/>
    <w:rsid w:val="0031134F"/>
    <w:rsid w:val="003115FE"/>
    <w:rsid w:val="0031202C"/>
    <w:rsid w:val="00312982"/>
    <w:rsid w:val="00312C0D"/>
    <w:rsid w:val="00312CA7"/>
    <w:rsid w:val="00312DE7"/>
    <w:rsid w:val="00312F0D"/>
    <w:rsid w:val="00312FA2"/>
    <w:rsid w:val="00313277"/>
    <w:rsid w:val="00313495"/>
    <w:rsid w:val="00313649"/>
    <w:rsid w:val="00313827"/>
    <w:rsid w:val="00313F69"/>
    <w:rsid w:val="00314238"/>
    <w:rsid w:val="00314799"/>
    <w:rsid w:val="00314ADC"/>
    <w:rsid w:val="00314C80"/>
    <w:rsid w:val="00314E68"/>
    <w:rsid w:val="00314FDA"/>
    <w:rsid w:val="003150C8"/>
    <w:rsid w:val="0031521B"/>
    <w:rsid w:val="0031565C"/>
    <w:rsid w:val="003156D2"/>
    <w:rsid w:val="00315845"/>
    <w:rsid w:val="003158A8"/>
    <w:rsid w:val="00315D01"/>
    <w:rsid w:val="00315D2D"/>
    <w:rsid w:val="00315DDC"/>
    <w:rsid w:val="00315E7C"/>
    <w:rsid w:val="0031602A"/>
    <w:rsid w:val="0031604E"/>
    <w:rsid w:val="003160B8"/>
    <w:rsid w:val="00316536"/>
    <w:rsid w:val="00316709"/>
    <w:rsid w:val="00316840"/>
    <w:rsid w:val="00316B5C"/>
    <w:rsid w:val="00316F4B"/>
    <w:rsid w:val="0031716A"/>
    <w:rsid w:val="003173FE"/>
    <w:rsid w:val="003174E5"/>
    <w:rsid w:val="003179A5"/>
    <w:rsid w:val="003179CE"/>
    <w:rsid w:val="00317A3F"/>
    <w:rsid w:val="00317BF6"/>
    <w:rsid w:val="00317CB3"/>
    <w:rsid w:val="00317CCA"/>
    <w:rsid w:val="0032003A"/>
    <w:rsid w:val="0032035A"/>
    <w:rsid w:val="00320592"/>
    <w:rsid w:val="00320A18"/>
    <w:rsid w:val="00320FAD"/>
    <w:rsid w:val="00321091"/>
    <w:rsid w:val="00321095"/>
    <w:rsid w:val="00321555"/>
    <w:rsid w:val="003216EE"/>
    <w:rsid w:val="0032171B"/>
    <w:rsid w:val="00321E75"/>
    <w:rsid w:val="00322461"/>
    <w:rsid w:val="0032257F"/>
    <w:rsid w:val="00322BB9"/>
    <w:rsid w:val="00322C5B"/>
    <w:rsid w:val="00322F4A"/>
    <w:rsid w:val="00322F76"/>
    <w:rsid w:val="003230CA"/>
    <w:rsid w:val="003230DF"/>
    <w:rsid w:val="00323166"/>
    <w:rsid w:val="0032323E"/>
    <w:rsid w:val="003233B3"/>
    <w:rsid w:val="00323444"/>
    <w:rsid w:val="00323649"/>
    <w:rsid w:val="00323735"/>
    <w:rsid w:val="0032387E"/>
    <w:rsid w:val="00323925"/>
    <w:rsid w:val="00323A66"/>
    <w:rsid w:val="00323DEB"/>
    <w:rsid w:val="00323F7C"/>
    <w:rsid w:val="00324027"/>
    <w:rsid w:val="00324041"/>
    <w:rsid w:val="00324139"/>
    <w:rsid w:val="00324574"/>
    <w:rsid w:val="00324CC2"/>
    <w:rsid w:val="00324D2A"/>
    <w:rsid w:val="00324D8F"/>
    <w:rsid w:val="00325230"/>
    <w:rsid w:val="00325740"/>
    <w:rsid w:val="00325918"/>
    <w:rsid w:val="00325B60"/>
    <w:rsid w:val="00325F95"/>
    <w:rsid w:val="003260C7"/>
    <w:rsid w:val="0032618A"/>
    <w:rsid w:val="00326352"/>
    <w:rsid w:val="00326615"/>
    <w:rsid w:val="00326792"/>
    <w:rsid w:val="003267AC"/>
    <w:rsid w:val="00326B10"/>
    <w:rsid w:val="00326E6F"/>
    <w:rsid w:val="00326F05"/>
    <w:rsid w:val="003270D1"/>
    <w:rsid w:val="00327161"/>
    <w:rsid w:val="0032723E"/>
    <w:rsid w:val="003272B9"/>
    <w:rsid w:val="003277B9"/>
    <w:rsid w:val="003278B5"/>
    <w:rsid w:val="003303B9"/>
    <w:rsid w:val="00330A61"/>
    <w:rsid w:val="00330A87"/>
    <w:rsid w:val="00330C56"/>
    <w:rsid w:val="00330F9E"/>
    <w:rsid w:val="00331431"/>
    <w:rsid w:val="003318A4"/>
    <w:rsid w:val="00331944"/>
    <w:rsid w:val="00331A24"/>
    <w:rsid w:val="003324BD"/>
    <w:rsid w:val="00332593"/>
    <w:rsid w:val="00332618"/>
    <w:rsid w:val="0033288C"/>
    <w:rsid w:val="00332F36"/>
    <w:rsid w:val="00333049"/>
    <w:rsid w:val="00333056"/>
    <w:rsid w:val="00333145"/>
    <w:rsid w:val="003336B3"/>
    <w:rsid w:val="003337BE"/>
    <w:rsid w:val="003339F8"/>
    <w:rsid w:val="00333D15"/>
    <w:rsid w:val="00333F84"/>
    <w:rsid w:val="0033435C"/>
    <w:rsid w:val="00334731"/>
    <w:rsid w:val="0033474A"/>
    <w:rsid w:val="00334E01"/>
    <w:rsid w:val="003352E1"/>
    <w:rsid w:val="003352F7"/>
    <w:rsid w:val="00335344"/>
    <w:rsid w:val="00335453"/>
    <w:rsid w:val="0033584E"/>
    <w:rsid w:val="00335B35"/>
    <w:rsid w:val="00335EC5"/>
    <w:rsid w:val="00336407"/>
    <w:rsid w:val="00336B7C"/>
    <w:rsid w:val="00337305"/>
    <w:rsid w:val="00337872"/>
    <w:rsid w:val="00337DB7"/>
    <w:rsid w:val="00337E10"/>
    <w:rsid w:val="00337ECF"/>
    <w:rsid w:val="00337F77"/>
    <w:rsid w:val="003403D8"/>
    <w:rsid w:val="003404DC"/>
    <w:rsid w:val="003405C6"/>
    <w:rsid w:val="00340638"/>
    <w:rsid w:val="00340723"/>
    <w:rsid w:val="00340B87"/>
    <w:rsid w:val="00340EDC"/>
    <w:rsid w:val="00340F70"/>
    <w:rsid w:val="003411CB"/>
    <w:rsid w:val="00341B50"/>
    <w:rsid w:val="00341B76"/>
    <w:rsid w:val="00341CF0"/>
    <w:rsid w:val="00342055"/>
    <w:rsid w:val="003423F4"/>
    <w:rsid w:val="003424ED"/>
    <w:rsid w:val="0034298F"/>
    <w:rsid w:val="003429B3"/>
    <w:rsid w:val="00342F71"/>
    <w:rsid w:val="003430DB"/>
    <w:rsid w:val="003431D1"/>
    <w:rsid w:val="003436BF"/>
    <w:rsid w:val="0034380C"/>
    <w:rsid w:val="00343A01"/>
    <w:rsid w:val="00343BA5"/>
    <w:rsid w:val="00343C83"/>
    <w:rsid w:val="00343D53"/>
    <w:rsid w:val="00343DBB"/>
    <w:rsid w:val="00343DEB"/>
    <w:rsid w:val="00343E7A"/>
    <w:rsid w:val="0034477D"/>
    <w:rsid w:val="003448BF"/>
    <w:rsid w:val="00344D6A"/>
    <w:rsid w:val="00344DDF"/>
    <w:rsid w:val="00345489"/>
    <w:rsid w:val="00345536"/>
    <w:rsid w:val="00345546"/>
    <w:rsid w:val="003457C2"/>
    <w:rsid w:val="0034593F"/>
    <w:rsid w:val="00345C8B"/>
    <w:rsid w:val="00345DF1"/>
    <w:rsid w:val="003462D4"/>
    <w:rsid w:val="00346641"/>
    <w:rsid w:val="003466B5"/>
    <w:rsid w:val="00346CEB"/>
    <w:rsid w:val="00346D3D"/>
    <w:rsid w:val="003473CC"/>
    <w:rsid w:val="003473D9"/>
    <w:rsid w:val="003475F7"/>
    <w:rsid w:val="00347D32"/>
    <w:rsid w:val="00347DE5"/>
    <w:rsid w:val="00350034"/>
    <w:rsid w:val="0035082F"/>
    <w:rsid w:val="00350882"/>
    <w:rsid w:val="0035089A"/>
    <w:rsid w:val="0035091E"/>
    <w:rsid w:val="00350AC7"/>
    <w:rsid w:val="00350DFE"/>
    <w:rsid w:val="003518DE"/>
    <w:rsid w:val="00351914"/>
    <w:rsid w:val="00351971"/>
    <w:rsid w:val="00351E42"/>
    <w:rsid w:val="00351FE8"/>
    <w:rsid w:val="0035202A"/>
    <w:rsid w:val="003520FB"/>
    <w:rsid w:val="003521DB"/>
    <w:rsid w:val="00352421"/>
    <w:rsid w:val="003525CE"/>
    <w:rsid w:val="003527A5"/>
    <w:rsid w:val="00352A73"/>
    <w:rsid w:val="00352C02"/>
    <w:rsid w:val="00352C2F"/>
    <w:rsid w:val="0035316D"/>
    <w:rsid w:val="00353767"/>
    <w:rsid w:val="00353906"/>
    <w:rsid w:val="00353A06"/>
    <w:rsid w:val="00353A8E"/>
    <w:rsid w:val="00353DB4"/>
    <w:rsid w:val="00354032"/>
    <w:rsid w:val="0035410A"/>
    <w:rsid w:val="0035475B"/>
    <w:rsid w:val="00354804"/>
    <w:rsid w:val="00354EF7"/>
    <w:rsid w:val="00355064"/>
    <w:rsid w:val="00355B19"/>
    <w:rsid w:val="00355B97"/>
    <w:rsid w:val="00355E87"/>
    <w:rsid w:val="00356BD3"/>
    <w:rsid w:val="00356BFB"/>
    <w:rsid w:val="00357691"/>
    <w:rsid w:val="00357AAD"/>
    <w:rsid w:val="00357E96"/>
    <w:rsid w:val="00357F45"/>
    <w:rsid w:val="00360125"/>
    <w:rsid w:val="00360845"/>
    <w:rsid w:val="00360980"/>
    <w:rsid w:val="00360B7E"/>
    <w:rsid w:val="00360C78"/>
    <w:rsid w:val="00361031"/>
    <w:rsid w:val="00361226"/>
    <w:rsid w:val="003617E4"/>
    <w:rsid w:val="00361E4A"/>
    <w:rsid w:val="003621BF"/>
    <w:rsid w:val="003627DA"/>
    <w:rsid w:val="00362A7E"/>
    <w:rsid w:val="00362C98"/>
    <w:rsid w:val="00362EDD"/>
    <w:rsid w:val="0036311A"/>
    <w:rsid w:val="003631D8"/>
    <w:rsid w:val="003633F0"/>
    <w:rsid w:val="0036350A"/>
    <w:rsid w:val="00363732"/>
    <w:rsid w:val="00363E63"/>
    <w:rsid w:val="003641B5"/>
    <w:rsid w:val="0036474B"/>
    <w:rsid w:val="00365662"/>
    <w:rsid w:val="0036575A"/>
    <w:rsid w:val="003666C7"/>
    <w:rsid w:val="0036679F"/>
    <w:rsid w:val="00366808"/>
    <w:rsid w:val="0036738D"/>
    <w:rsid w:val="00367457"/>
    <w:rsid w:val="003676CC"/>
    <w:rsid w:val="00367A62"/>
    <w:rsid w:val="00367B69"/>
    <w:rsid w:val="00367FF8"/>
    <w:rsid w:val="003700BB"/>
    <w:rsid w:val="003701BF"/>
    <w:rsid w:val="003705AE"/>
    <w:rsid w:val="00370610"/>
    <w:rsid w:val="0037069F"/>
    <w:rsid w:val="00370748"/>
    <w:rsid w:val="0037157B"/>
    <w:rsid w:val="0037174F"/>
    <w:rsid w:val="00371BA0"/>
    <w:rsid w:val="00371D9D"/>
    <w:rsid w:val="0037244B"/>
    <w:rsid w:val="003725CE"/>
    <w:rsid w:val="00372645"/>
    <w:rsid w:val="00372779"/>
    <w:rsid w:val="00372856"/>
    <w:rsid w:val="00372CDB"/>
    <w:rsid w:val="00372DFB"/>
    <w:rsid w:val="003738C3"/>
    <w:rsid w:val="00373B28"/>
    <w:rsid w:val="00373DA8"/>
    <w:rsid w:val="0037408C"/>
    <w:rsid w:val="0037422A"/>
    <w:rsid w:val="0037446B"/>
    <w:rsid w:val="0037482A"/>
    <w:rsid w:val="00374AC1"/>
    <w:rsid w:val="003753EF"/>
    <w:rsid w:val="003754B6"/>
    <w:rsid w:val="003755F0"/>
    <w:rsid w:val="00375658"/>
    <w:rsid w:val="00375940"/>
    <w:rsid w:val="00375E18"/>
    <w:rsid w:val="00375F1C"/>
    <w:rsid w:val="0037613C"/>
    <w:rsid w:val="0037696A"/>
    <w:rsid w:val="00376A7F"/>
    <w:rsid w:val="00376A87"/>
    <w:rsid w:val="00376E65"/>
    <w:rsid w:val="00376FB0"/>
    <w:rsid w:val="00376FD6"/>
    <w:rsid w:val="00377063"/>
    <w:rsid w:val="00377158"/>
    <w:rsid w:val="00377396"/>
    <w:rsid w:val="003777F0"/>
    <w:rsid w:val="003779DF"/>
    <w:rsid w:val="00377E64"/>
    <w:rsid w:val="003800C1"/>
    <w:rsid w:val="00380196"/>
    <w:rsid w:val="003801A5"/>
    <w:rsid w:val="003804CB"/>
    <w:rsid w:val="0038069D"/>
    <w:rsid w:val="00380B4B"/>
    <w:rsid w:val="00380E01"/>
    <w:rsid w:val="00381393"/>
    <w:rsid w:val="0038146C"/>
    <w:rsid w:val="00381534"/>
    <w:rsid w:val="003815C9"/>
    <w:rsid w:val="003815EA"/>
    <w:rsid w:val="00381B23"/>
    <w:rsid w:val="00381E73"/>
    <w:rsid w:val="003821D6"/>
    <w:rsid w:val="0038296D"/>
    <w:rsid w:val="00382C19"/>
    <w:rsid w:val="00382D93"/>
    <w:rsid w:val="00382F2B"/>
    <w:rsid w:val="00383A36"/>
    <w:rsid w:val="00383B6C"/>
    <w:rsid w:val="00383CE4"/>
    <w:rsid w:val="00384139"/>
    <w:rsid w:val="0038423F"/>
    <w:rsid w:val="0038439F"/>
    <w:rsid w:val="00384649"/>
    <w:rsid w:val="003846C8"/>
    <w:rsid w:val="00384DD3"/>
    <w:rsid w:val="00385045"/>
    <w:rsid w:val="00385318"/>
    <w:rsid w:val="003858B7"/>
    <w:rsid w:val="00385FD0"/>
    <w:rsid w:val="003860CE"/>
    <w:rsid w:val="00386677"/>
    <w:rsid w:val="003866E0"/>
    <w:rsid w:val="003869C0"/>
    <w:rsid w:val="00386C1C"/>
    <w:rsid w:val="00386E2B"/>
    <w:rsid w:val="003875B7"/>
    <w:rsid w:val="00387829"/>
    <w:rsid w:val="003879CC"/>
    <w:rsid w:val="00387C9E"/>
    <w:rsid w:val="0039050F"/>
    <w:rsid w:val="00390588"/>
    <w:rsid w:val="0039072F"/>
    <w:rsid w:val="0039078A"/>
    <w:rsid w:val="00390ABB"/>
    <w:rsid w:val="00390D47"/>
    <w:rsid w:val="00390F6E"/>
    <w:rsid w:val="0039102A"/>
    <w:rsid w:val="00391156"/>
    <w:rsid w:val="0039145B"/>
    <w:rsid w:val="0039168B"/>
    <w:rsid w:val="003919C9"/>
    <w:rsid w:val="00391B9D"/>
    <w:rsid w:val="00391BD5"/>
    <w:rsid w:val="00391C8B"/>
    <w:rsid w:val="0039230B"/>
    <w:rsid w:val="003924DB"/>
    <w:rsid w:val="00392703"/>
    <w:rsid w:val="0039281C"/>
    <w:rsid w:val="00392A85"/>
    <w:rsid w:val="00392C78"/>
    <w:rsid w:val="0039341A"/>
    <w:rsid w:val="003942EA"/>
    <w:rsid w:val="003948EC"/>
    <w:rsid w:val="00394A85"/>
    <w:rsid w:val="00394BBC"/>
    <w:rsid w:val="0039569C"/>
    <w:rsid w:val="00395B6B"/>
    <w:rsid w:val="00395BD4"/>
    <w:rsid w:val="0039626B"/>
    <w:rsid w:val="00396C5E"/>
    <w:rsid w:val="00396E81"/>
    <w:rsid w:val="003972A0"/>
    <w:rsid w:val="003976F2"/>
    <w:rsid w:val="003978C6"/>
    <w:rsid w:val="003978F2"/>
    <w:rsid w:val="00397931"/>
    <w:rsid w:val="00397A85"/>
    <w:rsid w:val="00397E20"/>
    <w:rsid w:val="003A0097"/>
    <w:rsid w:val="003A027E"/>
    <w:rsid w:val="003A0430"/>
    <w:rsid w:val="003A06F3"/>
    <w:rsid w:val="003A0970"/>
    <w:rsid w:val="003A1203"/>
    <w:rsid w:val="003A145F"/>
    <w:rsid w:val="003A1829"/>
    <w:rsid w:val="003A1B0D"/>
    <w:rsid w:val="003A1C37"/>
    <w:rsid w:val="003A1DFD"/>
    <w:rsid w:val="003A201A"/>
    <w:rsid w:val="003A2102"/>
    <w:rsid w:val="003A2119"/>
    <w:rsid w:val="003A2216"/>
    <w:rsid w:val="003A2648"/>
    <w:rsid w:val="003A2686"/>
    <w:rsid w:val="003A2B02"/>
    <w:rsid w:val="003A31A9"/>
    <w:rsid w:val="003A3204"/>
    <w:rsid w:val="003A3559"/>
    <w:rsid w:val="003A380F"/>
    <w:rsid w:val="003A38D3"/>
    <w:rsid w:val="003A3B7F"/>
    <w:rsid w:val="003A3B9C"/>
    <w:rsid w:val="003A3DCD"/>
    <w:rsid w:val="003A40F2"/>
    <w:rsid w:val="003A42BC"/>
    <w:rsid w:val="003A42D1"/>
    <w:rsid w:val="003A4407"/>
    <w:rsid w:val="003A4707"/>
    <w:rsid w:val="003A49E5"/>
    <w:rsid w:val="003A5190"/>
    <w:rsid w:val="003A5664"/>
    <w:rsid w:val="003A574D"/>
    <w:rsid w:val="003A5908"/>
    <w:rsid w:val="003A5924"/>
    <w:rsid w:val="003A59DE"/>
    <w:rsid w:val="003A59F7"/>
    <w:rsid w:val="003A5A39"/>
    <w:rsid w:val="003A5C51"/>
    <w:rsid w:val="003A5C71"/>
    <w:rsid w:val="003A5FF4"/>
    <w:rsid w:val="003A6121"/>
    <w:rsid w:val="003A615B"/>
    <w:rsid w:val="003A647F"/>
    <w:rsid w:val="003A6551"/>
    <w:rsid w:val="003A696D"/>
    <w:rsid w:val="003A6BBA"/>
    <w:rsid w:val="003A6EAA"/>
    <w:rsid w:val="003A7688"/>
    <w:rsid w:val="003A7E38"/>
    <w:rsid w:val="003A7F62"/>
    <w:rsid w:val="003B08C1"/>
    <w:rsid w:val="003B09FD"/>
    <w:rsid w:val="003B0DF4"/>
    <w:rsid w:val="003B1154"/>
    <w:rsid w:val="003B11ED"/>
    <w:rsid w:val="003B122C"/>
    <w:rsid w:val="003B1982"/>
    <w:rsid w:val="003B1C62"/>
    <w:rsid w:val="003B1C8B"/>
    <w:rsid w:val="003B1F3A"/>
    <w:rsid w:val="003B20E7"/>
    <w:rsid w:val="003B2267"/>
    <w:rsid w:val="003B2554"/>
    <w:rsid w:val="003B2EE1"/>
    <w:rsid w:val="003B3502"/>
    <w:rsid w:val="003B352F"/>
    <w:rsid w:val="003B364C"/>
    <w:rsid w:val="003B371A"/>
    <w:rsid w:val="003B3E51"/>
    <w:rsid w:val="003B3E7E"/>
    <w:rsid w:val="003B3F1F"/>
    <w:rsid w:val="003B3F4E"/>
    <w:rsid w:val="003B3F94"/>
    <w:rsid w:val="003B3FB0"/>
    <w:rsid w:val="003B3FB4"/>
    <w:rsid w:val="003B4042"/>
    <w:rsid w:val="003B4055"/>
    <w:rsid w:val="003B4327"/>
    <w:rsid w:val="003B438B"/>
    <w:rsid w:val="003B44F7"/>
    <w:rsid w:val="003B4529"/>
    <w:rsid w:val="003B464E"/>
    <w:rsid w:val="003B5411"/>
    <w:rsid w:val="003B59AA"/>
    <w:rsid w:val="003B59B3"/>
    <w:rsid w:val="003B5AF1"/>
    <w:rsid w:val="003B5BA2"/>
    <w:rsid w:val="003B5C38"/>
    <w:rsid w:val="003B6005"/>
    <w:rsid w:val="003B62E3"/>
    <w:rsid w:val="003B63F8"/>
    <w:rsid w:val="003B673A"/>
    <w:rsid w:val="003B67E7"/>
    <w:rsid w:val="003B6E18"/>
    <w:rsid w:val="003B71EE"/>
    <w:rsid w:val="003B72B8"/>
    <w:rsid w:val="003B73CA"/>
    <w:rsid w:val="003B7465"/>
    <w:rsid w:val="003B7552"/>
    <w:rsid w:val="003B75BA"/>
    <w:rsid w:val="003B7838"/>
    <w:rsid w:val="003B786E"/>
    <w:rsid w:val="003B7B6B"/>
    <w:rsid w:val="003B7BAF"/>
    <w:rsid w:val="003B7BD8"/>
    <w:rsid w:val="003B7DFB"/>
    <w:rsid w:val="003B7E4D"/>
    <w:rsid w:val="003C05B6"/>
    <w:rsid w:val="003C0A8A"/>
    <w:rsid w:val="003C0CE7"/>
    <w:rsid w:val="003C0E59"/>
    <w:rsid w:val="003C1327"/>
    <w:rsid w:val="003C15E1"/>
    <w:rsid w:val="003C1734"/>
    <w:rsid w:val="003C1CAD"/>
    <w:rsid w:val="003C1CBD"/>
    <w:rsid w:val="003C23BF"/>
    <w:rsid w:val="003C2B42"/>
    <w:rsid w:val="003C2EE1"/>
    <w:rsid w:val="003C3168"/>
    <w:rsid w:val="003C32F1"/>
    <w:rsid w:val="003C3458"/>
    <w:rsid w:val="003C35C5"/>
    <w:rsid w:val="003C3AD7"/>
    <w:rsid w:val="003C3C4D"/>
    <w:rsid w:val="003C41ED"/>
    <w:rsid w:val="003C489F"/>
    <w:rsid w:val="003C4960"/>
    <w:rsid w:val="003C49F8"/>
    <w:rsid w:val="003C4D46"/>
    <w:rsid w:val="003C4DC7"/>
    <w:rsid w:val="003C5343"/>
    <w:rsid w:val="003C5888"/>
    <w:rsid w:val="003C5B65"/>
    <w:rsid w:val="003C5BA9"/>
    <w:rsid w:val="003C6160"/>
    <w:rsid w:val="003C6684"/>
    <w:rsid w:val="003C6887"/>
    <w:rsid w:val="003C6C44"/>
    <w:rsid w:val="003C6CCF"/>
    <w:rsid w:val="003C6D1D"/>
    <w:rsid w:val="003C6D8E"/>
    <w:rsid w:val="003C6E12"/>
    <w:rsid w:val="003C6EDC"/>
    <w:rsid w:val="003C721B"/>
    <w:rsid w:val="003C7476"/>
    <w:rsid w:val="003C74F9"/>
    <w:rsid w:val="003C7505"/>
    <w:rsid w:val="003C76D7"/>
    <w:rsid w:val="003C77EF"/>
    <w:rsid w:val="003C7E43"/>
    <w:rsid w:val="003D04A1"/>
    <w:rsid w:val="003D04CF"/>
    <w:rsid w:val="003D06D0"/>
    <w:rsid w:val="003D08F0"/>
    <w:rsid w:val="003D09CA"/>
    <w:rsid w:val="003D0ECA"/>
    <w:rsid w:val="003D10E7"/>
    <w:rsid w:val="003D1859"/>
    <w:rsid w:val="003D1A19"/>
    <w:rsid w:val="003D1C58"/>
    <w:rsid w:val="003D2178"/>
    <w:rsid w:val="003D2D98"/>
    <w:rsid w:val="003D32C3"/>
    <w:rsid w:val="003D3BCB"/>
    <w:rsid w:val="003D3C17"/>
    <w:rsid w:val="003D3DA3"/>
    <w:rsid w:val="003D3F78"/>
    <w:rsid w:val="003D41FE"/>
    <w:rsid w:val="003D4218"/>
    <w:rsid w:val="003D441C"/>
    <w:rsid w:val="003D4546"/>
    <w:rsid w:val="003D467D"/>
    <w:rsid w:val="003D4828"/>
    <w:rsid w:val="003D4AAA"/>
    <w:rsid w:val="003D4E2F"/>
    <w:rsid w:val="003D4F71"/>
    <w:rsid w:val="003D502B"/>
    <w:rsid w:val="003D539B"/>
    <w:rsid w:val="003D55BA"/>
    <w:rsid w:val="003D569A"/>
    <w:rsid w:val="003D580A"/>
    <w:rsid w:val="003D590D"/>
    <w:rsid w:val="003D5AE2"/>
    <w:rsid w:val="003D5C6A"/>
    <w:rsid w:val="003D61F7"/>
    <w:rsid w:val="003D63BC"/>
    <w:rsid w:val="003D6436"/>
    <w:rsid w:val="003D64CB"/>
    <w:rsid w:val="003D6569"/>
    <w:rsid w:val="003D6B94"/>
    <w:rsid w:val="003D6BE2"/>
    <w:rsid w:val="003D6E3E"/>
    <w:rsid w:val="003D6F23"/>
    <w:rsid w:val="003D6F57"/>
    <w:rsid w:val="003D6FBD"/>
    <w:rsid w:val="003D7181"/>
    <w:rsid w:val="003D71BF"/>
    <w:rsid w:val="003D71D5"/>
    <w:rsid w:val="003D7617"/>
    <w:rsid w:val="003D7770"/>
    <w:rsid w:val="003D77B2"/>
    <w:rsid w:val="003D7AFF"/>
    <w:rsid w:val="003E00E4"/>
    <w:rsid w:val="003E01B1"/>
    <w:rsid w:val="003E048C"/>
    <w:rsid w:val="003E070E"/>
    <w:rsid w:val="003E0ED6"/>
    <w:rsid w:val="003E104C"/>
    <w:rsid w:val="003E10AB"/>
    <w:rsid w:val="003E1223"/>
    <w:rsid w:val="003E1748"/>
    <w:rsid w:val="003E17AC"/>
    <w:rsid w:val="003E1902"/>
    <w:rsid w:val="003E1ACD"/>
    <w:rsid w:val="003E2063"/>
    <w:rsid w:val="003E2B34"/>
    <w:rsid w:val="003E2B62"/>
    <w:rsid w:val="003E2DB6"/>
    <w:rsid w:val="003E352F"/>
    <w:rsid w:val="003E3F64"/>
    <w:rsid w:val="003E421F"/>
    <w:rsid w:val="003E42C1"/>
    <w:rsid w:val="003E43CB"/>
    <w:rsid w:val="003E49AE"/>
    <w:rsid w:val="003E4EBA"/>
    <w:rsid w:val="003E5404"/>
    <w:rsid w:val="003E5470"/>
    <w:rsid w:val="003E59B2"/>
    <w:rsid w:val="003E5CBC"/>
    <w:rsid w:val="003E5D7F"/>
    <w:rsid w:val="003E5DF6"/>
    <w:rsid w:val="003E5FBE"/>
    <w:rsid w:val="003E64FB"/>
    <w:rsid w:val="003E651E"/>
    <w:rsid w:val="003E6710"/>
    <w:rsid w:val="003E6749"/>
    <w:rsid w:val="003E6C5B"/>
    <w:rsid w:val="003E6CFE"/>
    <w:rsid w:val="003E7256"/>
    <w:rsid w:val="003E7F44"/>
    <w:rsid w:val="003E7FCF"/>
    <w:rsid w:val="003F08C1"/>
    <w:rsid w:val="003F08F5"/>
    <w:rsid w:val="003F0D25"/>
    <w:rsid w:val="003F0E9B"/>
    <w:rsid w:val="003F0ED5"/>
    <w:rsid w:val="003F1125"/>
    <w:rsid w:val="003F1226"/>
    <w:rsid w:val="003F175B"/>
    <w:rsid w:val="003F1907"/>
    <w:rsid w:val="003F2253"/>
    <w:rsid w:val="003F3567"/>
    <w:rsid w:val="003F3D04"/>
    <w:rsid w:val="003F3D94"/>
    <w:rsid w:val="003F3DA8"/>
    <w:rsid w:val="003F3F38"/>
    <w:rsid w:val="003F3F63"/>
    <w:rsid w:val="003F40A6"/>
    <w:rsid w:val="003F429D"/>
    <w:rsid w:val="003F4930"/>
    <w:rsid w:val="003F4C47"/>
    <w:rsid w:val="003F4F4E"/>
    <w:rsid w:val="003F4FB8"/>
    <w:rsid w:val="003F4FF0"/>
    <w:rsid w:val="003F5120"/>
    <w:rsid w:val="003F571A"/>
    <w:rsid w:val="003F5D58"/>
    <w:rsid w:val="003F624B"/>
    <w:rsid w:val="003F62F3"/>
    <w:rsid w:val="003F6C58"/>
    <w:rsid w:val="003F6C84"/>
    <w:rsid w:val="003F6E39"/>
    <w:rsid w:val="003F719A"/>
    <w:rsid w:val="003F7452"/>
    <w:rsid w:val="003F76C1"/>
    <w:rsid w:val="003F7C69"/>
    <w:rsid w:val="003F7E59"/>
    <w:rsid w:val="003F7E99"/>
    <w:rsid w:val="003F7FC6"/>
    <w:rsid w:val="0040015C"/>
    <w:rsid w:val="004002CC"/>
    <w:rsid w:val="004004C4"/>
    <w:rsid w:val="0040061A"/>
    <w:rsid w:val="00400700"/>
    <w:rsid w:val="00400A77"/>
    <w:rsid w:val="004010BC"/>
    <w:rsid w:val="004013A5"/>
    <w:rsid w:val="0040179C"/>
    <w:rsid w:val="00401819"/>
    <w:rsid w:val="00401CF9"/>
    <w:rsid w:val="00401F15"/>
    <w:rsid w:val="00402342"/>
    <w:rsid w:val="00402364"/>
    <w:rsid w:val="00402535"/>
    <w:rsid w:val="00402657"/>
    <w:rsid w:val="00402798"/>
    <w:rsid w:val="004028A2"/>
    <w:rsid w:val="0040290C"/>
    <w:rsid w:val="00402BEA"/>
    <w:rsid w:val="00402FE8"/>
    <w:rsid w:val="004030B4"/>
    <w:rsid w:val="0040346D"/>
    <w:rsid w:val="00403499"/>
    <w:rsid w:val="004037E2"/>
    <w:rsid w:val="0040388D"/>
    <w:rsid w:val="00403970"/>
    <w:rsid w:val="004039C9"/>
    <w:rsid w:val="00403AB1"/>
    <w:rsid w:val="00404273"/>
    <w:rsid w:val="004042EF"/>
    <w:rsid w:val="00404C8D"/>
    <w:rsid w:val="00405029"/>
    <w:rsid w:val="00405617"/>
    <w:rsid w:val="00405641"/>
    <w:rsid w:val="004056E6"/>
    <w:rsid w:val="0040574F"/>
    <w:rsid w:val="0040577B"/>
    <w:rsid w:val="00405850"/>
    <w:rsid w:val="00405AA5"/>
    <w:rsid w:val="00405D27"/>
    <w:rsid w:val="00405E94"/>
    <w:rsid w:val="00406074"/>
    <w:rsid w:val="004060CB"/>
    <w:rsid w:val="0040621D"/>
    <w:rsid w:val="004066A6"/>
    <w:rsid w:val="004067F7"/>
    <w:rsid w:val="004068EA"/>
    <w:rsid w:val="00406E4E"/>
    <w:rsid w:val="0040734A"/>
    <w:rsid w:val="00407530"/>
    <w:rsid w:val="00407C40"/>
    <w:rsid w:val="00407D5B"/>
    <w:rsid w:val="00407FB7"/>
    <w:rsid w:val="00410903"/>
    <w:rsid w:val="00410BA8"/>
    <w:rsid w:val="0041107E"/>
    <w:rsid w:val="0041128D"/>
    <w:rsid w:val="0041187A"/>
    <w:rsid w:val="00411B1C"/>
    <w:rsid w:val="00411F9F"/>
    <w:rsid w:val="00412143"/>
    <w:rsid w:val="0041271B"/>
    <w:rsid w:val="004129BC"/>
    <w:rsid w:val="00412D7D"/>
    <w:rsid w:val="00413046"/>
    <w:rsid w:val="004133BA"/>
    <w:rsid w:val="00413791"/>
    <w:rsid w:val="00413843"/>
    <w:rsid w:val="00413E75"/>
    <w:rsid w:val="0041408F"/>
    <w:rsid w:val="004140F3"/>
    <w:rsid w:val="0041412F"/>
    <w:rsid w:val="004141FE"/>
    <w:rsid w:val="00414424"/>
    <w:rsid w:val="0041490A"/>
    <w:rsid w:val="00414C92"/>
    <w:rsid w:val="00414CAC"/>
    <w:rsid w:val="00415263"/>
    <w:rsid w:val="004152D0"/>
    <w:rsid w:val="0041534B"/>
    <w:rsid w:val="0041565A"/>
    <w:rsid w:val="00415D2D"/>
    <w:rsid w:val="00415EEF"/>
    <w:rsid w:val="004164EA"/>
    <w:rsid w:val="00416B73"/>
    <w:rsid w:val="00416BF2"/>
    <w:rsid w:val="0041701A"/>
    <w:rsid w:val="00417B1C"/>
    <w:rsid w:val="00417B87"/>
    <w:rsid w:val="0042042B"/>
    <w:rsid w:val="004204FD"/>
    <w:rsid w:val="00420600"/>
    <w:rsid w:val="004208BA"/>
    <w:rsid w:val="00420F9A"/>
    <w:rsid w:val="00420FC9"/>
    <w:rsid w:val="004211A0"/>
    <w:rsid w:val="004217C0"/>
    <w:rsid w:val="00421A98"/>
    <w:rsid w:val="00421C81"/>
    <w:rsid w:val="0042204B"/>
    <w:rsid w:val="004220AC"/>
    <w:rsid w:val="0042213C"/>
    <w:rsid w:val="00422579"/>
    <w:rsid w:val="00422717"/>
    <w:rsid w:val="00422AA4"/>
    <w:rsid w:val="00422B49"/>
    <w:rsid w:val="00422CCA"/>
    <w:rsid w:val="00423287"/>
    <w:rsid w:val="0042329B"/>
    <w:rsid w:val="004234D4"/>
    <w:rsid w:val="004237CA"/>
    <w:rsid w:val="00423FB6"/>
    <w:rsid w:val="0042400E"/>
    <w:rsid w:val="0042458E"/>
    <w:rsid w:val="0042484F"/>
    <w:rsid w:val="004250CD"/>
    <w:rsid w:val="00425544"/>
    <w:rsid w:val="00425597"/>
    <w:rsid w:val="004255B5"/>
    <w:rsid w:val="004258E8"/>
    <w:rsid w:val="00425AFC"/>
    <w:rsid w:val="00425BD3"/>
    <w:rsid w:val="00425C28"/>
    <w:rsid w:val="004262C4"/>
    <w:rsid w:val="0042656D"/>
    <w:rsid w:val="00426793"/>
    <w:rsid w:val="00426A97"/>
    <w:rsid w:val="00426CF4"/>
    <w:rsid w:val="00426EE2"/>
    <w:rsid w:val="004271E4"/>
    <w:rsid w:val="004272A2"/>
    <w:rsid w:val="00427439"/>
    <w:rsid w:val="004276E0"/>
    <w:rsid w:val="0042781F"/>
    <w:rsid w:val="00427967"/>
    <w:rsid w:val="004279CB"/>
    <w:rsid w:val="00427F45"/>
    <w:rsid w:val="004300DD"/>
    <w:rsid w:val="0043024E"/>
    <w:rsid w:val="004302CE"/>
    <w:rsid w:val="0043094C"/>
    <w:rsid w:val="00430950"/>
    <w:rsid w:val="00430A5D"/>
    <w:rsid w:val="00431021"/>
    <w:rsid w:val="0043128D"/>
    <w:rsid w:val="00431296"/>
    <w:rsid w:val="00431331"/>
    <w:rsid w:val="0043167B"/>
    <w:rsid w:val="004316E3"/>
    <w:rsid w:val="00431978"/>
    <w:rsid w:val="00431A7E"/>
    <w:rsid w:val="00431BE5"/>
    <w:rsid w:val="00432C27"/>
    <w:rsid w:val="00432C64"/>
    <w:rsid w:val="00432D1D"/>
    <w:rsid w:val="0043362D"/>
    <w:rsid w:val="0043366C"/>
    <w:rsid w:val="004338EE"/>
    <w:rsid w:val="00433968"/>
    <w:rsid w:val="00433B2D"/>
    <w:rsid w:val="00433EC9"/>
    <w:rsid w:val="00434CA9"/>
    <w:rsid w:val="004354BC"/>
    <w:rsid w:val="004355BA"/>
    <w:rsid w:val="004359B4"/>
    <w:rsid w:val="004365E1"/>
    <w:rsid w:val="00436665"/>
    <w:rsid w:val="004369CA"/>
    <w:rsid w:val="00436A80"/>
    <w:rsid w:val="00436CA4"/>
    <w:rsid w:val="00436F4C"/>
    <w:rsid w:val="004371E3"/>
    <w:rsid w:val="00437207"/>
    <w:rsid w:val="004374D5"/>
    <w:rsid w:val="00437A53"/>
    <w:rsid w:val="00437C1C"/>
    <w:rsid w:val="00437CE3"/>
    <w:rsid w:val="0044002B"/>
    <w:rsid w:val="004402B8"/>
    <w:rsid w:val="00440437"/>
    <w:rsid w:val="00440488"/>
    <w:rsid w:val="00440672"/>
    <w:rsid w:val="0044075D"/>
    <w:rsid w:val="0044194D"/>
    <w:rsid w:val="00441BD6"/>
    <w:rsid w:val="00441E5E"/>
    <w:rsid w:val="004424E9"/>
    <w:rsid w:val="00442574"/>
    <w:rsid w:val="00442577"/>
    <w:rsid w:val="0044269C"/>
    <w:rsid w:val="004427BC"/>
    <w:rsid w:val="00442AAB"/>
    <w:rsid w:val="004431CA"/>
    <w:rsid w:val="0044331D"/>
    <w:rsid w:val="004434F0"/>
    <w:rsid w:val="00443516"/>
    <w:rsid w:val="004437E2"/>
    <w:rsid w:val="004438F4"/>
    <w:rsid w:val="0044391E"/>
    <w:rsid w:val="0044394B"/>
    <w:rsid w:val="00443BE7"/>
    <w:rsid w:val="00443F4F"/>
    <w:rsid w:val="00444129"/>
    <w:rsid w:val="0044457D"/>
    <w:rsid w:val="004445DF"/>
    <w:rsid w:val="00444EA3"/>
    <w:rsid w:val="00445115"/>
    <w:rsid w:val="00445710"/>
    <w:rsid w:val="004457DB"/>
    <w:rsid w:val="004459E3"/>
    <w:rsid w:val="00445F13"/>
    <w:rsid w:val="0044614A"/>
    <w:rsid w:val="00446813"/>
    <w:rsid w:val="00446AB8"/>
    <w:rsid w:val="004470B3"/>
    <w:rsid w:val="00447A47"/>
    <w:rsid w:val="00447AB2"/>
    <w:rsid w:val="00447BD2"/>
    <w:rsid w:val="00450736"/>
    <w:rsid w:val="00450AA3"/>
    <w:rsid w:val="00450AD8"/>
    <w:rsid w:val="00450C86"/>
    <w:rsid w:val="00450F75"/>
    <w:rsid w:val="00451038"/>
    <w:rsid w:val="004510F4"/>
    <w:rsid w:val="00451254"/>
    <w:rsid w:val="00451296"/>
    <w:rsid w:val="004516A5"/>
    <w:rsid w:val="0045194E"/>
    <w:rsid w:val="00451BFA"/>
    <w:rsid w:val="00451F8A"/>
    <w:rsid w:val="0045224A"/>
    <w:rsid w:val="00452331"/>
    <w:rsid w:val="00452F74"/>
    <w:rsid w:val="00453B2C"/>
    <w:rsid w:val="00453BB8"/>
    <w:rsid w:val="00453DA7"/>
    <w:rsid w:val="00453E08"/>
    <w:rsid w:val="00453F5F"/>
    <w:rsid w:val="004540E9"/>
    <w:rsid w:val="00454257"/>
    <w:rsid w:val="0045444C"/>
    <w:rsid w:val="00454BFE"/>
    <w:rsid w:val="00454D2E"/>
    <w:rsid w:val="00455598"/>
    <w:rsid w:val="00455ED8"/>
    <w:rsid w:val="00456015"/>
    <w:rsid w:val="00456135"/>
    <w:rsid w:val="00456202"/>
    <w:rsid w:val="0045664F"/>
    <w:rsid w:val="00456950"/>
    <w:rsid w:val="00456A45"/>
    <w:rsid w:val="00456AD6"/>
    <w:rsid w:val="00456C95"/>
    <w:rsid w:val="00457085"/>
    <w:rsid w:val="00457206"/>
    <w:rsid w:val="00457260"/>
    <w:rsid w:val="004575AB"/>
    <w:rsid w:val="0045764D"/>
    <w:rsid w:val="00457851"/>
    <w:rsid w:val="004578C8"/>
    <w:rsid w:val="004579E6"/>
    <w:rsid w:val="00457A12"/>
    <w:rsid w:val="00457DE8"/>
    <w:rsid w:val="00457E7F"/>
    <w:rsid w:val="00457FB4"/>
    <w:rsid w:val="00460130"/>
    <w:rsid w:val="004603B5"/>
    <w:rsid w:val="004605EB"/>
    <w:rsid w:val="004607D9"/>
    <w:rsid w:val="00460B35"/>
    <w:rsid w:val="00460E71"/>
    <w:rsid w:val="00460E7F"/>
    <w:rsid w:val="00461627"/>
    <w:rsid w:val="00461666"/>
    <w:rsid w:val="004618A9"/>
    <w:rsid w:val="00461AF6"/>
    <w:rsid w:val="00461F8A"/>
    <w:rsid w:val="0046206F"/>
    <w:rsid w:val="004620DC"/>
    <w:rsid w:val="00462154"/>
    <w:rsid w:val="0046222A"/>
    <w:rsid w:val="004623BF"/>
    <w:rsid w:val="00462603"/>
    <w:rsid w:val="00462809"/>
    <w:rsid w:val="0046286A"/>
    <w:rsid w:val="0046294F"/>
    <w:rsid w:val="00462E26"/>
    <w:rsid w:val="0046355A"/>
    <w:rsid w:val="004636CA"/>
    <w:rsid w:val="00463B0E"/>
    <w:rsid w:val="00463B46"/>
    <w:rsid w:val="00464039"/>
    <w:rsid w:val="004640AF"/>
    <w:rsid w:val="0046432B"/>
    <w:rsid w:val="00464961"/>
    <w:rsid w:val="00464E1C"/>
    <w:rsid w:val="0046532E"/>
    <w:rsid w:val="00465393"/>
    <w:rsid w:val="00465661"/>
    <w:rsid w:val="004656B0"/>
    <w:rsid w:val="00465D1D"/>
    <w:rsid w:val="00465E38"/>
    <w:rsid w:val="00465F45"/>
    <w:rsid w:val="004660F1"/>
    <w:rsid w:val="0046640C"/>
    <w:rsid w:val="004664FB"/>
    <w:rsid w:val="00466602"/>
    <w:rsid w:val="00466725"/>
    <w:rsid w:val="004667C4"/>
    <w:rsid w:val="00466822"/>
    <w:rsid w:val="00466BF7"/>
    <w:rsid w:val="00466C77"/>
    <w:rsid w:val="0046702E"/>
    <w:rsid w:val="004677FD"/>
    <w:rsid w:val="00467B16"/>
    <w:rsid w:val="00467B3C"/>
    <w:rsid w:val="00467B8F"/>
    <w:rsid w:val="00467BE0"/>
    <w:rsid w:val="00467D67"/>
    <w:rsid w:val="00467E22"/>
    <w:rsid w:val="00467E90"/>
    <w:rsid w:val="0047011D"/>
    <w:rsid w:val="00470215"/>
    <w:rsid w:val="00470548"/>
    <w:rsid w:val="00470788"/>
    <w:rsid w:val="00470893"/>
    <w:rsid w:val="00470BB4"/>
    <w:rsid w:val="00470C08"/>
    <w:rsid w:val="00470CF0"/>
    <w:rsid w:val="00470E83"/>
    <w:rsid w:val="00471016"/>
    <w:rsid w:val="0047101C"/>
    <w:rsid w:val="00471300"/>
    <w:rsid w:val="00471397"/>
    <w:rsid w:val="004714CF"/>
    <w:rsid w:val="004714E6"/>
    <w:rsid w:val="004715A8"/>
    <w:rsid w:val="004715B8"/>
    <w:rsid w:val="004716F2"/>
    <w:rsid w:val="00471792"/>
    <w:rsid w:val="00471C90"/>
    <w:rsid w:val="00471DBF"/>
    <w:rsid w:val="00472099"/>
    <w:rsid w:val="004726BD"/>
    <w:rsid w:val="004729BA"/>
    <w:rsid w:val="00472E62"/>
    <w:rsid w:val="00473253"/>
    <w:rsid w:val="00473AEA"/>
    <w:rsid w:val="00473B0F"/>
    <w:rsid w:val="00473EB8"/>
    <w:rsid w:val="00474427"/>
    <w:rsid w:val="00474BA7"/>
    <w:rsid w:val="00474BA8"/>
    <w:rsid w:val="004756B8"/>
    <w:rsid w:val="0047580A"/>
    <w:rsid w:val="004758DB"/>
    <w:rsid w:val="00475B20"/>
    <w:rsid w:val="00475B89"/>
    <w:rsid w:val="00475C0E"/>
    <w:rsid w:val="00475EB8"/>
    <w:rsid w:val="00476573"/>
    <w:rsid w:val="0047674F"/>
    <w:rsid w:val="0047704D"/>
    <w:rsid w:val="00477067"/>
    <w:rsid w:val="00477348"/>
    <w:rsid w:val="00477627"/>
    <w:rsid w:val="00477E9B"/>
    <w:rsid w:val="00480041"/>
    <w:rsid w:val="0048009B"/>
    <w:rsid w:val="0048013E"/>
    <w:rsid w:val="0048019B"/>
    <w:rsid w:val="00480239"/>
    <w:rsid w:val="004803FF"/>
    <w:rsid w:val="004807D2"/>
    <w:rsid w:val="004813E6"/>
    <w:rsid w:val="004817B0"/>
    <w:rsid w:val="004817BF"/>
    <w:rsid w:val="00481BD4"/>
    <w:rsid w:val="00481EFB"/>
    <w:rsid w:val="00482420"/>
    <w:rsid w:val="00482468"/>
    <w:rsid w:val="004826F7"/>
    <w:rsid w:val="00482810"/>
    <w:rsid w:val="0048291D"/>
    <w:rsid w:val="004829CA"/>
    <w:rsid w:val="00482B9E"/>
    <w:rsid w:val="00482D79"/>
    <w:rsid w:val="00482DD4"/>
    <w:rsid w:val="00482F64"/>
    <w:rsid w:val="004831CD"/>
    <w:rsid w:val="0048353C"/>
    <w:rsid w:val="004839BE"/>
    <w:rsid w:val="00483C05"/>
    <w:rsid w:val="00483F5A"/>
    <w:rsid w:val="00483FD8"/>
    <w:rsid w:val="0048415F"/>
    <w:rsid w:val="004842F3"/>
    <w:rsid w:val="004845E4"/>
    <w:rsid w:val="004848D1"/>
    <w:rsid w:val="00484DB6"/>
    <w:rsid w:val="0048501B"/>
    <w:rsid w:val="00485299"/>
    <w:rsid w:val="00485835"/>
    <w:rsid w:val="00485C10"/>
    <w:rsid w:val="00485C31"/>
    <w:rsid w:val="00485CD5"/>
    <w:rsid w:val="00485D15"/>
    <w:rsid w:val="0048639B"/>
    <w:rsid w:val="004865FF"/>
    <w:rsid w:val="00486631"/>
    <w:rsid w:val="0048668B"/>
    <w:rsid w:val="00486E76"/>
    <w:rsid w:val="0048701D"/>
    <w:rsid w:val="00487345"/>
    <w:rsid w:val="00487380"/>
    <w:rsid w:val="00487490"/>
    <w:rsid w:val="004878D6"/>
    <w:rsid w:val="00487965"/>
    <w:rsid w:val="004879C5"/>
    <w:rsid w:val="00487BC6"/>
    <w:rsid w:val="00487F3A"/>
    <w:rsid w:val="00490391"/>
    <w:rsid w:val="004906D8"/>
    <w:rsid w:val="004909BE"/>
    <w:rsid w:val="004917F4"/>
    <w:rsid w:val="004918E3"/>
    <w:rsid w:val="0049195B"/>
    <w:rsid w:val="00491974"/>
    <w:rsid w:val="00491A2A"/>
    <w:rsid w:val="00491C28"/>
    <w:rsid w:val="00492328"/>
    <w:rsid w:val="00492568"/>
    <w:rsid w:val="00492652"/>
    <w:rsid w:val="00492C03"/>
    <w:rsid w:val="00492D90"/>
    <w:rsid w:val="00492DCA"/>
    <w:rsid w:val="00493166"/>
    <w:rsid w:val="00493686"/>
    <w:rsid w:val="00493939"/>
    <w:rsid w:val="00493959"/>
    <w:rsid w:val="004939F1"/>
    <w:rsid w:val="00493A83"/>
    <w:rsid w:val="00493F27"/>
    <w:rsid w:val="00493F7F"/>
    <w:rsid w:val="0049423E"/>
    <w:rsid w:val="00494284"/>
    <w:rsid w:val="004944E4"/>
    <w:rsid w:val="0049450D"/>
    <w:rsid w:val="004947D9"/>
    <w:rsid w:val="00494E9B"/>
    <w:rsid w:val="00495100"/>
    <w:rsid w:val="004952E3"/>
    <w:rsid w:val="00495304"/>
    <w:rsid w:val="004955A0"/>
    <w:rsid w:val="004958FF"/>
    <w:rsid w:val="00495998"/>
    <w:rsid w:val="00495D59"/>
    <w:rsid w:val="00495FB3"/>
    <w:rsid w:val="0049628E"/>
    <w:rsid w:val="004964C8"/>
    <w:rsid w:val="00496D03"/>
    <w:rsid w:val="00496D48"/>
    <w:rsid w:val="00496EC2"/>
    <w:rsid w:val="00497227"/>
    <w:rsid w:val="004972D3"/>
    <w:rsid w:val="004979E8"/>
    <w:rsid w:val="00497B8E"/>
    <w:rsid w:val="00497C91"/>
    <w:rsid w:val="00497D92"/>
    <w:rsid w:val="00497F57"/>
    <w:rsid w:val="004A00A8"/>
    <w:rsid w:val="004A02E3"/>
    <w:rsid w:val="004A034F"/>
    <w:rsid w:val="004A042E"/>
    <w:rsid w:val="004A0440"/>
    <w:rsid w:val="004A0716"/>
    <w:rsid w:val="004A0957"/>
    <w:rsid w:val="004A0BFE"/>
    <w:rsid w:val="004A0CCD"/>
    <w:rsid w:val="004A0E01"/>
    <w:rsid w:val="004A1149"/>
    <w:rsid w:val="004A1242"/>
    <w:rsid w:val="004A12D1"/>
    <w:rsid w:val="004A19B9"/>
    <w:rsid w:val="004A1B85"/>
    <w:rsid w:val="004A1E74"/>
    <w:rsid w:val="004A2404"/>
    <w:rsid w:val="004A278C"/>
    <w:rsid w:val="004A28F4"/>
    <w:rsid w:val="004A2B35"/>
    <w:rsid w:val="004A39DC"/>
    <w:rsid w:val="004A3DB0"/>
    <w:rsid w:val="004A420E"/>
    <w:rsid w:val="004A4633"/>
    <w:rsid w:val="004A4AC8"/>
    <w:rsid w:val="004A4B20"/>
    <w:rsid w:val="004A4BEE"/>
    <w:rsid w:val="004A4E50"/>
    <w:rsid w:val="004A4F75"/>
    <w:rsid w:val="004A5710"/>
    <w:rsid w:val="004A5715"/>
    <w:rsid w:val="004A5D7B"/>
    <w:rsid w:val="004A66DF"/>
    <w:rsid w:val="004A690F"/>
    <w:rsid w:val="004A6C84"/>
    <w:rsid w:val="004A6FCF"/>
    <w:rsid w:val="004A72BC"/>
    <w:rsid w:val="004A7486"/>
    <w:rsid w:val="004A784A"/>
    <w:rsid w:val="004A79D9"/>
    <w:rsid w:val="004A7A40"/>
    <w:rsid w:val="004A7D98"/>
    <w:rsid w:val="004B0BE6"/>
    <w:rsid w:val="004B0F2F"/>
    <w:rsid w:val="004B100C"/>
    <w:rsid w:val="004B12FB"/>
    <w:rsid w:val="004B145F"/>
    <w:rsid w:val="004B18E4"/>
    <w:rsid w:val="004B1A3E"/>
    <w:rsid w:val="004B1EDF"/>
    <w:rsid w:val="004B2265"/>
    <w:rsid w:val="004B237D"/>
    <w:rsid w:val="004B24F2"/>
    <w:rsid w:val="004B2599"/>
    <w:rsid w:val="004B2762"/>
    <w:rsid w:val="004B28F1"/>
    <w:rsid w:val="004B2A5C"/>
    <w:rsid w:val="004B2AF7"/>
    <w:rsid w:val="004B2BEC"/>
    <w:rsid w:val="004B2DB8"/>
    <w:rsid w:val="004B2DCD"/>
    <w:rsid w:val="004B2ECD"/>
    <w:rsid w:val="004B2F31"/>
    <w:rsid w:val="004B31EA"/>
    <w:rsid w:val="004B322C"/>
    <w:rsid w:val="004B345D"/>
    <w:rsid w:val="004B3688"/>
    <w:rsid w:val="004B3782"/>
    <w:rsid w:val="004B4632"/>
    <w:rsid w:val="004B4B82"/>
    <w:rsid w:val="004B5126"/>
    <w:rsid w:val="004B530F"/>
    <w:rsid w:val="004B5839"/>
    <w:rsid w:val="004B5880"/>
    <w:rsid w:val="004B5A7A"/>
    <w:rsid w:val="004B5A94"/>
    <w:rsid w:val="004B5B98"/>
    <w:rsid w:val="004B5DAC"/>
    <w:rsid w:val="004B5DE4"/>
    <w:rsid w:val="004B5E44"/>
    <w:rsid w:val="004B6006"/>
    <w:rsid w:val="004B6296"/>
    <w:rsid w:val="004B62CA"/>
    <w:rsid w:val="004B65F1"/>
    <w:rsid w:val="004B6E5F"/>
    <w:rsid w:val="004B6F71"/>
    <w:rsid w:val="004B7022"/>
    <w:rsid w:val="004B719D"/>
    <w:rsid w:val="004B71CC"/>
    <w:rsid w:val="004B78EF"/>
    <w:rsid w:val="004B7912"/>
    <w:rsid w:val="004B7B27"/>
    <w:rsid w:val="004B7B60"/>
    <w:rsid w:val="004B7F50"/>
    <w:rsid w:val="004C0264"/>
    <w:rsid w:val="004C0790"/>
    <w:rsid w:val="004C095B"/>
    <w:rsid w:val="004C0AE8"/>
    <w:rsid w:val="004C0AFD"/>
    <w:rsid w:val="004C0C74"/>
    <w:rsid w:val="004C0E4F"/>
    <w:rsid w:val="004C0E7D"/>
    <w:rsid w:val="004C0EDE"/>
    <w:rsid w:val="004C118B"/>
    <w:rsid w:val="004C11D6"/>
    <w:rsid w:val="004C171C"/>
    <w:rsid w:val="004C1A41"/>
    <w:rsid w:val="004C1BB1"/>
    <w:rsid w:val="004C1F97"/>
    <w:rsid w:val="004C20C5"/>
    <w:rsid w:val="004C234D"/>
    <w:rsid w:val="004C25C7"/>
    <w:rsid w:val="004C276F"/>
    <w:rsid w:val="004C2844"/>
    <w:rsid w:val="004C2E53"/>
    <w:rsid w:val="004C3184"/>
    <w:rsid w:val="004C34AC"/>
    <w:rsid w:val="004C386C"/>
    <w:rsid w:val="004C3A60"/>
    <w:rsid w:val="004C3B0C"/>
    <w:rsid w:val="004C3B76"/>
    <w:rsid w:val="004C3B8A"/>
    <w:rsid w:val="004C3BB7"/>
    <w:rsid w:val="004C40B1"/>
    <w:rsid w:val="004C43ED"/>
    <w:rsid w:val="004C4527"/>
    <w:rsid w:val="004C45F0"/>
    <w:rsid w:val="004C4A01"/>
    <w:rsid w:val="004C4D02"/>
    <w:rsid w:val="004C51CD"/>
    <w:rsid w:val="004C522F"/>
    <w:rsid w:val="004C5A58"/>
    <w:rsid w:val="004C5A8D"/>
    <w:rsid w:val="004C5C2D"/>
    <w:rsid w:val="004C5C6E"/>
    <w:rsid w:val="004C6C36"/>
    <w:rsid w:val="004C6D69"/>
    <w:rsid w:val="004C6FE5"/>
    <w:rsid w:val="004C715B"/>
    <w:rsid w:val="004C71BB"/>
    <w:rsid w:val="004C74A6"/>
    <w:rsid w:val="004C76EF"/>
    <w:rsid w:val="004C7CEA"/>
    <w:rsid w:val="004C7D0B"/>
    <w:rsid w:val="004C7D92"/>
    <w:rsid w:val="004C7DFF"/>
    <w:rsid w:val="004C7EDC"/>
    <w:rsid w:val="004D04FC"/>
    <w:rsid w:val="004D0807"/>
    <w:rsid w:val="004D0953"/>
    <w:rsid w:val="004D0C23"/>
    <w:rsid w:val="004D0D23"/>
    <w:rsid w:val="004D1360"/>
    <w:rsid w:val="004D1386"/>
    <w:rsid w:val="004D1D28"/>
    <w:rsid w:val="004D21AF"/>
    <w:rsid w:val="004D22D2"/>
    <w:rsid w:val="004D2368"/>
    <w:rsid w:val="004D2615"/>
    <w:rsid w:val="004D283A"/>
    <w:rsid w:val="004D2997"/>
    <w:rsid w:val="004D2BA4"/>
    <w:rsid w:val="004D2CC5"/>
    <w:rsid w:val="004D3317"/>
    <w:rsid w:val="004D36F2"/>
    <w:rsid w:val="004D39EF"/>
    <w:rsid w:val="004D3BBF"/>
    <w:rsid w:val="004D3F79"/>
    <w:rsid w:val="004D4041"/>
    <w:rsid w:val="004D4099"/>
    <w:rsid w:val="004D40E2"/>
    <w:rsid w:val="004D413C"/>
    <w:rsid w:val="004D4234"/>
    <w:rsid w:val="004D4511"/>
    <w:rsid w:val="004D5324"/>
    <w:rsid w:val="004D53D3"/>
    <w:rsid w:val="004D54AB"/>
    <w:rsid w:val="004D56E1"/>
    <w:rsid w:val="004D57F5"/>
    <w:rsid w:val="004D5A88"/>
    <w:rsid w:val="004D5B21"/>
    <w:rsid w:val="004D61F8"/>
    <w:rsid w:val="004D6792"/>
    <w:rsid w:val="004D697E"/>
    <w:rsid w:val="004D6B1F"/>
    <w:rsid w:val="004D6BA1"/>
    <w:rsid w:val="004D6C55"/>
    <w:rsid w:val="004D6D70"/>
    <w:rsid w:val="004D6F22"/>
    <w:rsid w:val="004D710B"/>
    <w:rsid w:val="004D75B6"/>
    <w:rsid w:val="004D75EF"/>
    <w:rsid w:val="004D7696"/>
    <w:rsid w:val="004D7B31"/>
    <w:rsid w:val="004D7B85"/>
    <w:rsid w:val="004D7BD8"/>
    <w:rsid w:val="004E000C"/>
    <w:rsid w:val="004E0962"/>
    <w:rsid w:val="004E0BB1"/>
    <w:rsid w:val="004E0C72"/>
    <w:rsid w:val="004E0E4C"/>
    <w:rsid w:val="004E14D0"/>
    <w:rsid w:val="004E1571"/>
    <w:rsid w:val="004E1D13"/>
    <w:rsid w:val="004E1D27"/>
    <w:rsid w:val="004E1E6F"/>
    <w:rsid w:val="004E205A"/>
    <w:rsid w:val="004E23BC"/>
    <w:rsid w:val="004E2A46"/>
    <w:rsid w:val="004E2AB6"/>
    <w:rsid w:val="004E2AEC"/>
    <w:rsid w:val="004E2B53"/>
    <w:rsid w:val="004E2B60"/>
    <w:rsid w:val="004E2C4B"/>
    <w:rsid w:val="004E321E"/>
    <w:rsid w:val="004E3248"/>
    <w:rsid w:val="004E3311"/>
    <w:rsid w:val="004E3575"/>
    <w:rsid w:val="004E3629"/>
    <w:rsid w:val="004E38D0"/>
    <w:rsid w:val="004E3F84"/>
    <w:rsid w:val="004E4006"/>
    <w:rsid w:val="004E413D"/>
    <w:rsid w:val="004E44BC"/>
    <w:rsid w:val="004E44DD"/>
    <w:rsid w:val="004E455D"/>
    <w:rsid w:val="004E45E9"/>
    <w:rsid w:val="004E49F8"/>
    <w:rsid w:val="004E4A95"/>
    <w:rsid w:val="004E4AB9"/>
    <w:rsid w:val="004E4D3E"/>
    <w:rsid w:val="004E4FAC"/>
    <w:rsid w:val="004E50B2"/>
    <w:rsid w:val="004E58AB"/>
    <w:rsid w:val="004E5A97"/>
    <w:rsid w:val="004E5D4B"/>
    <w:rsid w:val="004E5FFB"/>
    <w:rsid w:val="004E62D7"/>
    <w:rsid w:val="004E68B8"/>
    <w:rsid w:val="004E6C65"/>
    <w:rsid w:val="004E71D2"/>
    <w:rsid w:val="004E73B4"/>
    <w:rsid w:val="004E763A"/>
    <w:rsid w:val="004E7849"/>
    <w:rsid w:val="004E7A09"/>
    <w:rsid w:val="004E7AFD"/>
    <w:rsid w:val="004E7EB8"/>
    <w:rsid w:val="004F0083"/>
    <w:rsid w:val="004F0298"/>
    <w:rsid w:val="004F04EA"/>
    <w:rsid w:val="004F0653"/>
    <w:rsid w:val="004F0B5D"/>
    <w:rsid w:val="004F0C2B"/>
    <w:rsid w:val="004F0D08"/>
    <w:rsid w:val="004F12E5"/>
    <w:rsid w:val="004F12EE"/>
    <w:rsid w:val="004F19E6"/>
    <w:rsid w:val="004F1A51"/>
    <w:rsid w:val="004F1AB5"/>
    <w:rsid w:val="004F1E0B"/>
    <w:rsid w:val="004F1EAA"/>
    <w:rsid w:val="004F2282"/>
    <w:rsid w:val="004F26E2"/>
    <w:rsid w:val="004F2B08"/>
    <w:rsid w:val="004F3329"/>
    <w:rsid w:val="004F33BD"/>
    <w:rsid w:val="004F35A4"/>
    <w:rsid w:val="004F3703"/>
    <w:rsid w:val="004F3FEF"/>
    <w:rsid w:val="004F4183"/>
    <w:rsid w:val="004F4525"/>
    <w:rsid w:val="004F452A"/>
    <w:rsid w:val="004F4B03"/>
    <w:rsid w:val="004F4B5B"/>
    <w:rsid w:val="004F4C29"/>
    <w:rsid w:val="004F4D0A"/>
    <w:rsid w:val="004F4F86"/>
    <w:rsid w:val="004F516D"/>
    <w:rsid w:val="004F5631"/>
    <w:rsid w:val="004F5848"/>
    <w:rsid w:val="004F5A56"/>
    <w:rsid w:val="004F5AFD"/>
    <w:rsid w:val="004F5CAA"/>
    <w:rsid w:val="004F63B8"/>
    <w:rsid w:val="004F6480"/>
    <w:rsid w:val="004F67D7"/>
    <w:rsid w:val="004F6909"/>
    <w:rsid w:val="004F6A98"/>
    <w:rsid w:val="004F6DB0"/>
    <w:rsid w:val="004F6E20"/>
    <w:rsid w:val="004F6F65"/>
    <w:rsid w:val="004F7653"/>
    <w:rsid w:val="004F76A8"/>
    <w:rsid w:val="004F77AC"/>
    <w:rsid w:val="004F7923"/>
    <w:rsid w:val="004F7A80"/>
    <w:rsid w:val="004F7B76"/>
    <w:rsid w:val="004F7DC6"/>
    <w:rsid w:val="004F7E90"/>
    <w:rsid w:val="00500039"/>
    <w:rsid w:val="005001EF"/>
    <w:rsid w:val="0050039A"/>
    <w:rsid w:val="00500652"/>
    <w:rsid w:val="00500D99"/>
    <w:rsid w:val="00500EBB"/>
    <w:rsid w:val="00500F85"/>
    <w:rsid w:val="00501079"/>
    <w:rsid w:val="00501237"/>
    <w:rsid w:val="00501359"/>
    <w:rsid w:val="00501633"/>
    <w:rsid w:val="00501BC2"/>
    <w:rsid w:val="00501BE0"/>
    <w:rsid w:val="00501C6D"/>
    <w:rsid w:val="00501D78"/>
    <w:rsid w:val="00501DB2"/>
    <w:rsid w:val="00501DF7"/>
    <w:rsid w:val="005022E0"/>
    <w:rsid w:val="0050247F"/>
    <w:rsid w:val="00502DE3"/>
    <w:rsid w:val="00502E7C"/>
    <w:rsid w:val="0050335C"/>
    <w:rsid w:val="00503610"/>
    <w:rsid w:val="0050391D"/>
    <w:rsid w:val="005039D7"/>
    <w:rsid w:val="00503B71"/>
    <w:rsid w:val="00503CE5"/>
    <w:rsid w:val="00503E0B"/>
    <w:rsid w:val="00503E15"/>
    <w:rsid w:val="00504246"/>
    <w:rsid w:val="005042E7"/>
    <w:rsid w:val="0050432D"/>
    <w:rsid w:val="005043EE"/>
    <w:rsid w:val="00504436"/>
    <w:rsid w:val="0050469B"/>
    <w:rsid w:val="00504BD7"/>
    <w:rsid w:val="00504F55"/>
    <w:rsid w:val="00504F71"/>
    <w:rsid w:val="00505688"/>
    <w:rsid w:val="00505B90"/>
    <w:rsid w:val="00505BB6"/>
    <w:rsid w:val="00505EA4"/>
    <w:rsid w:val="0050650A"/>
    <w:rsid w:val="005065C3"/>
    <w:rsid w:val="00506774"/>
    <w:rsid w:val="005068D2"/>
    <w:rsid w:val="005069A1"/>
    <w:rsid w:val="00506FF1"/>
    <w:rsid w:val="00507365"/>
    <w:rsid w:val="00507583"/>
    <w:rsid w:val="005100E1"/>
    <w:rsid w:val="0051040B"/>
    <w:rsid w:val="0051045A"/>
    <w:rsid w:val="00510E06"/>
    <w:rsid w:val="00510EEC"/>
    <w:rsid w:val="005110C6"/>
    <w:rsid w:val="005110D2"/>
    <w:rsid w:val="005112DC"/>
    <w:rsid w:val="005113CD"/>
    <w:rsid w:val="00511A01"/>
    <w:rsid w:val="005125F2"/>
    <w:rsid w:val="00512719"/>
    <w:rsid w:val="00512DD0"/>
    <w:rsid w:val="0051318E"/>
    <w:rsid w:val="0051323D"/>
    <w:rsid w:val="00513339"/>
    <w:rsid w:val="00513474"/>
    <w:rsid w:val="00513493"/>
    <w:rsid w:val="0051358F"/>
    <w:rsid w:val="00513791"/>
    <w:rsid w:val="00513AFC"/>
    <w:rsid w:val="00513E41"/>
    <w:rsid w:val="00513E70"/>
    <w:rsid w:val="005141E9"/>
    <w:rsid w:val="00514298"/>
    <w:rsid w:val="00514428"/>
    <w:rsid w:val="0051468D"/>
    <w:rsid w:val="0051470F"/>
    <w:rsid w:val="00514810"/>
    <w:rsid w:val="00514C19"/>
    <w:rsid w:val="00514CAC"/>
    <w:rsid w:val="00514E12"/>
    <w:rsid w:val="005151EB"/>
    <w:rsid w:val="00515879"/>
    <w:rsid w:val="005158ED"/>
    <w:rsid w:val="00515973"/>
    <w:rsid w:val="00515D89"/>
    <w:rsid w:val="00515F0D"/>
    <w:rsid w:val="005160EA"/>
    <w:rsid w:val="005163AA"/>
    <w:rsid w:val="00516499"/>
    <w:rsid w:val="00517150"/>
    <w:rsid w:val="00517A7D"/>
    <w:rsid w:val="00517EDD"/>
    <w:rsid w:val="005204E6"/>
    <w:rsid w:val="00520DFF"/>
    <w:rsid w:val="0052161D"/>
    <w:rsid w:val="00521A29"/>
    <w:rsid w:val="00521E91"/>
    <w:rsid w:val="0052219C"/>
    <w:rsid w:val="0052231C"/>
    <w:rsid w:val="00522454"/>
    <w:rsid w:val="00522562"/>
    <w:rsid w:val="0052259B"/>
    <w:rsid w:val="00522677"/>
    <w:rsid w:val="00523083"/>
    <w:rsid w:val="005232FB"/>
    <w:rsid w:val="0052391C"/>
    <w:rsid w:val="00523BAE"/>
    <w:rsid w:val="00523CE6"/>
    <w:rsid w:val="00523F55"/>
    <w:rsid w:val="00524C8D"/>
    <w:rsid w:val="00524D62"/>
    <w:rsid w:val="00524EA8"/>
    <w:rsid w:val="00525020"/>
    <w:rsid w:val="00525430"/>
    <w:rsid w:val="005254A6"/>
    <w:rsid w:val="005254FB"/>
    <w:rsid w:val="00525FA6"/>
    <w:rsid w:val="0052632C"/>
    <w:rsid w:val="005264A0"/>
    <w:rsid w:val="005264F9"/>
    <w:rsid w:val="0052690D"/>
    <w:rsid w:val="00526B4B"/>
    <w:rsid w:val="00527157"/>
    <w:rsid w:val="0052724E"/>
    <w:rsid w:val="00527877"/>
    <w:rsid w:val="005279F8"/>
    <w:rsid w:val="00527A6D"/>
    <w:rsid w:val="00527F54"/>
    <w:rsid w:val="00527FB2"/>
    <w:rsid w:val="00530186"/>
    <w:rsid w:val="00530191"/>
    <w:rsid w:val="00530277"/>
    <w:rsid w:val="005305F4"/>
    <w:rsid w:val="00530804"/>
    <w:rsid w:val="00530A43"/>
    <w:rsid w:val="00530C78"/>
    <w:rsid w:val="00530DAA"/>
    <w:rsid w:val="00531BA3"/>
    <w:rsid w:val="00531CDE"/>
    <w:rsid w:val="00531E65"/>
    <w:rsid w:val="00531F7C"/>
    <w:rsid w:val="00532959"/>
    <w:rsid w:val="00532AAD"/>
    <w:rsid w:val="00532B73"/>
    <w:rsid w:val="00532C85"/>
    <w:rsid w:val="00532D2E"/>
    <w:rsid w:val="00532EDE"/>
    <w:rsid w:val="0053304C"/>
    <w:rsid w:val="005331A9"/>
    <w:rsid w:val="005331E1"/>
    <w:rsid w:val="00533216"/>
    <w:rsid w:val="00533494"/>
    <w:rsid w:val="0053357D"/>
    <w:rsid w:val="00533612"/>
    <w:rsid w:val="005336F6"/>
    <w:rsid w:val="0053377A"/>
    <w:rsid w:val="005337FF"/>
    <w:rsid w:val="0053380A"/>
    <w:rsid w:val="005338B6"/>
    <w:rsid w:val="00533DA1"/>
    <w:rsid w:val="00533FB8"/>
    <w:rsid w:val="00534027"/>
    <w:rsid w:val="005344BA"/>
    <w:rsid w:val="005345E0"/>
    <w:rsid w:val="0053473E"/>
    <w:rsid w:val="0053485F"/>
    <w:rsid w:val="005348CD"/>
    <w:rsid w:val="00534D15"/>
    <w:rsid w:val="00534E06"/>
    <w:rsid w:val="00534E82"/>
    <w:rsid w:val="00534FD3"/>
    <w:rsid w:val="005351B4"/>
    <w:rsid w:val="0053527B"/>
    <w:rsid w:val="00535284"/>
    <w:rsid w:val="00535377"/>
    <w:rsid w:val="005353B4"/>
    <w:rsid w:val="00535756"/>
    <w:rsid w:val="00535853"/>
    <w:rsid w:val="00535A71"/>
    <w:rsid w:val="00535BB2"/>
    <w:rsid w:val="00535D0C"/>
    <w:rsid w:val="00535E16"/>
    <w:rsid w:val="00536415"/>
    <w:rsid w:val="0053641D"/>
    <w:rsid w:val="00536838"/>
    <w:rsid w:val="005374AE"/>
    <w:rsid w:val="00537A64"/>
    <w:rsid w:val="00537E56"/>
    <w:rsid w:val="00537FCF"/>
    <w:rsid w:val="00540835"/>
    <w:rsid w:val="00540F2A"/>
    <w:rsid w:val="00540FFA"/>
    <w:rsid w:val="00541121"/>
    <w:rsid w:val="00541472"/>
    <w:rsid w:val="005416A9"/>
    <w:rsid w:val="0054176E"/>
    <w:rsid w:val="005417F8"/>
    <w:rsid w:val="005420AC"/>
    <w:rsid w:val="0054220A"/>
    <w:rsid w:val="005422AA"/>
    <w:rsid w:val="005427AE"/>
    <w:rsid w:val="005428B8"/>
    <w:rsid w:val="005431D3"/>
    <w:rsid w:val="005433C1"/>
    <w:rsid w:val="0054346F"/>
    <w:rsid w:val="005435C6"/>
    <w:rsid w:val="0054368D"/>
    <w:rsid w:val="005439AA"/>
    <w:rsid w:val="005439BC"/>
    <w:rsid w:val="00543D5A"/>
    <w:rsid w:val="00543E17"/>
    <w:rsid w:val="00543FB6"/>
    <w:rsid w:val="0054447D"/>
    <w:rsid w:val="0054448E"/>
    <w:rsid w:val="005449D6"/>
    <w:rsid w:val="00544A97"/>
    <w:rsid w:val="00544B98"/>
    <w:rsid w:val="005454D5"/>
    <w:rsid w:val="00545531"/>
    <w:rsid w:val="00545646"/>
    <w:rsid w:val="00545894"/>
    <w:rsid w:val="00545E7C"/>
    <w:rsid w:val="0054606D"/>
    <w:rsid w:val="00546196"/>
    <w:rsid w:val="0054623A"/>
    <w:rsid w:val="005462AC"/>
    <w:rsid w:val="00546760"/>
    <w:rsid w:val="005467B0"/>
    <w:rsid w:val="005468FB"/>
    <w:rsid w:val="00546F35"/>
    <w:rsid w:val="005476E3"/>
    <w:rsid w:val="00547D01"/>
    <w:rsid w:val="00547DD1"/>
    <w:rsid w:val="005502AB"/>
    <w:rsid w:val="005502EA"/>
    <w:rsid w:val="0055068A"/>
    <w:rsid w:val="005510DF"/>
    <w:rsid w:val="0055113F"/>
    <w:rsid w:val="00551427"/>
    <w:rsid w:val="005514AE"/>
    <w:rsid w:val="00551B52"/>
    <w:rsid w:val="00551FE4"/>
    <w:rsid w:val="005522F2"/>
    <w:rsid w:val="005526B1"/>
    <w:rsid w:val="0055291F"/>
    <w:rsid w:val="0055297B"/>
    <w:rsid w:val="00552AAC"/>
    <w:rsid w:val="005531A8"/>
    <w:rsid w:val="00553624"/>
    <w:rsid w:val="00553D01"/>
    <w:rsid w:val="00553FBD"/>
    <w:rsid w:val="0055423D"/>
    <w:rsid w:val="005543E8"/>
    <w:rsid w:val="0055453E"/>
    <w:rsid w:val="00554767"/>
    <w:rsid w:val="005548E4"/>
    <w:rsid w:val="005549F5"/>
    <w:rsid w:val="005553A0"/>
    <w:rsid w:val="0055560B"/>
    <w:rsid w:val="005558C9"/>
    <w:rsid w:val="00555B53"/>
    <w:rsid w:val="00555C4A"/>
    <w:rsid w:val="00555DB1"/>
    <w:rsid w:val="00555F12"/>
    <w:rsid w:val="00556022"/>
    <w:rsid w:val="00556045"/>
    <w:rsid w:val="00556193"/>
    <w:rsid w:val="0055640A"/>
    <w:rsid w:val="005565F9"/>
    <w:rsid w:val="005566D8"/>
    <w:rsid w:val="00556926"/>
    <w:rsid w:val="005569B5"/>
    <w:rsid w:val="005573F2"/>
    <w:rsid w:val="0055799B"/>
    <w:rsid w:val="00557E7B"/>
    <w:rsid w:val="00560065"/>
    <w:rsid w:val="005608BF"/>
    <w:rsid w:val="00560A84"/>
    <w:rsid w:val="00560BF5"/>
    <w:rsid w:val="00560F9C"/>
    <w:rsid w:val="00561113"/>
    <w:rsid w:val="0056149E"/>
    <w:rsid w:val="00561744"/>
    <w:rsid w:val="005619D5"/>
    <w:rsid w:val="00561BDC"/>
    <w:rsid w:val="00561CD7"/>
    <w:rsid w:val="00561EC1"/>
    <w:rsid w:val="00562022"/>
    <w:rsid w:val="00562080"/>
    <w:rsid w:val="005625EB"/>
    <w:rsid w:val="00562D85"/>
    <w:rsid w:val="005635C5"/>
    <w:rsid w:val="005635EA"/>
    <w:rsid w:val="00563A1D"/>
    <w:rsid w:val="00563E21"/>
    <w:rsid w:val="00563FF4"/>
    <w:rsid w:val="00564132"/>
    <w:rsid w:val="00564428"/>
    <w:rsid w:val="00564F9F"/>
    <w:rsid w:val="00564FC3"/>
    <w:rsid w:val="0056502A"/>
    <w:rsid w:val="0056517A"/>
    <w:rsid w:val="00565253"/>
    <w:rsid w:val="005652AD"/>
    <w:rsid w:val="005652BF"/>
    <w:rsid w:val="005653D1"/>
    <w:rsid w:val="0056580A"/>
    <w:rsid w:val="00565D03"/>
    <w:rsid w:val="005661E9"/>
    <w:rsid w:val="00566BDB"/>
    <w:rsid w:val="00566D4F"/>
    <w:rsid w:val="00567253"/>
    <w:rsid w:val="005675E8"/>
    <w:rsid w:val="0056781B"/>
    <w:rsid w:val="00567952"/>
    <w:rsid w:val="00567AA5"/>
    <w:rsid w:val="00567CEE"/>
    <w:rsid w:val="00570191"/>
    <w:rsid w:val="005703F2"/>
    <w:rsid w:val="0057082F"/>
    <w:rsid w:val="00570933"/>
    <w:rsid w:val="00570A5B"/>
    <w:rsid w:val="00570FE5"/>
    <w:rsid w:val="00571245"/>
    <w:rsid w:val="00571A23"/>
    <w:rsid w:val="00571F3B"/>
    <w:rsid w:val="0057200A"/>
    <w:rsid w:val="005724D7"/>
    <w:rsid w:val="00572506"/>
    <w:rsid w:val="0057275A"/>
    <w:rsid w:val="005728CB"/>
    <w:rsid w:val="00572901"/>
    <w:rsid w:val="00572F69"/>
    <w:rsid w:val="0057303B"/>
    <w:rsid w:val="005731A5"/>
    <w:rsid w:val="005733F0"/>
    <w:rsid w:val="00573563"/>
    <w:rsid w:val="005736B7"/>
    <w:rsid w:val="00573A83"/>
    <w:rsid w:val="00573AE1"/>
    <w:rsid w:val="00574385"/>
    <w:rsid w:val="005745BF"/>
    <w:rsid w:val="005747FA"/>
    <w:rsid w:val="0057482E"/>
    <w:rsid w:val="0057492F"/>
    <w:rsid w:val="00574A07"/>
    <w:rsid w:val="00574AAA"/>
    <w:rsid w:val="00574BDE"/>
    <w:rsid w:val="00574C09"/>
    <w:rsid w:val="00574DE1"/>
    <w:rsid w:val="00575575"/>
    <w:rsid w:val="0057583B"/>
    <w:rsid w:val="00575A36"/>
    <w:rsid w:val="00575AED"/>
    <w:rsid w:val="00575CF8"/>
    <w:rsid w:val="00575DD9"/>
    <w:rsid w:val="005761B7"/>
    <w:rsid w:val="0057672A"/>
    <w:rsid w:val="0057682D"/>
    <w:rsid w:val="00576F38"/>
    <w:rsid w:val="005770A2"/>
    <w:rsid w:val="00577157"/>
    <w:rsid w:val="0057724B"/>
    <w:rsid w:val="005772F9"/>
    <w:rsid w:val="005773AE"/>
    <w:rsid w:val="0057759E"/>
    <w:rsid w:val="00577D73"/>
    <w:rsid w:val="00577E80"/>
    <w:rsid w:val="00580082"/>
    <w:rsid w:val="00580885"/>
    <w:rsid w:val="00580D50"/>
    <w:rsid w:val="00580E0D"/>
    <w:rsid w:val="00580E68"/>
    <w:rsid w:val="005813AA"/>
    <w:rsid w:val="00581BA9"/>
    <w:rsid w:val="00581C6C"/>
    <w:rsid w:val="00582211"/>
    <w:rsid w:val="00582307"/>
    <w:rsid w:val="005823D3"/>
    <w:rsid w:val="0058279D"/>
    <w:rsid w:val="00582C62"/>
    <w:rsid w:val="00582F6D"/>
    <w:rsid w:val="0058308D"/>
    <w:rsid w:val="0058357D"/>
    <w:rsid w:val="0058367A"/>
    <w:rsid w:val="00583B20"/>
    <w:rsid w:val="005840B1"/>
    <w:rsid w:val="00584163"/>
    <w:rsid w:val="0058431D"/>
    <w:rsid w:val="005843F5"/>
    <w:rsid w:val="005844AD"/>
    <w:rsid w:val="005844BC"/>
    <w:rsid w:val="005845E4"/>
    <w:rsid w:val="00584662"/>
    <w:rsid w:val="005849CC"/>
    <w:rsid w:val="00584BE2"/>
    <w:rsid w:val="005852F8"/>
    <w:rsid w:val="00585459"/>
    <w:rsid w:val="005858C6"/>
    <w:rsid w:val="00585F84"/>
    <w:rsid w:val="0058645A"/>
    <w:rsid w:val="00586A7F"/>
    <w:rsid w:val="00586A88"/>
    <w:rsid w:val="0058724E"/>
    <w:rsid w:val="005875FD"/>
    <w:rsid w:val="005877A6"/>
    <w:rsid w:val="00587CD3"/>
    <w:rsid w:val="00587CF5"/>
    <w:rsid w:val="0059004B"/>
    <w:rsid w:val="0059028B"/>
    <w:rsid w:val="0059045C"/>
    <w:rsid w:val="0059048F"/>
    <w:rsid w:val="00590B45"/>
    <w:rsid w:val="00590EEC"/>
    <w:rsid w:val="005911FC"/>
    <w:rsid w:val="00591360"/>
    <w:rsid w:val="00591643"/>
    <w:rsid w:val="00591775"/>
    <w:rsid w:val="005917DB"/>
    <w:rsid w:val="00591A6B"/>
    <w:rsid w:val="00592171"/>
    <w:rsid w:val="005922CC"/>
    <w:rsid w:val="005924B3"/>
    <w:rsid w:val="00592535"/>
    <w:rsid w:val="005926C0"/>
    <w:rsid w:val="005927EE"/>
    <w:rsid w:val="00592A03"/>
    <w:rsid w:val="00592A27"/>
    <w:rsid w:val="00592BEE"/>
    <w:rsid w:val="00592E86"/>
    <w:rsid w:val="0059318E"/>
    <w:rsid w:val="00593269"/>
    <w:rsid w:val="005933EB"/>
    <w:rsid w:val="00593541"/>
    <w:rsid w:val="005936B0"/>
    <w:rsid w:val="005939A9"/>
    <w:rsid w:val="00593A70"/>
    <w:rsid w:val="00593BA7"/>
    <w:rsid w:val="00593D1E"/>
    <w:rsid w:val="00593FEA"/>
    <w:rsid w:val="005945D4"/>
    <w:rsid w:val="00594693"/>
    <w:rsid w:val="00594A10"/>
    <w:rsid w:val="00595078"/>
    <w:rsid w:val="0059534A"/>
    <w:rsid w:val="005953BA"/>
    <w:rsid w:val="005955E6"/>
    <w:rsid w:val="00595814"/>
    <w:rsid w:val="005959B0"/>
    <w:rsid w:val="005959CF"/>
    <w:rsid w:val="00595A5D"/>
    <w:rsid w:val="00596221"/>
    <w:rsid w:val="0059622D"/>
    <w:rsid w:val="00596352"/>
    <w:rsid w:val="00596380"/>
    <w:rsid w:val="00596502"/>
    <w:rsid w:val="00596807"/>
    <w:rsid w:val="00597137"/>
    <w:rsid w:val="0059761A"/>
    <w:rsid w:val="0059761E"/>
    <w:rsid w:val="00597713"/>
    <w:rsid w:val="00597B24"/>
    <w:rsid w:val="005A0410"/>
    <w:rsid w:val="005A04E3"/>
    <w:rsid w:val="005A09DA"/>
    <w:rsid w:val="005A0A50"/>
    <w:rsid w:val="005A0AD7"/>
    <w:rsid w:val="005A0FE5"/>
    <w:rsid w:val="005A14B3"/>
    <w:rsid w:val="005A1525"/>
    <w:rsid w:val="005A160B"/>
    <w:rsid w:val="005A1D6C"/>
    <w:rsid w:val="005A2121"/>
    <w:rsid w:val="005A25E6"/>
    <w:rsid w:val="005A287E"/>
    <w:rsid w:val="005A2AA0"/>
    <w:rsid w:val="005A2C6D"/>
    <w:rsid w:val="005A2CCA"/>
    <w:rsid w:val="005A2F9F"/>
    <w:rsid w:val="005A32E2"/>
    <w:rsid w:val="005A33B0"/>
    <w:rsid w:val="005A34DF"/>
    <w:rsid w:val="005A35C9"/>
    <w:rsid w:val="005A3614"/>
    <w:rsid w:val="005A3858"/>
    <w:rsid w:val="005A3BB6"/>
    <w:rsid w:val="005A3C0B"/>
    <w:rsid w:val="005A3C70"/>
    <w:rsid w:val="005A3CF6"/>
    <w:rsid w:val="005A41FA"/>
    <w:rsid w:val="005A4528"/>
    <w:rsid w:val="005A4D1A"/>
    <w:rsid w:val="005A5DD9"/>
    <w:rsid w:val="005A602F"/>
    <w:rsid w:val="005A6048"/>
    <w:rsid w:val="005A63A3"/>
    <w:rsid w:val="005A646E"/>
    <w:rsid w:val="005A66AA"/>
    <w:rsid w:val="005A673C"/>
    <w:rsid w:val="005A6984"/>
    <w:rsid w:val="005A73F7"/>
    <w:rsid w:val="005A7774"/>
    <w:rsid w:val="005A779B"/>
    <w:rsid w:val="005A7831"/>
    <w:rsid w:val="005A79E6"/>
    <w:rsid w:val="005A7A92"/>
    <w:rsid w:val="005A7C34"/>
    <w:rsid w:val="005A7CCC"/>
    <w:rsid w:val="005A7E20"/>
    <w:rsid w:val="005A7E48"/>
    <w:rsid w:val="005B0037"/>
    <w:rsid w:val="005B073E"/>
    <w:rsid w:val="005B0831"/>
    <w:rsid w:val="005B0D79"/>
    <w:rsid w:val="005B0E03"/>
    <w:rsid w:val="005B11F6"/>
    <w:rsid w:val="005B16C2"/>
    <w:rsid w:val="005B188B"/>
    <w:rsid w:val="005B1DE3"/>
    <w:rsid w:val="005B1E17"/>
    <w:rsid w:val="005B1EBA"/>
    <w:rsid w:val="005B250A"/>
    <w:rsid w:val="005B2AC5"/>
    <w:rsid w:val="005B2C50"/>
    <w:rsid w:val="005B2DC4"/>
    <w:rsid w:val="005B2EB7"/>
    <w:rsid w:val="005B3157"/>
    <w:rsid w:val="005B357F"/>
    <w:rsid w:val="005B36DD"/>
    <w:rsid w:val="005B3B5B"/>
    <w:rsid w:val="005B3B60"/>
    <w:rsid w:val="005B3E60"/>
    <w:rsid w:val="005B416B"/>
    <w:rsid w:val="005B4214"/>
    <w:rsid w:val="005B485F"/>
    <w:rsid w:val="005B48CB"/>
    <w:rsid w:val="005B4C76"/>
    <w:rsid w:val="005B56C1"/>
    <w:rsid w:val="005B5A09"/>
    <w:rsid w:val="005B5D19"/>
    <w:rsid w:val="005B6001"/>
    <w:rsid w:val="005B605E"/>
    <w:rsid w:val="005B609C"/>
    <w:rsid w:val="005B633C"/>
    <w:rsid w:val="005B6512"/>
    <w:rsid w:val="005B661E"/>
    <w:rsid w:val="005B6781"/>
    <w:rsid w:val="005B685D"/>
    <w:rsid w:val="005B690E"/>
    <w:rsid w:val="005B6D1B"/>
    <w:rsid w:val="005B7B93"/>
    <w:rsid w:val="005B7DEA"/>
    <w:rsid w:val="005C0185"/>
    <w:rsid w:val="005C0425"/>
    <w:rsid w:val="005C0AC2"/>
    <w:rsid w:val="005C0C73"/>
    <w:rsid w:val="005C1100"/>
    <w:rsid w:val="005C157E"/>
    <w:rsid w:val="005C18EF"/>
    <w:rsid w:val="005C1BC1"/>
    <w:rsid w:val="005C228B"/>
    <w:rsid w:val="005C29E9"/>
    <w:rsid w:val="005C308B"/>
    <w:rsid w:val="005C312E"/>
    <w:rsid w:val="005C31E8"/>
    <w:rsid w:val="005C3374"/>
    <w:rsid w:val="005C36E4"/>
    <w:rsid w:val="005C39B7"/>
    <w:rsid w:val="005C3F31"/>
    <w:rsid w:val="005C3F6C"/>
    <w:rsid w:val="005C4379"/>
    <w:rsid w:val="005C4637"/>
    <w:rsid w:val="005C467C"/>
    <w:rsid w:val="005C474E"/>
    <w:rsid w:val="005C47A0"/>
    <w:rsid w:val="005C483F"/>
    <w:rsid w:val="005C4911"/>
    <w:rsid w:val="005C4A17"/>
    <w:rsid w:val="005C4A57"/>
    <w:rsid w:val="005C5746"/>
    <w:rsid w:val="005C5AE3"/>
    <w:rsid w:val="005C5B3D"/>
    <w:rsid w:val="005C5C18"/>
    <w:rsid w:val="005C5D5F"/>
    <w:rsid w:val="005C5FBA"/>
    <w:rsid w:val="005C6093"/>
    <w:rsid w:val="005C658B"/>
    <w:rsid w:val="005C66A6"/>
    <w:rsid w:val="005C66F5"/>
    <w:rsid w:val="005C7808"/>
    <w:rsid w:val="005C7842"/>
    <w:rsid w:val="005C7D0E"/>
    <w:rsid w:val="005D054A"/>
    <w:rsid w:val="005D05FD"/>
    <w:rsid w:val="005D070F"/>
    <w:rsid w:val="005D07A1"/>
    <w:rsid w:val="005D0BA6"/>
    <w:rsid w:val="005D0F8F"/>
    <w:rsid w:val="005D1000"/>
    <w:rsid w:val="005D11EA"/>
    <w:rsid w:val="005D161D"/>
    <w:rsid w:val="005D17DD"/>
    <w:rsid w:val="005D18A1"/>
    <w:rsid w:val="005D197C"/>
    <w:rsid w:val="005D1AFD"/>
    <w:rsid w:val="005D1B85"/>
    <w:rsid w:val="005D1CA3"/>
    <w:rsid w:val="005D1ED6"/>
    <w:rsid w:val="005D1F4C"/>
    <w:rsid w:val="005D211B"/>
    <w:rsid w:val="005D263A"/>
    <w:rsid w:val="005D26B2"/>
    <w:rsid w:val="005D26C4"/>
    <w:rsid w:val="005D2807"/>
    <w:rsid w:val="005D2E5F"/>
    <w:rsid w:val="005D3241"/>
    <w:rsid w:val="005D34F4"/>
    <w:rsid w:val="005D3687"/>
    <w:rsid w:val="005D38C3"/>
    <w:rsid w:val="005D3B49"/>
    <w:rsid w:val="005D3CC2"/>
    <w:rsid w:val="005D40AE"/>
    <w:rsid w:val="005D419C"/>
    <w:rsid w:val="005D4792"/>
    <w:rsid w:val="005D50F1"/>
    <w:rsid w:val="005D538F"/>
    <w:rsid w:val="005D56F9"/>
    <w:rsid w:val="005D5CF0"/>
    <w:rsid w:val="005D6233"/>
    <w:rsid w:val="005D6499"/>
    <w:rsid w:val="005D6708"/>
    <w:rsid w:val="005D6959"/>
    <w:rsid w:val="005D6987"/>
    <w:rsid w:val="005D6C40"/>
    <w:rsid w:val="005D6E48"/>
    <w:rsid w:val="005D70E3"/>
    <w:rsid w:val="005D73BE"/>
    <w:rsid w:val="005D7E92"/>
    <w:rsid w:val="005D7F29"/>
    <w:rsid w:val="005E0082"/>
    <w:rsid w:val="005E0123"/>
    <w:rsid w:val="005E0882"/>
    <w:rsid w:val="005E0B7C"/>
    <w:rsid w:val="005E0D18"/>
    <w:rsid w:val="005E1259"/>
    <w:rsid w:val="005E14C4"/>
    <w:rsid w:val="005E1539"/>
    <w:rsid w:val="005E176F"/>
    <w:rsid w:val="005E1B19"/>
    <w:rsid w:val="005E1B6F"/>
    <w:rsid w:val="005E2B39"/>
    <w:rsid w:val="005E2F9F"/>
    <w:rsid w:val="005E2FC9"/>
    <w:rsid w:val="005E34DA"/>
    <w:rsid w:val="005E37F1"/>
    <w:rsid w:val="005E3D5B"/>
    <w:rsid w:val="005E3DA9"/>
    <w:rsid w:val="005E3F72"/>
    <w:rsid w:val="005E4357"/>
    <w:rsid w:val="005E4526"/>
    <w:rsid w:val="005E4539"/>
    <w:rsid w:val="005E49E2"/>
    <w:rsid w:val="005E4C6C"/>
    <w:rsid w:val="005E4FF0"/>
    <w:rsid w:val="005E5210"/>
    <w:rsid w:val="005E5CF2"/>
    <w:rsid w:val="005E6209"/>
    <w:rsid w:val="005E63A9"/>
    <w:rsid w:val="005E6447"/>
    <w:rsid w:val="005E681E"/>
    <w:rsid w:val="005E6D59"/>
    <w:rsid w:val="005E7048"/>
    <w:rsid w:val="005E7057"/>
    <w:rsid w:val="005E733B"/>
    <w:rsid w:val="005E7834"/>
    <w:rsid w:val="005E7F73"/>
    <w:rsid w:val="005F04BB"/>
    <w:rsid w:val="005F0507"/>
    <w:rsid w:val="005F0722"/>
    <w:rsid w:val="005F07D4"/>
    <w:rsid w:val="005F0F9F"/>
    <w:rsid w:val="005F1B9E"/>
    <w:rsid w:val="005F1D41"/>
    <w:rsid w:val="005F1FBE"/>
    <w:rsid w:val="005F1FC3"/>
    <w:rsid w:val="005F1FE4"/>
    <w:rsid w:val="005F24CE"/>
    <w:rsid w:val="005F269F"/>
    <w:rsid w:val="005F2EB2"/>
    <w:rsid w:val="005F2FA5"/>
    <w:rsid w:val="005F3693"/>
    <w:rsid w:val="005F37B3"/>
    <w:rsid w:val="005F3E39"/>
    <w:rsid w:val="005F436E"/>
    <w:rsid w:val="005F43DC"/>
    <w:rsid w:val="005F4601"/>
    <w:rsid w:val="005F475E"/>
    <w:rsid w:val="005F4A03"/>
    <w:rsid w:val="005F4A6B"/>
    <w:rsid w:val="005F4DF8"/>
    <w:rsid w:val="005F4ECC"/>
    <w:rsid w:val="005F5665"/>
    <w:rsid w:val="005F58D5"/>
    <w:rsid w:val="005F5902"/>
    <w:rsid w:val="005F5A7E"/>
    <w:rsid w:val="005F5D44"/>
    <w:rsid w:val="005F5E90"/>
    <w:rsid w:val="005F5EAA"/>
    <w:rsid w:val="005F6293"/>
    <w:rsid w:val="005F64D2"/>
    <w:rsid w:val="005F6609"/>
    <w:rsid w:val="005F685F"/>
    <w:rsid w:val="005F6B23"/>
    <w:rsid w:val="005F6CEA"/>
    <w:rsid w:val="005F6EEA"/>
    <w:rsid w:val="005F7074"/>
    <w:rsid w:val="005F70C9"/>
    <w:rsid w:val="005F7215"/>
    <w:rsid w:val="005F7B59"/>
    <w:rsid w:val="005F7CB0"/>
    <w:rsid w:val="005F7D3A"/>
    <w:rsid w:val="006000D2"/>
    <w:rsid w:val="0060013A"/>
    <w:rsid w:val="0060052F"/>
    <w:rsid w:val="0060079B"/>
    <w:rsid w:val="00600E8B"/>
    <w:rsid w:val="00600F8D"/>
    <w:rsid w:val="006010E2"/>
    <w:rsid w:val="006011E6"/>
    <w:rsid w:val="006013E4"/>
    <w:rsid w:val="006013F9"/>
    <w:rsid w:val="006014EE"/>
    <w:rsid w:val="00601520"/>
    <w:rsid w:val="00601547"/>
    <w:rsid w:val="00601830"/>
    <w:rsid w:val="00601C12"/>
    <w:rsid w:val="00601C54"/>
    <w:rsid w:val="00601CB9"/>
    <w:rsid w:val="00601EF8"/>
    <w:rsid w:val="00602150"/>
    <w:rsid w:val="00602769"/>
    <w:rsid w:val="00602784"/>
    <w:rsid w:val="00602C1F"/>
    <w:rsid w:val="00602CE8"/>
    <w:rsid w:val="00602E99"/>
    <w:rsid w:val="00602ED7"/>
    <w:rsid w:val="00602F7F"/>
    <w:rsid w:val="00603432"/>
    <w:rsid w:val="00603627"/>
    <w:rsid w:val="00603683"/>
    <w:rsid w:val="006038A1"/>
    <w:rsid w:val="00604193"/>
    <w:rsid w:val="00604340"/>
    <w:rsid w:val="00604400"/>
    <w:rsid w:val="006046EF"/>
    <w:rsid w:val="006048C9"/>
    <w:rsid w:val="006048F9"/>
    <w:rsid w:val="00604E55"/>
    <w:rsid w:val="00604E87"/>
    <w:rsid w:val="0060529F"/>
    <w:rsid w:val="0060562C"/>
    <w:rsid w:val="006057B2"/>
    <w:rsid w:val="006057D5"/>
    <w:rsid w:val="006057E9"/>
    <w:rsid w:val="00605C05"/>
    <w:rsid w:val="00605CD1"/>
    <w:rsid w:val="00605DCD"/>
    <w:rsid w:val="00606382"/>
    <w:rsid w:val="006063FA"/>
    <w:rsid w:val="006068EA"/>
    <w:rsid w:val="00606E58"/>
    <w:rsid w:val="00606FB0"/>
    <w:rsid w:val="006071DF"/>
    <w:rsid w:val="00607464"/>
    <w:rsid w:val="006077E8"/>
    <w:rsid w:val="00607AB5"/>
    <w:rsid w:val="00610695"/>
    <w:rsid w:val="006107A2"/>
    <w:rsid w:val="006109EC"/>
    <w:rsid w:val="00610BA3"/>
    <w:rsid w:val="00610F15"/>
    <w:rsid w:val="0061106F"/>
    <w:rsid w:val="00611AFB"/>
    <w:rsid w:val="00611C90"/>
    <w:rsid w:val="00611D91"/>
    <w:rsid w:val="00612023"/>
    <w:rsid w:val="006127C7"/>
    <w:rsid w:val="006127E9"/>
    <w:rsid w:val="00612831"/>
    <w:rsid w:val="006128C6"/>
    <w:rsid w:val="00612C37"/>
    <w:rsid w:val="00612F55"/>
    <w:rsid w:val="00612FEF"/>
    <w:rsid w:val="006130C5"/>
    <w:rsid w:val="006132A9"/>
    <w:rsid w:val="00613436"/>
    <w:rsid w:val="0061380B"/>
    <w:rsid w:val="00613A19"/>
    <w:rsid w:val="0061409C"/>
    <w:rsid w:val="0061410D"/>
    <w:rsid w:val="006145FA"/>
    <w:rsid w:val="00614622"/>
    <w:rsid w:val="006146E7"/>
    <w:rsid w:val="0061476C"/>
    <w:rsid w:val="006147F4"/>
    <w:rsid w:val="00614BD0"/>
    <w:rsid w:val="00614D97"/>
    <w:rsid w:val="00614E87"/>
    <w:rsid w:val="006153E1"/>
    <w:rsid w:val="0061546F"/>
    <w:rsid w:val="006154DE"/>
    <w:rsid w:val="00615662"/>
    <w:rsid w:val="00615906"/>
    <w:rsid w:val="00615E2D"/>
    <w:rsid w:val="00615E6F"/>
    <w:rsid w:val="00615F94"/>
    <w:rsid w:val="00616731"/>
    <w:rsid w:val="00616A21"/>
    <w:rsid w:val="00616A58"/>
    <w:rsid w:val="00616B41"/>
    <w:rsid w:val="00616C1A"/>
    <w:rsid w:val="00616F5A"/>
    <w:rsid w:val="00617190"/>
    <w:rsid w:val="0061743D"/>
    <w:rsid w:val="00617713"/>
    <w:rsid w:val="00617848"/>
    <w:rsid w:val="00617967"/>
    <w:rsid w:val="0061799C"/>
    <w:rsid w:val="00617C26"/>
    <w:rsid w:val="00617CDB"/>
    <w:rsid w:val="00620097"/>
    <w:rsid w:val="0062092D"/>
    <w:rsid w:val="00620FF4"/>
    <w:rsid w:val="00621408"/>
    <w:rsid w:val="006215A3"/>
    <w:rsid w:val="00621B5C"/>
    <w:rsid w:val="00621B6C"/>
    <w:rsid w:val="00621C8B"/>
    <w:rsid w:val="00621CD3"/>
    <w:rsid w:val="00622710"/>
    <w:rsid w:val="0062278A"/>
    <w:rsid w:val="006230FE"/>
    <w:rsid w:val="0062350F"/>
    <w:rsid w:val="00623617"/>
    <w:rsid w:val="00623628"/>
    <w:rsid w:val="006238EB"/>
    <w:rsid w:val="00623902"/>
    <w:rsid w:val="00623911"/>
    <w:rsid w:val="00623A0A"/>
    <w:rsid w:val="00623DE2"/>
    <w:rsid w:val="00623EA7"/>
    <w:rsid w:val="00623EE5"/>
    <w:rsid w:val="00623F19"/>
    <w:rsid w:val="0062404F"/>
    <w:rsid w:val="00624401"/>
    <w:rsid w:val="00624402"/>
    <w:rsid w:val="006244C5"/>
    <w:rsid w:val="0062480E"/>
    <w:rsid w:val="00624AEF"/>
    <w:rsid w:val="00624B3B"/>
    <w:rsid w:val="00624B98"/>
    <w:rsid w:val="00625018"/>
    <w:rsid w:val="00625348"/>
    <w:rsid w:val="0062599A"/>
    <w:rsid w:val="00625AA7"/>
    <w:rsid w:val="00625B2D"/>
    <w:rsid w:val="00625D34"/>
    <w:rsid w:val="00625F8A"/>
    <w:rsid w:val="00626595"/>
    <w:rsid w:val="006267B3"/>
    <w:rsid w:val="006268FE"/>
    <w:rsid w:val="00626B24"/>
    <w:rsid w:val="00626B35"/>
    <w:rsid w:val="00626BF4"/>
    <w:rsid w:val="00626C1F"/>
    <w:rsid w:val="0062723A"/>
    <w:rsid w:val="006274D6"/>
    <w:rsid w:val="00630455"/>
    <w:rsid w:val="00630640"/>
    <w:rsid w:val="00630975"/>
    <w:rsid w:val="006309D7"/>
    <w:rsid w:val="00630C4F"/>
    <w:rsid w:val="00630F74"/>
    <w:rsid w:val="00631306"/>
    <w:rsid w:val="00631353"/>
    <w:rsid w:val="00631559"/>
    <w:rsid w:val="00631ADF"/>
    <w:rsid w:val="00631B39"/>
    <w:rsid w:val="00631C62"/>
    <w:rsid w:val="00632095"/>
    <w:rsid w:val="006321A7"/>
    <w:rsid w:val="0063229B"/>
    <w:rsid w:val="006323BB"/>
    <w:rsid w:val="006324C2"/>
    <w:rsid w:val="006329E6"/>
    <w:rsid w:val="00632E56"/>
    <w:rsid w:val="0063367D"/>
    <w:rsid w:val="006338C4"/>
    <w:rsid w:val="00633CC0"/>
    <w:rsid w:val="00633D62"/>
    <w:rsid w:val="00634369"/>
    <w:rsid w:val="00634654"/>
    <w:rsid w:val="00634C28"/>
    <w:rsid w:val="00634C98"/>
    <w:rsid w:val="00634C9B"/>
    <w:rsid w:val="00634FD6"/>
    <w:rsid w:val="00635025"/>
    <w:rsid w:val="006350C4"/>
    <w:rsid w:val="006352EA"/>
    <w:rsid w:val="00635447"/>
    <w:rsid w:val="006354D3"/>
    <w:rsid w:val="006356EC"/>
    <w:rsid w:val="00635A4F"/>
    <w:rsid w:val="00635D24"/>
    <w:rsid w:val="00635DB1"/>
    <w:rsid w:val="006362AF"/>
    <w:rsid w:val="00636386"/>
    <w:rsid w:val="006363FF"/>
    <w:rsid w:val="006364FF"/>
    <w:rsid w:val="0063650D"/>
    <w:rsid w:val="00636878"/>
    <w:rsid w:val="00636D6B"/>
    <w:rsid w:val="00636D9A"/>
    <w:rsid w:val="006371B7"/>
    <w:rsid w:val="0063731B"/>
    <w:rsid w:val="0063758B"/>
    <w:rsid w:val="00637853"/>
    <w:rsid w:val="006378CB"/>
    <w:rsid w:val="00640501"/>
    <w:rsid w:val="0064060B"/>
    <w:rsid w:val="006410D9"/>
    <w:rsid w:val="00641533"/>
    <w:rsid w:val="00641936"/>
    <w:rsid w:val="00641DFC"/>
    <w:rsid w:val="00641F94"/>
    <w:rsid w:val="006422B0"/>
    <w:rsid w:val="0064276B"/>
    <w:rsid w:val="00642995"/>
    <w:rsid w:val="00642E26"/>
    <w:rsid w:val="006433F9"/>
    <w:rsid w:val="0064343A"/>
    <w:rsid w:val="0064368C"/>
    <w:rsid w:val="006436F8"/>
    <w:rsid w:val="00643791"/>
    <w:rsid w:val="00643B1B"/>
    <w:rsid w:val="00643C86"/>
    <w:rsid w:val="00643F93"/>
    <w:rsid w:val="00644191"/>
    <w:rsid w:val="0064420A"/>
    <w:rsid w:val="0064449D"/>
    <w:rsid w:val="0064457E"/>
    <w:rsid w:val="00644638"/>
    <w:rsid w:val="0064500C"/>
    <w:rsid w:val="0064504C"/>
    <w:rsid w:val="0064514A"/>
    <w:rsid w:val="006454F1"/>
    <w:rsid w:val="0064555D"/>
    <w:rsid w:val="00645624"/>
    <w:rsid w:val="00645749"/>
    <w:rsid w:val="0064579E"/>
    <w:rsid w:val="00645B22"/>
    <w:rsid w:val="00645E1B"/>
    <w:rsid w:val="006463D7"/>
    <w:rsid w:val="006463FD"/>
    <w:rsid w:val="0064660C"/>
    <w:rsid w:val="00646875"/>
    <w:rsid w:val="006468BD"/>
    <w:rsid w:val="00647061"/>
    <w:rsid w:val="006473E8"/>
    <w:rsid w:val="006476AE"/>
    <w:rsid w:val="00647732"/>
    <w:rsid w:val="0064799F"/>
    <w:rsid w:val="00647C1D"/>
    <w:rsid w:val="00647C22"/>
    <w:rsid w:val="00647C30"/>
    <w:rsid w:val="00647D3F"/>
    <w:rsid w:val="00647E2F"/>
    <w:rsid w:val="00650071"/>
    <w:rsid w:val="0065037F"/>
    <w:rsid w:val="00650835"/>
    <w:rsid w:val="00650848"/>
    <w:rsid w:val="00650C59"/>
    <w:rsid w:val="006516A8"/>
    <w:rsid w:val="006518EA"/>
    <w:rsid w:val="00651910"/>
    <w:rsid w:val="006519CE"/>
    <w:rsid w:val="00651AA7"/>
    <w:rsid w:val="00651B0E"/>
    <w:rsid w:val="00651E06"/>
    <w:rsid w:val="00651ED1"/>
    <w:rsid w:val="00651F1D"/>
    <w:rsid w:val="00651F86"/>
    <w:rsid w:val="0065228E"/>
    <w:rsid w:val="00652378"/>
    <w:rsid w:val="00652A4C"/>
    <w:rsid w:val="00652B96"/>
    <w:rsid w:val="00652D99"/>
    <w:rsid w:val="00652E10"/>
    <w:rsid w:val="00652F23"/>
    <w:rsid w:val="00652F93"/>
    <w:rsid w:val="00652FD5"/>
    <w:rsid w:val="006530D0"/>
    <w:rsid w:val="0065323A"/>
    <w:rsid w:val="006536D5"/>
    <w:rsid w:val="0065390A"/>
    <w:rsid w:val="006539A1"/>
    <w:rsid w:val="00653E5E"/>
    <w:rsid w:val="006540A7"/>
    <w:rsid w:val="00654955"/>
    <w:rsid w:val="00654CEA"/>
    <w:rsid w:val="00656193"/>
    <w:rsid w:val="0065631D"/>
    <w:rsid w:val="0065635D"/>
    <w:rsid w:val="006563EB"/>
    <w:rsid w:val="006567F9"/>
    <w:rsid w:val="00656BA4"/>
    <w:rsid w:val="00656C2D"/>
    <w:rsid w:val="00657967"/>
    <w:rsid w:val="00657A0A"/>
    <w:rsid w:val="00657AB1"/>
    <w:rsid w:val="00657C97"/>
    <w:rsid w:val="00657DD7"/>
    <w:rsid w:val="00657E5F"/>
    <w:rsid w:val="00660004"/>
    <w:rsid w:val="00660514"/>
    <w:rsid w:val="0066096D"/>
    <w:rsid w:val="00660C76"/>
    <w:rsid w:val="00660E65"/>
    <w:rsid w:val="0066100E"/>
    <w:rsid w:val="0066103B"/>
    <w:rsid w:val="0066106B"/>
    <w:rsid w:val="006611A5"/>
    <w:rsid w:val="00661442"/>
    <w:rsid w:val="006617A2"/>
    <w:rsid w:val="006618A4"/>
    <w:rsid w:val="006618CC"/>
    <w:rsid w:val="0066208D"/>
    <w:rsid w:val="00662628"/>
    <w:rsid w:val="0066274E"/>
    <w:rsid w:val="00662D15"/>
    <w:rsid w:val="00662ECB"/>
    <w:rsid w:val="00662EF2"/>
    <w:rsid w:val="00663204"/>
    <w:rsid w:val="00663289"/>
    <w:rsid w:val="0066351D"/>
    <w:rsid w:val="006635F5"/>
    <w:rsid w:val="0066392B"/>
    <w:rsid w:val="00663987"/>
    <w:rsid w:val="00663AC3"/>
    <w:rsid w:val="00663B29"/>
    <w:rsid w:val="00663B84"/>
    <w:rsid w:val="00663BED"/>
    <w:rsid w:val="00663CEF"/>
    <w:rsid w:val="006645C9"/>
    <w:rsid w:val="0066466E"/>
    <w:rsid w:val="00664879"/>
    <w:rsid w:val="00664AC9"/>
    <w:rsid w:val="00664D8C"/>
    <w:rsid w:val="006650E2"/>
    <w:rsid w:val="00665409"/>
    <w:rsid w:val="0066544A"/>
    <w:rsid w:val="00665462"/>
    <w:rsid w:val="0066554E"/>
    <w:rsid w:val="0066555D"/>
    <w:rsid w:val="00665721"/>
    <w:rsid w:val="006658AA"/>
    <w:rsid w:val="0066599F"/>
    <w:rsid w:val="00665FAC"/>
    <w:rsid w:val="00666132"/>
    <w:rsid w:val="00666327"/>
    <w:rsid w:val="00666360"/>
    <w:rsid w:val="006669A9"/>
    <w:rsid w:val="00666C4A"/>
    <w:rsid w:val="00666F79"/>
    <w:rsid w:val="00667024"/>
    <w:rsid w:val="0066713D"/>
    <w:rsid w:val="0066771E"/>
    <w:rsid w:val="0066785A"/>
    <w:rsid w:val="00667FA0"/>
    <w:rsid w:val="0067043D"/>
    <w:rsid w:val="006708BE"/>
    <w:rsid w:val="006708FA"/>
    <w:rsid w:val="00670BF9"/>
    <w:rsid w:val="00670CE6"/>
    <w:rsid w:val="00670EA0"/>
    <w:rsid w:val="00672412"/>
    <w:rsid w:val="00672F80"/>
    <w:rsid w:val="0067328E"/>
    <w:rsid w:val="006733B5"/>
    <w:rsid w:val="00673403"/>
    <w:rsid w:val="006734FD"/>
    <w:rsid w:val="0067352B"/>
    <w:rsid w:val="00673C01"/>
    <w:rsid w:val="00673C1C"/>
    <w:rsid w:val="00673F20"/>
    <w:rsid w:val="00673F7A"/>
    <w:rsid w:val="0067404A"/>
    <w:rsid w:val="0067424E"/>
    <w:rsid w:val="00674647"/>
    <w:rsid w:val="00675382"/>
    <w:rsid w:val="006754C8"/>
    <w:rsid w:val="006754EC"/>
    <w:rsid w:val="0067561E"/>
    <w:rsid w:val="006756DC"/>
    <w:rsid w:val="00675829"/>
    <w:rsid w:val="00675876"/>
    <w:rsid w:val="00675B55"/>
    <w:rsid w:val="00675EEB"/>
    <w:rsid w:val="006760DD"/>
    <w:rsid w:val="006761C0"/>
    <w:rsid w:val="00676238"/>
    <w:rsid w:val="00676739"/>
    <w:rsid w:val="00676823"/>
    <w:rsid w:val="0067696A"/>
    <w:rsid w:val="00676983"/>
    <w:rsid w:val="00676B69"/>
    <w:rsid w:val="00676B78"/>
    <w:rsid w:val="00676EAD"/>
    <w:rsid w:val="00676F4A"/>
    <w:rsid w:val="00677732"/>
    <w:rsid w:val="0067791D"/>
    <w:rsid w:val="00677FE7"/>
    <w:rsid w:val="0068028D"/>
    <w:rsid w:val="00680534"/>
    <w:rsid w:val="00680DAE"/>
    <w:rsid w:val="00681269"/>
    <w:rsid w:val="00681358"/>
    <w:rsid w:val="00681C4C"/>
    <w:rsid w:val="00681C59"/>
    <w:rsid w:val="00681E20"/>
    <w:rsid w:val="00682844"/>
    <w:rsid w:val="00682996"/>
    <w:rsid w:val="00682ECF"/>
    <w:rsid w:val="00682FF3"/>
    <w:rsid w:val="00683035"/>
    <w:rsid w:val="00683438"/>
    <w:rsid w:val="006835A0"/>
    <w:rsid w:val="0068363F"/>
    <w:rsid w:val="006836A9"/>
    <w:rsid w:val="006837FE"/>
    <w:rsid w:val="006838CA"/>
    <w:rsid w:val="00683EAF"/>
    <w:rsid w:val="006841AD"/>
    <w:rsid w:val="006846A8"/>
    <w:rsid w:val="006846AB"/>
    <w:rsid w:val="00684917"/>
    <w:rsid w:val="00684B43"/>
    <w:rsid w:val="00684FB4"/>
    <w:rsid w:val="00685AC7"/>
    <w:rsid w:val="00685C9D"/>
    <w:rsid w:val="006863D1"/>
    <w:rsid w:val="006865BF"/>
    <w:rsid w:val="00686635"/>
    <w:rsid w:val="0068669D"/>
    <w:rsid w:val="00686C76"/>
    <w:rsid w:val="00686CDE"/>
    <w:rsid w:val="00686F78"/>
    <w:rsid w:val="00687033"/>
    <w:rsid w:val="0068711E"/>
    <w:rsid w:val="00687154"/>
    <w:rsid w:val="00687280"/>
    <w:rsid w:val="0068747E"/>
    <w:rsid w:val="00687D6F"/>
    <w:rsid w:val="00687EDE"/>
    <w:rsid w:val="006903E5"/>
    <w:rsid w:val="0069050C"/>
    <w:rsid w:val="006909DD"/>
    <w:rsid w:val="00690AAC"/>
    <w:rsid w:val="00690BA8"/>
    <w:rsid w:val="00690D63"/>
    <w:rsid w:val="00690DCE"/>
    <w:rsid w:val="00690F99"/>
    <w:rsid w:val="00691180"/>
    <w:rsid w:val="0069123B"/>
    <w:rsid w:val="00691488"/>
    <w:rsid w:val="0069161E"/>
    <w:rsid w:val="00691B52"/>
    <w:rsid w:val="00691DB8"/>
    <w:rsid w:val="00691DD6"/>
    <w:rsid w:val="00691F12"/>
    <w:rsid w:val="00691F51"/>
    <w:rsid w:val="006924AF"/>
    <w:rsid w:val="00692614"/>
    <w:rsid w:val="0069267B"/>
    <w:rsid w:val="0069287F"/>
    <w:rsid w:val="00693337"/>
    <w:rsid w:val="00693492"/>
    <w:rsid w:val="00693670"/>
    <w:rsid w:val="0069411C"/>
    <w:rsid w:val="00694530"/>
    <w:rsid w:val="006945AB"/>
    <w:rsid w:val="00694656"/>
    <w:rsid w:val="00694870"/>
    <w:rsid w:val="006948F0"/>
    <w:rsid w:val="006949F5"/>
    <w:rsid w:val="00694C5B"/>
    <w:rsid w:val="006950CE"/>
    <w:rsid w:val="0069528E"/>
    <w:rsid w:val="006954D0"/>
    <w:rsid w:val="006955AD"/>
    <w:rsid w:val="006956C8"/>
    <w:rsid w:val="00695A3E"/>
    <w:rsid w:val="00695E9D"/>
    <w:rsid w:val="00695F45"/>
    <w:rsid w:val="00696356"/>
    <w:rsid w:val="006963D2"/>
    <w:rsid w:val="006964E6"/>
    <w:rsid w:val="00696A09"/>
    <w:rsid w:val="00696BA6"/>
    <w:rsid w:val="006973C9"/>
    <w:rsid w:val="0069741D"/>
    <w:rsid w:val="00697C8B"/>
    <w:rsid w:val="00697DEE"/>
    <w:rsid w:val="00697F34"/>
    <w:rsid w:val="006A00E5"/>
    <w:rsid w:val="006A0423"/>
    <w:rsid w:val="006A05FF"/>
    <w:rsid w:val="006A0654"/>
    <w:rsid w:val="006A0689"/>
    <w:rsid w:val="006A0736"/>
    <w:rsid w:val="006A0F9A"/>
    <w:rsid w:val="006A107D"/>
    <w:rsid w:val="006A1489"/>
    <w:rsid w:val="006A14D9"/>
    <w:rsid w:val="006A170C"/>
    <w:rsid w:val="006A18AE"/>
    <w:rsid w:val="006A198D"/>
    <w:rsid w:val="006A1A51"/>
    <w:rsid w:val="006A1D18"/>
    <w:rsid w:val="006A1EA6"/>
    <w:rsid w:val="006A1EBE"/>
    <w:rsid w:val="006A1F4C"/>
    <w:rsid w:val="006A2827"/>
    <w:rsid w:val="006A289A"/>
    <w:rsid w:val="006A2939"/>
    <w:rsid w:val="006A2A2E"/>
    <w:rsid w:val="006A321C"/>
    <w:rsid w:val="006A32D8"/>
    <w:rsid w:val="006A3A01"/>
    <w:rsid w:val="006A40B0"/>
    <w:rsid w:val="006A41EE"/>
    <w:rsid w:val="006A4203"/>
    <w:rsid w:val="006A421E"/>
    <w:rsid w:val="006A49FA"/>
    <w:rsid w:val="006A4C7A"/>
    <w:rsid w:val="006A54E4"/>
    <w:rsid w:val="006A5862"/>
    <w:rsid w:val="006A592A"/>
    <w:rsid w:val="006A5C6D"/>
    <w:rsid w:val="006A5E44"/>
    <w:rsid w:val="006A5EB8"/>
    <w:rsid w:val="006A623A"/>
    <w:rsid w:val="006A6319"/>
    <w:rsid w:val="006A6581"/>
    <w:rsid w:val="006A6666"/>
    <w:rsid w:val="006A6AE0"/>
    <w:rsid w:val="006A6C9E"/>
    <w:rsid w:val="006A6CAA"/>
    <w:rsid w:val="006A6E6D"/>
    <w:rsid w:val="006A6FE1"/>
    <w:rsid w:val="006A7266"/>
    <w:rsid w:val="006A72F6"/>
    <w:rsid w:val="006A7620"/>
    <w:rsid w:val="006A7744"/>
    <w:rsid w:val="006A784A"/>
    <w:rsid w:val="006A798A"/>
    <w:rsid w:val="006A79BB"/>
    <w:rsid w:val="006A7B10"/>
    <w:rsid w:val="006B04B7"/>
    <w:rsid w:val="006B0DB3"/>
    <w:rsid w:val="006B1101"/>
    <w:rsid w:val="006B145E"/>
    <w:rsid w:val="006B157C"/>
    <w:rsid w:val="006B1660"/>
    <w:rsid w:val="006B17B4"/>
    <w:rsid w:val="006B1BC4"/>
    <w:rsid w:val="006B1C0B"/>
    <w:rsid w:val="006B2036"/>
    <w:rsid w:val="006B20E4"/>
    <w:rsid w:val="006B2303"/>
    <w:rsid w:val="006B2464"/>
    <w:rsid w:val="006B282F"/>
    <w:rsid w:val="006B2BDB"/>
    <w:rsid w:val="006B2E75"/>
    <w:rsid w:val="006B2E92"/>
    <w:rsid w:val="006B32A1"/>
    <w:rsid w:val="006B3587"/>
    <w:rsid w:val="006B3B20"/>
    <w:rsid w:val="006B412C"/>
    <w:rsid w:val="006B4518"/>
    <w:rsid w:val="006B45A4"/>
    <w:rsid w:val="006B4970"/>
    <w:rsid w:val="006B4E8D"/>
    <w:rsid w:val="006B4E91"/>
    <w:rsid w:val="006B4EBB"/>
    <w:rsid w:val="006B4F45"/>
    <w:rsid w:val="006B519D"/>
    <w:rsid w:val="006B5427"/>
    <w:rsid w:val="006B55A4"/>
    <w:rsid w:val="006B56CC"/>
    <w:rsid w:val="006B5C2D"/>
    <w:rsid w:val="006B5C72"/>
    <w:rsid w:val="006B5D06"/>
    <w:rsid w:val="006B6168"/>
    <w:rsid w:val="006B618C"/>
    <w:rsid w:val="006B63C3"/>
    <w:rsid w:val="006B643A"/>
    <w:rsid w:val="006B6572"/>
    <w:rsid w:val="006B66DE"/>
    <w:rsid w:val="006B674D"/>
    <w:rsid w:val="006B6C53"/>
    <w:rsid w:val="006B6E27"/>
    <w:rsid w:val="006B6E30"/>
    <w:rsid w:val="006B7489"/>
    <w:rsid w:val="006B776C"/>
    <w:rsid w:val="006B7AAD"/>
    <w:rsid w:val="006B7F1B"/>
    <w:rsid w:val="006C01DD"/>
    <w:rsid w:val="006C043C"/>
    <w:rsid w:val="006C0CA0"/>
    <w:rsid w:val="006C12BF"/>
    <w:rsid w:val="006C163A"/>
    <w:rsid w:val="006C17EF"/>
    <w:rsid w:val="006C1A53"/>
    <w:rsid w:val="006C1D2B"/>
    <w:rsid w:val="006C2112"/>
    <w:rsid w:val="006C226D"/>
    <w:rsid w:val="006C22D3"/>
    <w:rsid w:val="006C27C3"/>
    <w:rsid w:val="006C2BDF"/>
    <w:rsid w:val="006C2F80"/>
    <w:rsid w:val="006C3394"/>
    <w:rsid w:val="006C36F3"/>
    <w:rsid w:val="006C3756"/>
    <w:rsid w:val="006C4044"/>
    <w:rsid w:val="006C4153"/>
    <w:rsid w:val="006C42A0"/>
    <w:rsid w:val="006C465B"/>
    <w:rsid w:val="006C4D94"/>
    <w:rsid w:val="006C5395"/>
    <w:rsid w:val="006C564B"/>
    <w:rsid w:val="006C5B5C"/>
    <w:rsid w:val="006C64D2"/>
    <w:rsid w:val="006C66C8"/>
    <w:rsid w:val="006C67DF"/>
    <w:rsid w:val="006C687C"/>
    <w:rsid w:val="006C6A78"/>
    <w:rsid w:val="006C6AA2"/>
    <w:rsid w:val="006C7222"/>
    <w:rsid w:val="006C7CD7"/>
    <w:rsid w:val="006C7E78"/>
    <w:rsid w:val="006C7EB3"/>
    <w:rsid w:val="006D0009"/>
    <w:rsid w:val="006D031F"/>
    <w:rsid w:val="006D0736"/>
    <w:rsid w:val="006D0767"/>
    <w:rsid w:val="006D0AD0"/>
    <w:rsid w:val="006D10E5"/>
    <w:rsid w:val="006D11CF"/>
    <w:rsid w:val="006D124A"/>
    <w:rsid w:val="006D1318"/>
    <w:rsid w:val="006D1327"/>
    <w:rsid w:val="006D14B1"/>
    <w:rsid w:val="006D157C"/>
    <w:rsid w:val="006D17B4"/>
    <w:rsid w:val="006D1A4F"/>
    <w:rsid w:val="006D1CFA"/>
    <w:rsid w:val="006D21D4"/>
    <w:rsid w:val="006D22F2"/>
    <w:rsid w:val="006D23A1"/>
    <w:rsid w:val="006D2527"/>
    <w:rsid w:val="006D294F"/>
    <w:rsid w:val="006D2C9A"/>
    <w:rsid w:val="006D2F48"/>
    <w:rsid w:val="006D2FEE"/>
    <w:rsid w:val="006D3301"/>
    <w:rsid w:val="006D3458"/>
    <w:rsid w:val="006D350B"/>
    <w:rsid w:val="006D389B"/>
    <w:rsid w:val="006D3FEA"/>
    <w:rsid w:val="006D479A"/>
    <w:rsid w:val="006D4DE8"/>
    <w:rsid w:val="006D503E"/>
    <w:rsid w:val="006D5056"/>
    <w:rsid w:val="006D5087"/>
    <w:rsid w:val="006D5459"/>
    <w:rsid w:val="006D5645"/>
    <w:rsid w:val="006D565B"/>
    <w:rsid w:val="006D5892"/>
    <w:rsid w:val="006D5935"/>
    <w:rsid w:val="006D5BFE"/>
    <w:rsid w:val="006D5C9F"/>
    <w:rsid w:val="006D5E0E"/>
    <w:rsid w:val="006D5FDE"/>
    <w:rsid w:val="006D65DA"/>
    <w:rsid w:val="006D65F4"/>
    <w:rsid w:val="006D684F"/>
    <w:rsid w:val="006D686C"/>
    <w:rsid w:val="006D6B96"/>
    <w:rsid w:val="006D70CA"/>
    <w:rsid w:val="006D7246"/>
    <w:rsid w:val="006D72C2"/>
    <w:rsid w:val="006D73C8"/>
    <w:rsid w:val="006D73DF"/>
    <w:rsid w:val="006D747F"/>
    <w:rsid w:val="006D7B48"/>
    <w:rsid w:val="006D7C3B"/>
    <w:rsid w:val="006D7CB8"/>
    <w:rsid w:val="006D7D34"/>
    <w:rsid w:val="006D7DE8"/>
    <w:rsid w:val="006D7ED0"/>
    <w:rsid w:val="006E002A"/>
    <w:rsid w:val="006E022B"/>
    <w:rsid w:val="006E0C9B"/>
    <w:rsid w:val="006E0CE7"/>
    <w:rsid w:val="006E0CEF"/>
    <w:rsid w:val="006E113D"/>
    <w:rsid w:val="006E1396"/>
    <w:rsid w:val="006E1487"/>
    <w:rsid w:val="006E19EF"/>
    <w:rsid w:val="006E1D9E"/>
    <w:rsid w:val="006E2171"/>
    <w:rsid w:val="006E2199"/>
    <w:rsid w:val="006E227B"/>
    <w:rsid w:val="006E234F"/>
    <w:rsid w:val="006E2441"/>
    <w:rsid w:val="006E2788"/>
    <w:rsid w:val="006E2826"/>
    <w:rsid w:val="006E296F"/>
    <w:rsid w:val="006E2986"/>
    <w:rsid w:val="006E2B07"/>
    <w:rsid w:val="006E2C1E"/>
    <w:rsid w:val="006E2C49"/>
    <w:rsid w:val="006E2D38"/>
    <w:rsid w:val="006E3769"/>
    <w:rsid w:val="006E398B"/>
    <w:rsid w:val="006E3AA3"/>
    <w:rsid w:val="006E3FAA"/>
    <w:rsid w:val="006E4007"/>
    <w:rsid w:val="006E44E8"/>
    <w:rsid w:val="006E4799"/>
    <w:rsid w:val="006E4BBB"/>
    <w:rsid w:val="006E4D1E"/>
    <w:rsid w:val="006E5532"/>
    <w:rsid w:val="006E6060"/>
    <w:rsid w:val="006E6674"/>
    <w:rsid w:val="006E6736"/>
    <w:rsid w:val="006E6795"/>
    <w:rsid w:val="006E6B00"/>
    <w:rsid w:val="006E6D69"/>
    <w:rsid w:val="006E6E7D"/>
    <w:rsid w:val="006E7171"/>
    <w:rsid w:val="006E7732"/>
    <w:rsid w:val="006E7769"/>
    <w:rsid w:val="006E7CD5"/>
    <w:rsid w:val="006E7F02"/>
    <w:rsid w:val="006F0A43"/>
    <w:rsid w:val="006F0A89"/>
    <w:rsid w:val="006F0E0B"/>
    <w:rsid w:val="006F10F7"/>
    <w:rsid w:val="006F1102"/>
    <w:rsid w:val="006F13B9"/>
    <w:rsid w:val="006F16E9"/>
    <w:rsid w:val="006F1B57"/>
    <w:rsid w:val="006F1B76"/>
    <w:rsid w:val="006F1F39"/>
    <w:rsid w:val="006F20BA"/>
    <w:rsid w:val="006F2109"/>
    <w:rsid w:val="006F21BB"/>
    <w:rsid w:val="006F26D4"/>
    <w:rsid w:val="006F2CB1"/>
    <w:rsid w:val="006F2D52"/>
    <w:rsid w:val="006F2EA7"/>
    <w:rsid w:val="006F3776"/>
    <w:rsid w:val="006F3808"/>
    <w:rsid w:val="006F38EB"/>
    <w:rsid w:val="006F3B6B"/>
    <w:rsid w:val="006F3C4A"/>
    <w:rsid w:val="006F3CD2"/>
    <w:rsid w:val="006F3D4B"/>
    <w:rsid w:val="006F4177"/>
    <w:rsid w:val="006F4A6F"/>
    <w:rsid w:val="006F4B36"/>
    <w:rsid w:val="006F4B62"/>
    <w:rsid w:val="006F4CAF"/>
    <w:rsid w:val="006F541C"/>
    <w:rsid w:val="006F551B"/>
    <w:rsid w:val="006F55C1"/>
    <w:rsid w:val="006F5A3D"/>
    <w:rsid w:val="006F5D79"/>
    <w:rsid w:val="006F61DD"/>
    <w:rsid w:val="006F6466"/>
    <w:rsid w:val="006F6CD2"/>
    <w:rsid w:val="006F6F96"/>
    <w:rsid w:val="006F70F0"/>
    <w:rsid w:val="006F7214"/>
    <w:rsid w:val="006F7336"/>
    <w:rsid w:val="006F7405"/>
    <w:rsid w:val="006F7786"/>
    <w:rsid w:val="006F7843"/>
    <w:rsid w:val="006F7846"/>
    <w:rsid w:val="006F7937"/>
    <w:rsid w:val="006F79BE"/>
    <w:rsid w:val="006F7BF6"/>
    <w:rsid w:val="00700023"/>
    <w:rsid w:val="007000C7"/>
    <w:rsid w:val="007001BB"/>
    <w:rsid w:val="00700565"/>
    <w:rsid w:val="007005AD"/>
    <w:rsid w:val="0070073F"/>
    <w:rsid w:val="007009C8"/>
    <w:rsid w:val="00700ADB"/>
    <w:rsid w:val="00700C2C"/>
    <w:rsid w:val="00700CDE"/>
    <w:rsid w:val="00700D5D"/>
    <w:rsid w:val="007012DD"/>
    <w:rsid w:val="00701748"/>
    <w:rsid w:val="00701F2B"/>
    <w:rsid w:val="00701FA5"/>
    <w:rsid w:val="00702669"/>
    <w:rsid w:val="00702A68"/>
    <w:rsid w:val="00702DFF"/>
    <w:rsid w:val="00703077"/>
    <w:rsid w:val="007031C2"/>
    <w:rsid w:val="007034F8"/>
    <w:rsid w:val="007035E0"/>
    <w:rsid w:val="00703703"/>
    <w:rsid w:val="00703A45"/>
    <w:rsid w:val="00703AC7"/>
    <w:rsid w:val="00703B2E"/>
    <w:rsid w:val="00703E79"/>
    <w:rsid w:val="007040EC"/>
    <w:rsid w:val="007049BA"/>
    <w:rsid w:val="00704C9F"/>
    <w:rsid w:val="00704CDA"/>
    <w:rsid w:val="007052A3"/>
    <w:rsid w:val="007052EB"/>
    <w:rsid w:val="0070563C"/>
    <w:rsid w:val="007058BD"/>
    <w:rsid w:val="00705B5D"/>
    <w:rsid w:val="00705C56"/>
    <w:rsid w:val="0070637C"/>
    <w:rsid w:val="007066E5"/>
    <w:rsid w:val="00706ACB"/>
    <w:rsid w:val="00706B28"/>
    <w:rsid w:val="00706BF2"/>
    <w:rsid w:val="00706C55"/>
    <w:rsid w:val="007070CE"/>
    <w:rsid w:val="007073BE"/>
    <w:rsid w:val="007074EB"/>
    <w:rsid w:val="00707ABE"/>
    <w:rsid w:val="00707FE6"/>
    <w:rsid w:val="00707FF3"/>
    <w:rsid w:val="007102E6"/>
    <w:rsid w:val="0071040E"/>
    <w:rsid w:val="00710718"/>
    <w:rsid w:val="00710B64"/>
    <w:rsid w:val="00710BAB"/>
    <w:rsid w:val="00710E31"/>
    <w:rsid w:val="0071108B"/>
    <w:rsid w:val="007117C1"/>
    <w:rsid w:val="00711AD9"/>
    <w:rsid w:val="00711BD1"/>
    <w:rsid w:val="00711F69"/>
    <w:rsid w:val="0071279E"/>
    <w:rsid w:val="007129E4"/>
    <w:rsid w:val="00712E97"/>
    <w:rsid w:val="00712F1F"/>
    <w:rsid w:val="00712FB2"/>
    <w:rsid w:val="0071320C"/>
    <w:rsid w:val="00713333"/>
    <w:rsid w:val="0071359C"/>
    <w:rsid w:val="00713643"/>
    <w:rsid w:val="007138A6"/>
    <w:rsid w:val="00713936"/>
    <w:rsid w:val="00713EC2"/>
    <w:rsid w:val="00714342"/>
    <w:rsid w:val="00714A72"/>
    <w:rsid w:val="00714BBA"/>
    <w:rsid w:val="0071566F"/>
    <w:rsid w:val="00715A8B"/>
    <w:rsid w:val="00715C4A"/>
    <w:rsid w:val="00715C7B"/>
    <w:rsid w:val="007160F3"/>
    <w:rsid w:val="00716406"/>
    <w:rsid w:val="00716597"/>
    <w:rsid w:val="00716677"/>
    <w:rsid w:val="0071677A"/>
    <w:rsid w:val="007167F0"/>
    <w:rsid w:val="00716FDE"/>
    <w:rsid w:val="00717602"/>
    <w:rsid w:val="007176A4"/>
    <w:rsid w:val="007176B7"/>
    <w:rsid w:val="007179E3"/>
    <w:rsid w:val="00717C2D"/>
    <w:rsid w:val="00717DE5"/>
    <w:rsid w:val="00717E91"/>
    <w:rsid w:val="00720324"/>
    <w:rsid w:val="007209A8"/>
    <w:rsid w:val="00720E12"/>
    <w:rsid w:val="00720E32"/>
    <w:rsid w:val="00721118"/>
    <w:rsid w:val="00721AB2"/>
    <w:rsid w:val="00721BC8"/>
    <w:rsid w:val="00721CFB"/>
    <w:rsid w:val="00721E23"/>
    <w:rsid w:val="00722076"/>
    <w:rsid w:val="007226FC"/>
    <w:rsid w:val="00722770"/>
    <w:rsid w:val="00722BBA"/>
    <w:rsid w:val="00722CFF"/>
    <w:rsid w:val="00722D30"/>
    <w:rsid w:val="0072309B"/>
    <w:rsid w:val="0072309E"/>
    <w:rsid w:val="00723173"/>
    <w:rsid w:val="00723B5A"/>
    <w:rsid w:val="0072419E"/>
    <w:rsid w:val="00724537"/>
    <w:rsid w:val="00724762"/>
    <w:rsid w:val="00724880"/>
    <w:rsid w:val="007249BD"/>
    <w:rsid w:val="007249CB"/>
    <w:rsid w:val="00724CFD"/>
    <w:rsid w:val="00724D75"/>
    <w:rsid w:val="00725614"/>
    <w:rsid w:val="00725CC4"/>
    <w:rsid w:val="00725DDC"/>
    <w:rsid w:val="00726041"/>
    <w:rsid w:val="007260DB"/>
    <w:rsid w:val="007265DD"/>
    <w:rsid w:val="00726606"/>
    <w:rsid w:val="0072684E"/>
    <w:rsid w:val="007268D2"/>
    <w:rsid w:val="0072735E"/>
    <w:rsid w:val="00727914"/>
    <w:rsid w:val="00727A43"/>
    <w:rsid w:val="00727AB8"/>
    <w:rsid w:val="00727B52"/>
    <w:rsid w:val="00727BBC"/>
    <w:rsid w:val="00727BF2"/>
    <w:rsid w:val="00727DF4"/>
    <w:rsid w:val="00727FE6"/>
    <w:rsid w:val="0073002D"/>
    <w:rsid w:val="00730469"/>
    <w:rsid w:val="0073073F"/>
    <w:rsid w:val="00730927"/>
    <w:rsid w:val="00730A64"/>
    <w:rsid w:val="00730AD5"/>
    <w:rsid w:val="00730F5C"/>
    <w:rsid w:val="007310F1"/>
    <w:rsid w:val="007312A7"/>
    <w:rsid w:val="00731334"/>
    <w:rsid w:val="00731702"/>
    <w:rsid w:val="00731794"/>
    <w:rsid w:val="007317BF"/>
    <w:rsid w:val="00731E98"/>
    <w:rsid w:val="00731ED4"/>
    <w:rsid w:val="0073200E"/>
    <w:rsid w:val="0073205B"/>
    <w:rsid w:val="00732422"/>
    <w:rsid w:val="0073247F"/>
    <w:rsid w:val="007324EE"/>
    <w:rsid w:val="00732CCE"/>
    <w:rsid w:val="00732F14"/>
    <w:rsid w:val="00733006"/>
    <w:rsid w:val="00733097"/>
    <w:rsid w:val="00733169"/>
    <w:rsid w:val="007334C0"/>
    <w:rsid w:val="007334CA"/>
    <w:rsid w:val="007336CA"/>
    <w:rsid w:val="0073371D"/>
    <w:rsid w:val="00733831"/>
    <w:rsid w:val="007338CE"/>
    <w:rsid w:val="00733C5A"/>
    <w:rsid w:val="00733FB7"/>
    <w:rsid w:val="007340AF"/>
    <w:rsid w:val="0073414E"/>
    <w:rsid w:val="007342D4"/>
    <w:rsid w:val="00734776"/>
    <w:rsid w:val="0073477C"/>
    <w:rsid w:val="00734C99"/>
    <w:rsid w:val="00734DA5"/>
    <w:rsid w:val="007354F3"/>
    <w:rsid w:val="00735626"/>
    <w:rsid w:val="0073570D"/>
    <w:rsid w:val="0073577F"/>
    <w:rsid w:val="00735A50"/>
    <w:rsid w:val="00735CF0"/>
    <w:rsid w:val="00735EA8"/>
    <w:rsid w:val="00735EC5"/>
    <w:rsid w:val="007360FC"/>
    <w:rsid w:val="0073681E"/>
    <w:rsid w:val="00736978"/>
    <w:rsid w:val="0073698C"/>
    <w:rsid w:val="00736C41"/>
    <w:rsid w:val="0073705B"/>
    <w:rsid w:val="007372DB"/>
    <w:rsid w:val="00737468"/>
    <w:rsid w:val="00737A10"/>
    <w:rsid w:val="00737BB2"/>
    <w:rsid w:val="007401F4"/>
    <w:rsid w:val="0074028F"/>
    <w:rsid w:val="0074043C"/>
    <w:rsid w:val="0074057D"/>
    <w:rsid w:val="0074068D"/>
    <w:rsid w:val="00740923"/>
    <w:rsid w:val="00740ACF"/>
    <w:rsid w:val="00740AFF"/>
    <w:rsid w:val="00740C55"/>
    <w:rsid w:val="00741002"/>
    <w:rsid w:val="0074100F"/>
    <w:rsid w:val="007411BB"/>
    <w:rsid w:val="007416FE"/>
    <w:rsid w:val="00741758"/>
    <w:rsid w:val="007418E8"/>
    <w:rsid w:val="00741B61"/>
    <w:rsid w:val="00741BCC"/>
    <w:rsid w:val="0074213D"/>
    <w:rsid w:val="0074214E"/>
    <w:rsid w:val="00742447"/>
    <w:rsid w:val="007424B9"/>
    <w:rsid w:val="007428A2"/>
    <w:rsid w:val="00742DA3"/>
    <w:rsid w:val="00742DEE"/>
    <w:rsid w:val="0074347E"/>
    <w:rsid w:val="00743BCD"/>
    <w:rsid w:val="00743E9D"/>
    <w:rsid w:val="007441FA"/>
    <w:rsid w:val="007442BD"/>
    <w:rsid w:val="007443CE"/>
    <w:rsid w:val="0074446D"/>
    <w:rsid w:val="00744543"/>
    <w:rsid w:val="00744FDB"/>
    <w:rsid w:val="00745036"/>
    <w:rsid w:val="0074574A"/>
    <w:rsid w:val="00745901"/>
    <w:rsid w:val="00745C01"/>
    <w:rsid w:val="00745DFE"/>
    <w:rsid w:val="0074608B"/>
    <w:rsid w:val="007462A3"/>
    <w:rsid w:val="00746935"/>
    <w:rsid w:val="00746B4F"/>
    <w:rsid w:val="0074726C"/>
    <w:rsid w:val="0074742C"/>
    <w:rsid w:val="00747463"/>
    <w:rsid w:val="00747CC4"/>
    <w:rsid w:val="00747FE2"/>
    <w:rsid w:val="007500B2"/>
    <w:rsid w:val="00750336"/>
    <w:rsid w:val="00750383"/>
    <w:rsid w:val="007506C2"/>
    <w:rsid w:val="007506F5"/>
    <w:rsid w:val="00750A60"/>
    <w:rsid w:val="00750ABD"/>
    <w:rsid w:val="00750CA3"/>
    <w:rsid w:val="00750D4E"/>
    <w:rsid w:val="00751229"/>
    <w:rsid w:val="00751520"/>
    <w:rsid w:val="00751917"/>
    <w:rsid w:val="00751B95"/>
    <w:rsid w:val="00751C15"/>
    <w:rsid w:val="00751D6B"/>
    <w:rsid w:val="00751D73"/>
    <w:rsid w:val="00751F1A"/>
    <w:rsid w:val="00752145"/>
    <w:rsid w:val="007528AF"/>
    <w:rsid w:val="00752DCD"/>
    <w:rsid w:val="007530E1"/>
    <w:rsid w:val="00753829"/>
    <w:rsid w:val="007538BC"/>
    <w:rsid w:val="00753B86"/>
    <w:rsid w:val="00753CD0"/>
    <w:rsid w:val="00754304"/>
    <w:rsid w:val="00754384"/>
    <w:rsid w:val="00754CA2"/>
    <w:rsid w:val="00754D23"/>
    <w:rsid w:val="00754E0E"/>
    <w:rsid w:val="00755187"/>
    <w:rsid w:val="0075557B"/>
    <w:rsid w:val="00755B6E"/>
    <w:rsid w:val="00755C13"/>
    <w:rsid w:val="00755D86"/>
    <w:rsid w:val="007560E4"/>
    <w:rsid w:val="00756260"/>
    <w:rsid w:val="0075696B"/>
    <w:rsid w:val="00756B4B"/>
    <w:rsid w:val="00756D3C"/>
    <w:rsid w:val="007570A9"/>
    <w:rsid w:val="007573A6"/>
    <w:rsid w:val="00757821"/>
    <w:rsid w:val="007578B2"/>
    <w:rsid w:val="007579E8"/>
    <w:rsid w:val="00757C1C"/>
    <w:rsid w:val="00757CA7"/>
    <w:rsid w:val="00757E79"/>
    <w:rsid w:val="007600E1"/>
    <w:rsid w:val="00760804"/>
    <w:rsid w:val="0076083C"/>
    <w:rsid w:val="00760F4C"/>
    <w:rsid w:val="00761041"/>
    <w:rsid w:val="007615D9"/>
    <w:rsid w:val="00761FC3"/>
    <w:rsid w:val="0076222C"/>
    <w:rsid w:val="00762377"/>
    <w:rsid w:val="00762506"/>
    <w:rsid w:val="007627DA"/>
    <w:rsid w:val="00762995"/>
    <w:rsid w:val="00762BDC"/>
    <w:rsid w:val="00762BF0"/>
    <w:rsid w:val="0076312B"/>
    <w:rsid w:val="0076349D"/>
    <w:rsid w:val="007637DC"/>
    <w:rsid w:val="00763983"/>
    <w:rsid w:val="00763BAC"/>
    <w:rsid w:val="00763EB0"/>
    <w:rsid w:val="00763FBC"/>
    <w:rsid w:val="00764196"/>
    <w:rsid w:val="00764382"/>
    <w:rsid w:val="00764579"/>
    <w:rsid w:val="007647F1"/>
    <w:rsid w:val="00764D46"/>
    <w:rsid w:val="00765441"/>
    <w:rsid w:val="0076544D"/>
    <w:rsid w:val="00765561"/>
    <w:rsid w:val="0076566A"/>
    <w:rsid w:val="00765D96"/>
    <w:rsid w:val="0076628A"/>
    <w:rsid w:val="007667DC"/>
    <w:rsid w:val="00766A4E"/>
    <w:rsid w:val="00766A69"/>
    <w:rsid w:val="00766A82"/>
    <w:rsid w:val="00767209"/>
    <w:rsid w:val="00767347"/>
    <w:rsid w:val="007673F7"/>
    <w:rsid w:val="00767C1E"/>
    <w:rsid w:val="00767D03"/>
    <w:rsid w:val="00770203"/>
    <w:rsid w:val="00770367"/>
    <w:rsid w:val="00770485"/>
    <w:rsid w:val="00770A84"/>
    <w:rsid w:val="00770DFA"/>
    <w:rsid w:val="00770E43"/>
    <w:rsid w:val="00771240"/>
    <w:rsid w:val="0077150F"/>
    <w:rsid w:val="007717E7"/>
    <w:rsid w:val="0077251C"/>
    <w:rsid w:val="007726C9"/>
    <w:rsid w:val="00772C8B"/>
    <w:rsid w:val="007732F1"/>
    <w:rsid w:val="00773898"/>
    <w:rsid w:val="00773DA0"/>
    <w:rsid w:val="00773E92"/>
    <w:rsid w:val="007744C8"/>
    <w:rsid w:val="0077460B"/>
    <w:rsid w:val="007749D4"/>
    <w:rsid w:val="007754AB"/>
    <w:rsid w:val="007754AC"/>
    <w:rsid w:val="0077552D"/>
    <w:rsid w:val="007758E9"/>
    <w:rsid w:val="00776094"/>
    <w:rsid w:val="00776415"/>
    <w:rsid w:val="00776A82"/>
    <w:rsid w:val="00776FAF"/>
    <w:rsid w:val="0077716A"/>
    <w:rsid w:val="007771B6"/>
    <w:rsid w:val="00777B44"/>
    <w:rsid w:val="00777BA0"/>
    <w:rsid w:val="00777BFD"/>
    <w:rsid w:val="00777C8E"/>
    <w:rsid w:val="00777FEC"/>
    <w:rsid w:val="007805B1"/>
    <w:rsid w:val="00780665"/>
    <w:rsid w:val="00780721"/>
    <w:rsid w:val="00780BCD"/>
    <w:rsid w:val="007811A6"/>
    <w:rsid w:val="00781464"/>
    <w:rsid w:val="00781521"/>
    <w:rsid w:val="007818D5"/>
    <w:rsid w:val="00781B37"/>
    <w:rsid w:val="00781DD5"/>
    <w:rsid w:val="00781F6C"/>
    <w:rsid w:val="0078207C"/>
    <w:rsid w:val="007823A0"/>
    <w:rsid w:val="0078269C"/>
    <w:rsid w:val="00783681"/>
    <w:rsid w:val="007840DD"/>
    <w:rsid w:val="00784425"/>
    <w:rsid w:val="007846C3"/>
    <w:rsid w:val="007847B6"/>
    <w:rsid w:val="00784B37"/>
    <w:rsid w:val="00784BE3"/>
    <w:rsid w:val="0078518E"/>
    <w:rsid w:val="007853A9"/>
    <w:rsid w:val="007853D7"/>
    <w:rsid w:val="0078557A"/>
    <w:rsid w:val="007855FC"/>
    <w:rsid w:val="00785694"/>
    <w:rsid w:val="007857EF"/>
    <w:rsid w:val="007859E2"/>
    <w:rsid w:val="00785A11"/>
    <w:rsid w:val="00785D5D"/>
    <w:rsid w:val="007864B0"/>
    <w:rsid w:val="007866BF"/>
    <w:rsid w:val="007869D4"/>
    <w:rsid w:val="00786E4F"/>
    <w:rsid w:val="00786EFE"/>
    <w:rsid w:val="007876A5"/>
    <w:rsid w:val="00787B22"/>
    <w:rsid w:val="00787CB0"/>
    <w:rsid w:val="00787F4C"/>
    <w:rsid w:val="00790410"/>
    <w:rsid w:val="007904CA"/>
    <w:rsid w:val="0079050D"/>
    <w:rsid w:val="007905D6"/>
    <w:rsid w:val="00790734"/>
    <w:rsid w:val="007908AE"/>
    <w:rsid w:val="0079094B"/>
    <w:rsid w:val="0079099F"/>
    <w:rsid w:val="00790C4B"/>
    <w:rsid w:val="00790C9B"/>
    <w:rsid w:val="00790E31"/>
    <w:rsid w:val="00790EFA"/>
    <w:rsid w:val="0079100F"/>
    <w:rsid w:val="00791201"/>
    <w:rsid w:val="00791327"/>
    <w:rsid w:val="00791397"/>
    <w:rsid w:val="00791905"/>
    <w:rsid w:val="00791B06"/>
    <w:rsid w:val="00792787"/>
    <w:rsid w:val="007936C9"/>
    <w:rsid w:val="00793C68"/>
    <w:rsid w:val="00793D16"/>
    <w:rsid w:val="00793D5D"/>
    <w:rsid w:val="00793ED4"/>
    <w:rsid w:val="00794072"/>
    <w:rsid w:val="007942A3"/>
    <w:rsid w:val="00794374"/>
    <w:rsid w:val="007945CF"/>
    <w:rsid w:val="0079461E"/>
    <w:rsid w:val="007947BE"/>
    <w:rsid w:val="00794D6B"/>
    <w:rsid w:val="00794E56"/>
    <w:rsid w:val="00795008"/>
    <w:rsid w:val="0079505E"/>
    <w:rsid w:val="0079520E"/>
    <w:rsid w:val="00795223"/>
    <w:rsid w:val="007952E7"/>
    <w:rsid w:val="00795534"/>
    <w:rsid w:val="007956B6"/>
    <w:rsid w:val="00795884"/>
    <w:rsid w:val="00795C2C"/>
    <w:rsid w:val="00795C87"/>
    <w:rsid w:val="00795DF5"/>
    <w:rsid w:val="007964AB"/>
    <w:rsid w:val="00796BAE"/>
    <w:rsid w:val="00796D4C"/>
    <w:rsid w:val="00796EE7"/>
    <w:rsid w:val="00797091"/>
    <w:rsid w:val="0079753E"/>
    <w:rsid w:val="007976C7"/>
    <w:rsid w:val="00797812"/>
    <w:rsid w:val="0079782F"/>
    <w:rsid w:val="0079796E"/>
    <w:rsid w:val="00797A18"/>
    <w:rsid w:val="00797C46"/>
    <w:rsid w:val="00797E06"/>
    <w:rsid w:val="007A0037"/>
    <w:rsid w:val="007A0352"/>
    <w:rsid w:val="007A0722"/>
    <w:rsid w:val="007A087F"/>
    <w:rsid w:val="007A0B84"/>
    <w:rsid w:val="007A1162"/>
    <w:rsid w:val="007A1527"/>
    <w:rsid w:val="007A159A"/>
    <w:rsid w:val="007A16E1"/>
    <w:rsid w:val="007A1B92"/>
    <w:rsid w:val="007A1CD6"/>
    <w:rsid w:val="007A1D8F"/>
    <w:rsid w:val="007A1E18"/>
    <w:rsid w:val="007A2000"/>
    <w:rsid w:val="007A215C"/>
    <w:rsid w:val="007A2457"/>
    <w:rsid w:val="007A29E1"/>
    <w:rsid w:val="007A2B61"/>
    <w:rsid w:val="007A2D27"/>
    <w:rsid w:val="007A30B2"/>
    <w:rsid w:val="007A3171"/>
    <w:rsid w:val="007A350A"/>
    <w:rsid w:val="007A3E88"/>
    <w:rsid w:val="007A4218"/>
    <w:rsid w:val="007A425F"/>
    <w:rsid w:val="007A446F"/>
    <w:rsid w:val="007A4B72"/>
    <w:rsid w:val="007A4ED0"/>
    <w:rsid w:val="007A5273"/>
    <w:rsid w:val="007A5420"/>
    <w:rsid w:val="007A55BD"/>
    <w:rsid w:val="007A5737"/>
    <w:rsid w:val="007A5B70"/>
    <w:rsid w:val="007A5CFA"/>
    <w:rsid w:val="007A5EF0"/>
    <w:rsid w:val="007A626F"/>
    <w:rsid w:val="007A65CC"/>
    <w:rsid w:val="007A6A27"/>
    <w:rsid w:val="007A72A1"/>
    <w:rsid w:val="007A736A"/>
    <w:rsid w:val="007A7ABE"/>
    <w:rsid w:val="007A7DCF"/>
    <w:rsid w:val="007B01C6"/>
    <w:rsid w:val="007B021E"/>
    <w:rsid w:val="007B0457"/>
    <w:rsid w:val="007B0529"/>
    <w:rsid w:val="007B0B93"/>
    <w:rsid w:val="007B0BAA"/>
    <w:rsid w:val="007B1661"/>
    <w:rsid w:val="007B170C"/>
    <w:rsid w:val="007B1C73"/>
    <w:rsid w:val="007B208E"/>
    <w:rsid w:val="007B22D8"/>
    <w:rsid w:val="007B23AA"/>
    <w:rsid w:val="007B2533"/>
    <w:rsid w:val="007B2550"/>
    <w:rsid w:val="007B284E"/>
    <w:rsid w:val="007B2DB9"/>
    <w:rsid w:val="007B2F8E"/>
    <w:rsid w:val="007B2FC8"/>
    <w:rsid w:val="007B3101"/>
    <w:rsid w:val="007B3167"/>
    <w:rsid w:val="007B3303"/>
    <w:rsid w:val="007B3472"/>
    <w:rsid w:val="007B3C2B"/>
    <w:rsid w:val="007B3DE4"/>
    <w:rsid w:val="007B404A"/>
    <w:rsid w:val="007B40F9"/>
    <w:rsid w:val="007B4904"/>
    <w:rsid w:val="007B4ADC"/>
    <w:rsid w:val="007B5141"/>
    <w:rsid w:val="007B5269"/>
    <w:rsid w:val="007B557B"/>
    <w:rsid w:val="007B5A18"/>
    <w:rsid w:val="007B6413"/>
    <w:rsid w:val="007B644A"/>
    <w:rsid w:val="007B6BA3"/>
    <w:rsid w:val="007B6C77"/>
    <w:rsid w:val="007B72BA"/>
    <w:rsid w:val="007B7356"/>
    <w:rsid w:val="007B7AE4"/>
    <w:rsid w:val="007B7E0A"/>
    <w:rsid w:val="007B7FF2"/>
    <w:rsid w:val="007C0048"/>
    <w:rsid w:val="007C01CF"/>
    <w:rsid w:val="007C0474"/>
    <w:rsid w:val="007C117D"/>
    <w:rsid w:val="007C123A"/>
    <w:rsid w:val="007C1687"/>
    <w:rsid w:val="007C195C"/>
    <w:rsid w:val="007C1D1F"/>
    <w:rsid w:val="007C1D50"/>
    <w:rsid w:val="007C1ED3"/>
    <w:rsid w:val="007C20A1"/>
    <w:rsid w:val="007C2371"/>
    <w:rsid w:val="007C23E5"/>
    <w:rsid w:val="007C25A1"/>
    <w:rsid w:val="007C299E"/>
    <w:rsid w:val="007C2E93"/>
    <w:rsid w:val="007C2EEB"/>
    <w:rsid w:val="007C3045"/>
    <w:rsid w:val="007C3160"/>
    <w:rsid w:val="007C361A"/>
    <w:rsid w:val="007C3A64"/>
    <w:rsid w:val="007C3EF1"/>
    <w:rsid w:val="007C3F93"/>
    <w:rsid w:val="007C3FAF"/>
    <w:rsid w:val="007C4074"/>
    <w:rsid w:val="007C42BD"/>
    <w:rsid w:val="007C4836"/>
    <w:rsid w:val="007C4A24"/>
    <w:rsid w:val="007C4AEE"/>
    <w:rsid w:val="007C4CCF"/>
    <w:rsid w:val="007C4F33"/>
    <w:rsid w:val="007C54E2"/>
    <w:rsid w:val="007C5851"/>
    <w:rsid w:val="007C598D"/>
    <w:rsid w:val="007C5DDF"/>
    <w:rsid w:val="007C6022"/>
    <w:rsid w:val="007C6238"/>
    <w:rsid w:val="007C64CB"/>
    <w:rsid w:val="007C67DA"/>
    <w:rsid w:val="007C6A36"/>
    <w:rsid w:val="007C6B6C"/>
    <w:rsid w:val="007C6D52"/>
    <w:rsid w:val="007C6D6C"/>
    <w:rsid w:val="007C6F30"/>
    <w:rsid w:val="007C7006"/>
    <w:rsid w:val="007C75E4"/>
    <w:rsid w:val="007C7729"/>
    <w:rsid w:val="007C7CA7"/>
    <w:rsid w:val="007D000B"/>
    <w:rsid w:val="007D02C5"/>
    <w:rsid w:val="007D0392"/>
    <w:rsid w:val="007D0657"/>
    <w:rsid w:val="007D06BE"/>
    <w:rsid w:val="007D07F1"/>
    <w:rsid w:val="007D14DA"/>
    <w:rsid w:val="007D15BA"/>
    <w:rsid w:val="007D1B5B"/>
    <w:rsid w:val="007D1C5D"/>
    <w:rsid w:val="007D1E77"/>
    <w:rsid w:val="007D1ED5"/>
    <w:rsid w:val="007D1F6D"/>
    <w:rsid w:val="007D208C"/>
    <w:rsid w:val="007D2232"/>
    <w:rsid w:val="007D246F"/>
    <w:rsid w:val="007D2501"/>
    <w:rsid w:val="007D252F"/>
    <w:rsid w:val="007D2546"/>
    <w:rsid w:val="007D299F"/>
    <w:rsid w:val="007D2AB0"/>
    <w:rsid w:val="007D2C76"/>
    <w:rsid w:val="007D2D26"/>
    <w:rsid w:val="007D2D3E"/>
    <w:rsid w:val="007D2E52"/>
    <w:rsid w:val="007D3231"/>
    <w:rsid w:val="007D34D1"/>
    <w:rsid w:val="007D3512"/>
    <w:rsid w:val="007D36EF"/>
    <w:rsid w:val="007D3715"/>
    <w:rsid w:val="007D39A6"/>
    <w:rsid w:val="007D39B3"/>
    <w:rsid w:val="007D39DB"/>
    <w:rsid w:val="007D4027"/>
    <w:rsid w:val="007D41D9"/>
    <w:rsid w:val="007D42E8"/>
    <w:rsid w:val="007D4761"/>
    <w:rsid w:val="007D4B27"/>
    <w:rsid w:val="007D4ECC"/>
    <w:rsid w:val="007D560B"/>
    <w:rsid w:val="007D5BBC"/>
    <w:rsid w:val="007D63B3"/>
    <w:rsid w:val="007D64ED"/>
    <w:rsid w:val="007D64FB"/>
    <w:rsid w:val="007D6532"/>
    <w:rsid w:val="007D6581"/>
    <w:rsid w:val="007D72C4"/>
    <w:rsid w:val="007D7325"/>
    <w:rsid w:val="007D74BB"/>
    <w:rsid w:val="007D7522"/>
    <w:rsid w:val="007D76B1"/>
    <w:rsid w:val="007D76ED"/>
    <w:rsid w:val="007D7B90"/>
    <w:rsid w:val="007E00E6"/>
    <w:rsid w:val="007E01A0"/>
    <w:rsid w:val="007E030C"/>
    <w:rsid w:val="007E0537"/>
    <w:rsid w:val="007E0A75"/>
    <w:rsid w:val="007E0C8F"/>
    <w:rsid w:val="007E1332"/>
    <w:rsid w:val="007E16CF"/>
    <w:rsid w:val="007E1A28"/>
    <w:rsid w:val="007E1C7A"/>
    <w:rsid w:val="007E1F1B"/>
    <w:rsid w:val="007E2121"/>
    <w:rsid w:val="007E2341"/>
    <w:rsid w:val="007E25EC"/>
    <w:rsid w:val="007E2BD5"/>
    <w:rsid w:val="007E2CB5"/>
    <w:rsid w:val="007E2FFC"/>
    <w:rsid w:val="007E32C6"/>
    <w:rsid w:val="007E38C1"/>
    <w:rsid w:val="007E3AF8"/>
    <w:rsid w:val="007E3E1A"/>
    <w:rsid w:val="007E3FBA"/>
    <w:rsid w:val="007E4593"/>
    <w:rsid w:val="007E49ED"/>
    <w:rsid w:val="007E4C6C"/>
    <w:rsid w:val="007E4E57"/>
    <w:rsid w:val="007E525D"/>
    <w:rsid w:val="007E56AD"/>
    <w:rsid w:val="007E5778"/>
    <w:rsid w:val="007E591B"/>
    <w:rsid w:val="007E5BB4"/>
    <w:rsid w:val="007E5BCA"/>
    <w:rsid w:val="007E5D15"/>
    <w:rsid w:val="007E5FCA"/>
    <w:rsid w:val="007E61ED"/>
    <w:rsid w:val="007E6351"/>
    <w:rsid w:val="007E63EF"/>
    <w:rsid w:val="007E66AC"/>
    <w:rsid w:val="007E67F6"/>
    <w:rsid w:val="007E68BC"/>
    <w:rsid w:val="007E68FD"/>
    <w:rsid w:val="007E6ABC"/>
    <w:rsid w:val="007E6BA1"/>
    <w:rsid w:val="007E6CBB"/>
    <w:rsid w:val="007E6E45"/>
    <w:rsid w:val="007E758A"/>
    <w:rsid w:val="007E7652"/>
    <w:rsid w:val="007E78E4"/>
    <w:rsid w:val="007E7D8C"/>
    <w:rsid w:val="007E8253"/>
    <w:rsid w:val="007F0076"/>
    <w:rsid w:val="007F00E4"/>
    <w:rsid w:val="007F06DC"/>
    <w:rsid w:val="007F0A95"/>
    <w:rsid w:val="007F0AF7"/>
    <w:rsid w:val="007F0BC3"/>
    <w:rsid w:val="007F1046"/>
    <w:rsid w:val="007F11E4"/>
    <w:rsid w:val="007F14D4"/>
    <w:rsid w:val="007F185B"/>
    <w:rsid w:val="007F1BE6"/>
    <w:rsid w:val="007F1CE3"/>
    <w:rsid w:val="007F1FFF"/>
    <w:rsid w:val="007F21CD"/>
    <w:rsid w:val="007F2201"/>
    <w:rsid w:val="007F289E"/>
    <w:rsid w:val="007F2C3E"/>
    <w:rsid w:val="007F31D8"/>
    <w:rsid w:val="007F33D7"/>
    <w:rsid w:val="007F3566"/>
    <w:rsid w:val="007F3671"/>
    <w:rsid w:val="007F3A0D"/>
    <w:rsid w:val="007F3AD6"/>
    <w:rsid w:val="007F45DC"/>
    <w:rsid w:val="007F4DB5"/>
    <w:rsid w:val="007F52AE"/>
    <w:rsid w:val="007F53BD"/>
    <w:rsid w:val="007F5594"/>
    <w:rsid w:val="007F572D"/>
    <w:rsid w:val="007F5CA4"/>
    <w:rsid w:val="007F5EC8"/>
    <w:rsid w:val="007F619B"/>
    <w:rsid w:val="007F6304"/>
    <w:rsid w:val="007F658C"/>
    <w:rsid w:val="007F6691"/>
    <w:rsid w:val="007F6958"/>
    <w:rsid w:val="007F6D4C"/>
    <w:rsid w:val="007F730F"/>
    <w:rsid w:val="007F7642"/>
    <w:rsid w:val="007F7DF4"/>
    <w:rsid w:val="007F7FE2"/>
    <w:rsid w:val="007F7FE6"/>
    <w:rsid w:val="00800030"/>
    <w:rsid w:val="0080062B"/>
    <w:rsid w:val="00800AFE"/>
    <w:rsid w:val="00800BBE"/>
    <w:rsid w:val="008014AD"/>
    <w:rsid w:val="00801ABF"/>
    <w:rsid w:val="00801C6D"/>
    <w:rsid w:val="00801FA2"/>
    <w:rsid w:val="00802217"/>
    <w:rsid w:val="00802314"/>
    <w:rsid w:val="008028B2"/>
    <w:rsid w:val="00802D0F"/>
    <w:rsid w:val="00802E81"/>
    <w:rsid w:val="00803146"/>
    <w:rsid w:val="008035F6"/>
    <w:rsid w:val="0080374C"/>
    <w:rsid w:val="008038EA"/>
    <w:rsid w:val="00803C59"/>
    <w:rsid w:val="00804206"/>
    <w:rsid w:val="0080434B"/>
    <w:rsid w:val="008043A1"/>
    <w:rsid w:val="00804F70"/>
    <w:rsid w:val="0080510B"/>
    <w:rsid w:val="008052C5"/>
    <w:rsid w:val="008054BD"/>
    <w:rsid w:val="008056B7"/>
    <w:rsid w:val="00805978"/>
    <w:rsid w:val="00805A66"/>
    <w:rsid w:val="00805C06"/>
    <w:rsid w:val="00805D26"/>
    <w:rsid w:val="00806508"/>
    <w:rsid w:val="00806933"/>
    <w:rsid w:val="00806A6B"/>
    <w:rsid w:val="00806D0D"/>
    <w:rsid w:val="00807121"/>
    <w:rsid w:val="008073E5"/>
    <w:rsid w:val="00807C37"/>
    <w:rsid w:val="0081013F"/>
    <w:rsid w:val="00810791"/>
    <w:rsid w:val="008109E2"/>
    <w:rsid w:val="00810B3C"/>
    <w:rsid w:val="00810B8D"/>
    <w:rsid w:val="00810BC7"/>
    <w:rsid w:val="00810CF8"/>
    <w:rsid w:val="00811442"/>
    <w:rsid w:val="008116D3"/>
    <w:rsid w:val="00811AA3"/>
    <w:rsid w:val="00811C7A"/>
    <w:rsid w:val="00811FD6"/>
    <w:rsid w:val="008121F2"/>
    <w:rsid w:val="008122D0"/>
    <w:rsid w:val="008124B9"/>
    <w:rsid w:val="00812830"/>
    <w:rsid w:val="008128D6"/>
    <w:rsid w:val="00812B25"/>
    <w:rsid w:val="008133D2"/>
    <w:rsid w:val="0081368B"/>
    <w:rsid w:val="00813712"/>
    <w:rsid w:val="00813B42"/>
    <w:rsid w:val="00813B6A"/>
    <w:rsid w:val="00814304"/>
    <w:rsid w:val="0081447D"/>
    <w:rsid w:val="00814C74"/>
    <w:rsid w:val="00815436"/>
    <w:rsid w:val="0081575E"/>
    <w:rsid w:val="0081592C"/>
    <w:rsid w:val="00815A7D"/>
    <w:rsid w:val="00815E7F"/>
    <w:rsid w:val="00815F3C"/>
    <w:rsid w:val="0081615D"/>
    <w:rsid w:val="008165B8"/>
    <w:rsid w:val="00816CDD"/>
    <w:rsid w:val="00817192"/>
    <w:rsid w:val="008173D0"/>
    <w:rsid w:val="008177D4"/>
    <w:rsid w:val="00817C6A"/>
    <w:rsid w:val="00817DBD"/>
    <w:rsid w:val="00817E09"/>
    <w:rsid w:val="00817F07"/>
    <w:rsid w:val="00817FB3"/>
    <w:rsid w:val="00820535"/>
    <w:rsid w:val="00820578"/>
    <w:rsid w:val="00820649"/>
    <w:rsid w:val="0082070C"/>
    <w:rsid w:val="00820753"/>
    <w:rsid w:val="00820967"/>
    <w:rsid w:val="008209C5"/>
    <w:rsid w:val="00820E09"/>
    <w:rsid w:val="00820E23"/>
    <w:rsid w:val="00820F1E"/>
    <w:rsid w:val="00820FD4"/>
    <w:rsid w:val="00821070"/>
    <w:rsid w:val="008212A1"/>
    <w:rsid w:val="008212E6"/>
    <w:rsid w:val="0082138F"/>
    <w:rsid w:val="008213EE"/>
    <w:rsid w:val="00821423"/>
    <w:rsid w:val="008219F4"/>
    <w:rsid w:val="00821AD9"/>
    <w:rsid w:val="00821BC1"/>
    <w:rsid w:val="00821CE6"/>
    <w:rsid w:val="00821D8B"/>
    <w:rsid w:val="0082210D"/>
    <w:rsid w:val="008223AF"/>
    <w:rsid w:val="00822698"/>
    <w:rsid w:val="00822777"/>
    <w:rsid w:val="00822994"/>
    <w:rsid w:val="008229CD"/>
    <w:rsid w:val="00822A58"/>
    <w:rsid w:val="00822F06"/>
    <w:rsid w:val="00822FF6"/>
    <w:rsid w:val="008236CF"/>
    <w:rsid w:val="00823B9A"/>
    <w:rsid w:val="00823DD5"/>
    <w:rsid w:val="00823F7B"/>
    <w:rsid w:val="008241B9"/>
    <w:rsid w:val="008242AD"/>
    <w:rsid w:val="008244C8"/>
    <w:rsid w:val="00824A96"/>
    <w:rsid w:val="0082588D"/>
    <w:rsid w:val="00825B93"/>
    <w:rsid w:val="008260FF"/>
    <w:rsid w:val="0082624E"/>
    <w:rsid w:val="008262EF"/>
    <w:rsid w:val="00826335"/>
    <w:rsid w:val="00826488"/>
    <w:rsid w:val="00826716"/>
    <w:rsid w:val="008267CC"/>
    <w:rsid w:val="00826820"/>
    <w:rsid w:val="008268CD"/>
    <w:rsid w:val="0082698F"/>
    <w:rsid w:val="00826A1E"/>
    <w:rsid w:val="00826EC7"/>
    <w:rsid w:val="00826ED1"/>
    <w:rsid w:val="00827418"/>
    <w:rsid w:val="008276C3"/>
    <w:rsid w:val="008277EE"/>
    <w:rsid w:val="00827897"/>
    <w:rsid w:val="00827B4A"/>
    <w:rsid w:val="00827BE9"/>
    <w:rsid w:val="00827C2F"/>
    <w:rsid w:val="00827DE1"/>
    <w:rsid w:val="00827EE4"/>
    <w:rsid w:val="00830006"/>
    <w:rsid w:val="00830153"/>
    <w:rsid w:val="00830566"/>
    <w:rsid w:val="008307EB"/>
    <w:rsid w:val="00830C95"/>
    <w:rsid w:val="00831474"/>
    <w:rsid w:val="008314C9"/>
    <w:rsid w:val="008317F3"/>
    <w:rsid w:val="00831887"/>
    <w:rsid w:val="0083194A"/>
    <w:rsid w:val="008319EF"/>
    <w:rsid w:val="00831DEB"/>
    <w:rsid w:val="00832232"/>
    <w:rsid w:val="008322F4"/>
    <w:rsid w:val="00832979"/>
    <w:rsid w:val="00832B3C"/>
    <w:rsid w:val="00832FB9"/>
    <w:rsid w:val="00833BE9"/>
    <w:rsid w:val="0083415C"/>
    <w:rsid w:val="00834242"/>
    <w:rsid w:val="008343DE"/>
    <w:rsid w:val="00834662"/>
    <w:rsid w:val="008347FE"/>
    <w:rsid w:val="00834DCF"/>
    <w:rsid w:val="00834F7A"/>
    <w:rsid w:val="00834FE7"/>
    <w:rsid w:val="00835088"/>
    <w:rsid w:val="00835247"/>
    <w:rsid w:val="008352AB"/>
    <w:rsid w:val="008353EE"/>
    <w:rsid w:val="008354EA"/>
    <w:rsid w:val="0083557B"/>
    <w:rsid w:val="00836050"/>
    <w:rsid w:val="008360C7"/>
    <w:rsid w:val="00836C10"/>
    <w:rsid w:val="00836E59"/>
    <w:rsid w:val="008370DE"/>
    <w:rsid w:val="0083714B"/>
    <w:rsid w:val="008377C5"/>
    <w:rsid w:val="0084030C"/>
    <w:rsid w:val="0084041A"/>
    <w:rsid w:val="0084133C"/>
    <w:rsid w:val="00841420"/>
    <w:rsid w:val="00841705"/>
    <w:rsid w:val="0084182A"/>
    <w:rsid w:val="00841950"/>
    <w:rsid w:val="00841C71"/>
    <w:rsid w:val="00842175"/>
    <w:rsid w:val="008427B6"/>
    <w:rsid w:val="008427C2"/>
    <w:rsid w:val="00842AFC"/>
    <w:rsid w:val="00842B46"/>
    <w:rsid w:val="00842DD0"/>
    <w:rsid w:val="00843363"/>
    <w:rsid w:val="008437F4"/>
    <w:rsid w:val="00843927"/>
    <w:rsid w:val="008443F5"/>
    <w:rsid w:val="00844DCA"/>
    <w:rsid w:val="00845678"/>
    <w:rsid w:val="00845765"/>
    <w:rsid w:val="00845832"/>
    <w:rsid w:val="00845AD3"/>
    <w:rsid w:val="00845E73"/>
    <w:rsid w:val="00845F5C"/>
    <w:rsid w:val="008465F4"/>
    <w:rsid w:val="008466C7"/>
    <w:rsid w:val="00846729"/>
    <w:rsid w:val="00846A56"/>
    <w:rsid w:val="00846E94"/>
    <w:rsid w:val="0084709C"/>
    <w:rsid w:val="008471D2"/>
    <w:rsid w:val="00847267"/>
    <w:rsid w:val="008472BC"/>
    <w:rsid w:val="00847303"/>
    <w:rsid w:val="00847313"/>
    <w:rsid w:val="008475A2"/>
    <w:rsid w:val="008477D4"/>
    <w:rsid w:val="008477EA"/>
    <w:rsid w:val="0084790F"/>
    <w:rsid w:val="00847976"/>
    <w:rsid w:val="00847EA6"/>
    <w:rsid w:val="00847FC4"/>
    <w:rsid w:val="0085000C"/>
    <w:rsid w:val="0085151A"/>
    <w:rsid w:val="008515D6"/>
    <w:rsid w:val="00851771"/>
    <w:rsid w:val="008517F5"/>
    <w:rsid w:val="00851D05"/>
    <w:rsid w:val="00851E11"/>
    <w:rsid w:val="00852382"/>
    <w:rsid w:val="008527D7"/>
    <w:rsid w:val="00852A85"/>
    <w:rsid w:val="00852E8C"/>
    <w:rsid w:val="00852EE9"/>
    <w:rsid w:val="00853056"/>
    <w:rsid w:val="0085359A"/>
    <w:rsid w:val="008536DB"/>
    <w:rsid w:val="0085376D"/>
    <w:rsid w:val="00853822"/>
    <w:rsid w:val="00853B30"/>
    <w:rsid w:val="00853C49"/>
    <w:rsid w:val="00854133"/>
    <w:rsid w:val="00854394"/>
    <w:rsid w:val="00854757"/>
    <w:rsid w:val="0085487A"/>
    <w:rsid w:val="00854AAD"/>
    <w:rsid w:val="00854BFF"/>
    <w:rsid w:val="00854C74"/>
    <w:rsid w:val="00854CC4"/>
    <w:rsid w:val="00854D93"/>
    <w:rsid w:val="00855103"/>
    <w:rsid w:val="008552C7"/>
    <w:rsid w:val="00855B10"/>
    <w:rsid w:val="00855BCA"/>
    <w:rsid w:val="00855CB7"/>
    <w:rsid w:val="00855CF4"/>
    <w:rsid w:val="00855EA6"/>
    <w:rsid w:val="0085616B"/>
    <w:rsid w:val="008561FF"/>
    <w:rsid w:val="00856280"/>
    <w:rsid w:val="0085645A"/>
    <w:rsid w:val="00856544"/>
    <w:rsid w:val="00856FAD"/>
    <w:rsid w:val="00857157"/>
    <w:rsid w:val="008574C6"/>
    <w:rsid w:val="00857594"/>
    <w:rsid w:val="0085779F"/>
    <w:rsid w:val="00857943"/>
    <w:rsid w:val="00857B7D"/>
    <w:rsid w:val="00857D72"/>
    <w:rsid w:val="00857D99"/>
    <w:rsid w:val="008606E0"/>
    <w:rsid w:val="0086081C"/>
    <w:rsid w:val="008609AB"/>
    <w:rsid w:val="00860B98"/>
    <w:rsid w:val="00860C64"/>
    <w:rsid w:val="00860EDE"/>
    <w:rsid w:val="00860F7D"/>
    <w:rsid w:val="00861226"/>
    <w:rsid w:val="00861749"/>
    <w:rsid w:val="008628D5"/>
    <w:rsid w:val="00862A4E"/>
    <w:rsid w:val="00862C46"/>
    <w:rsid w:val="00862CA0"/>
    <w:rsid w:val="00862D11"/>
    <w:rsid w:val="00862E95"/>
    <w:rsid w:val="00863322"/>
    <w:rsid w:val="00863639"/>
    <w:rsid w:val="00863FF7"/>
    <w:rsid w:val="00864015"/>
    <w:rsid w:val="008647D2"/>
    <w:rsid w:val="008648B8"/>
    <w:rsid w:val="00864A06"/>
    <w:rsid w:val="00864D47"/>
    <w:rsid w:val="008651DA"/>
    <w:rsid w:val="00865378"/>
    <w:rsid w:val="0086538B"/>
    <w:rsid w:val="00865398"/>
    <w:rsid w:val="00865472"/>
    <w:rsid w:val="00865564"/>
    <w:rsid w:val="0086592C"/>
    <w:rsid w:val="00865E93"/>
    <w:rsid w:val="00865F1C"/>
    <w:rsid w:val="00866106"/>
    <w:rsid w:val="008664B6"/>
    <w:rsid w:val="008664BC"/>
    <w:rsid w:val="00866734"/>
    <w:rsid w:val="008667DF"/>
    <w:rsid w:val="0086685B"/>
    <w:rsid w:val="00866D6B"/>
    <w:rsid w:val="00866ED6"/>
    <w:rsid w:val="00866EFA"/>
    <w:rsid w:val="00866F8A"/>
    <w:rsid w:val="008671D1"/>
    <w:rsid w:val="0086727D"/>
    <w:rsid w:val="00867599"/>
    <w:rsid w:val="008675A0"/>
    <w:rsid w:val="00867778"/>
    <w:rsid w:val="00867902"/>
    <w:rsid w:val="008702BD"/>
    <w:rsid w:val="00870308"/>
    <w:rsid w:val="00870350"/>
    <w:rsid w:val="008704B3"/>
    <w:rsid w:val="0087055F"/>
    <w:rsid w:val="00870AFC"/>
    <w:rsid w:val="00870BFC"/>
    <w:rsid w:val="00870F94"/>
    <w:rsid w:val="008716B7"/>
    <w:rsid w:val="008717D2"/>
    <w:rsid w:val="008722F1"/>
    <w:rsid w:val="0087232B"/>
    <w:rsid w:val="00872506"/>
    <w:rsid w:val="00872D69"/>
    <w:rsid w:val="008730FB"/>
    <w:rsid w:val="00873212"/>
    <w:rsid w:val="0087344C"/>
    <w:rsid w:val="008735A9"/>
    <w:rsid w:val="00873B37"/>
    <w:rsid w:val="00873B90"/>
    <w:rsid w:val="00873C0C"/>
    <w:rsid w:val="00873CC2"/>
    <w:rsid w:val="00873FCD"/>
    <w:rsid w:val="00874083"/>
    <w:rsid w:val="00874BA4"/>
    <w:rsid w:val="00874E8F"/>
    <w:rsid w:val="00874EAE"/>
    <w:rsid w:val="008750B4"/>
    <w:rsid w:val="00875386"/>
    <w:rsid w:val="00875485"/>
    <w:rsid w:val="0087560F"/>
    <w:rsid w:val="00875622"/>
    <w:rsid w:val="0087599B"/>
    <w:rsid w:val="00875A00"/>
    <w:rsid w:val="00875ABC"/>
    <w:rsid w:val="00875E30"/>
    <w:rsid w:val="00875FCA"/>
    <w:rsid w:val="0087618A"/>
    <w:rsid w:val="008762E7"/>
    <w:rsid w:val="008769DF"/>
    <w:rsid w:val="00876A7A"/>
    <w:rsid w:val="00876B90"/>
    <w:rsid w:val="00876CB2"/>
    <w:rsid w:val="00877316"/>
    <w:rsid w:val="0087737B"/>
    <w:rsid w:val="008777A6"/>
    <w:rsid w:val="008777EB"/>
    <w:rsid w:val="008778BF"/>
    <w:rsid w:val="00877C06"/>
    <w:rsid w:val="00877C39"/>
    <w:rsid w:val="0088010D"/>
    <w:rsid w:val="00880120"/>
    <w:rsid w:val="0088023C"/>
    <w:rsid w:val="0088047E"/>
    <w:rsid w:val="00880600"/>
    <w:rsid w:val="008808CD"/>
    <w:rsid w:val="00880A10"/>
    <w:rsid w:val="00880D6A"/>
    <w:rsid w:val="00880DA6"/>
    <w:rsid w:val="00880DA9"/>
    <w:rsid w:val="00880EBC"/>
    <w:rsid w:val="00880ED0"/>
    <w:rsid w:val="008810C8"/>
    <w:rsid w:val="0088137B"/>
    <w:rsid w:val="00881602"/>
    <w:rsid w:val="00881A33"/>
    <w:rsid w:val="00881A95"/>
    <w:rsid w:val="00881D7A"/>
    <w:rsid w:val="0088226F"/>
    <w:rsid w:val="00882488"/>
    <w:rsid w:val="00882ADE"/>
    <w:rsid w:val="00882AE9"/>
    <w:rsid w:val="00882D60"/>
    <w:rsid w:val="00882E0A"/>
    <w:rsid w:val="00883071"/>
    <w:rsid w:val="008832AE"/>
    <w:rsid w:val="00883667"/>
    <w:rsid w:val="00883717"/>
    <w:rsid w:val="0088394D"/>
    <w:rsid w:val="00883BC9"/>
    <w:rsid w:val="00883EE8"/>
    <w:rsid w:val="00884053"/>
    <w:rsid w:val="00884152"/>
    <w:rsid w:val="00884494"/>
    <w:rsid w:val="00884809"/>
    <w:rsid w:val="00884B5E"/>
    <w:rsid w:val="00884C8B"/>
    <w:rsid w:val="0088503A"/>
    <w:rsid w:val="0088506A"/>
    <w:rsid w:val="008851A6"/>
    <w:rsid w:val="00885473"/>
    <w:rsid w:val="00885936"/>
    <w:rsid w:val="00886595"/>
    <w:rsid w:val="00886758"/>
    <w:rsid w:val="00886EC3"/>
    <w:rsid w:val="0088703E"/>
    <w:rsid w:val="0088720D"/>
    <w:rsid w:val="008875FC"/>
    <w:rsid w:val="00887686"/>
    <w:rsid w:val="00887A87"/>
    <w:rsid w:val="00887E29"/>
    <w:rsid w:val="008900DD"/>
    <w:rsid w:val="008904FE"/>
    <w:rsid w:val="0089077A"/>
    <w:rsid w:val="00890C89"/>
    <w:rsid w:val="00890CC9"/>
    <w:rsid w:val="00890EB1"/>
    <w:rsid w:val="008910D4"/>
    <w:rsid w:val="008911EB"/>
    <w:rsid w:val="00891392"/>
    <w:rsid w:val="00891477"/>
    <w:rsid w:val="008914C6"/>
    <w:rsid w:val="008919EB"/>
    <w:rsid w:val="00891AFE"/>
    <w:rsid w:val="00891E83"/>
    <w:rsid w:val="00892219"/>
    <w:rsid w:val="00892227"/>
    <w:rsid w:val="0089222B"/>
    <w:rsid w:val="00892288"/>
    <w:rsid w:val="008926EC"/>
    <w:rsid w:val="00892760"/>
    <w:rsid w:val="008928CD"/>
    <w:rsid w:val="00892ACA"/>
    <w:rsid w:val="00892BC1"/>
    <w:rsid w:val="00892BC5"/>
    <w:rsid w:val="00893318"/>
    <w:rsid w:val="00893901"/>
    <w:rsid w:val="00893BB7"/>
    <w:rsid w:val="00893DED"/>
    <w:rsid w:val="00893EA1"/>
    <w:rsid w:val="008942C2"/>
    <w:rsid w:val="00894395"/>
    <w:rsid w:val="00895089"/>
    <w:rsid w:val="0089518F"/>
    <w:rsid w:val="00895376"/>
    <w:rsid w:val="008954C3"/>
    <w:rsid w:val="0089566A"/>
    <w:rsid w:val="00895974"/>
    <w:rsid w:val="00895E17"/>
    <w:rsid w:val="00895F93"/>
    <w:rsid w:val="0089603A"/>
    <w:rsid w:val="0089651D"/>
    <w:rsid w:val="008965D4"/>
    <w:rsid w:val="00896791"/>
    <w:rsid w:val="00896B98"/>
    <w:rsid w:val="00896EF1"/>
    <w:rsid w:val="00897343"/>
    <w:rsid w:val="00897532"/>
    <w:rsid w:val="00897735"/>
    <w:rsid w:val="00897F82"/>
    <w:rsid w:val="008A0420"/>
    <w:rsid w:val="008A094B"/>
    <w:rsid w:val="008A0B61"/>
    <w:rsid w:val="008A0C31"/>
    <w:rsid w:val="008A0C39"/>
    <w:rsid w:val="008A18A4"/>
    <w:rsid w:val="008A1E64"/>
    <w:rsid w:val="008A1FAB"/>
    <w:rsid w:val="008A2188"/>
    <w:rsid w:val="008A2A5F"/>
    <w:rsid w:val="008A2AA1"/>
    <w:rsid w:val="008A2DAC"/>
    <w:rsid w:val="008A2FC1"/>
    <w:rsid w:val="008A3D67"/>
    <w:rsid w:val="008A3EAA"/>
    <w:rsid w:val="008A3F87"/>
    <w:rsid w:val="008A4287"/>
    <w:rsid w:val="008A45DD"/>
    <w:rsid w:val="008A4787"/>
    <w:rsid w:val="008A48ED"/>
    <w:rsid w:val="008A4938"/>
    <w:rsid w:val="008A49B8"/>
    <w:rsid w:val="008A4DEC"/>
    <w:rsid w:val="008A4FF1"/>
    <w:rsid w:val="008A564A"/>
    <w:rsid w:val="008A568A"/>
    <w:rsid w:val="008A5D66"/>
    <w:rsid w:val="008A5FB0"/>
    <w:rsid w:val="008A5FE6"/>
    <w:rsid w:val="008A6050"/>
    <w:rsid w:val="008A60E2"/>
    <w:rsid w:val="008A617A"/>
    <w:rsid w:val="008A639B"/>
    <w:rsid w:val="008A654B"/>
    <w:rsid w:val="008A6556"/>
    <w:rsid w:val="008A66DC"/>
    <w:rsid w:val="008A691C"/>
    <w:rsid w:val="008A69EC"/>
    <w:rsid w:val="008A6A02"/>
    <w:rsid w:val="008A6B0D"/>
    <w:rsid w:val="008A6F98"/>
    <w:rsid w:val="008A70F3"/>
    <w:rsid w:val="008A72EC"/>
    <w:rsid w:val="008A7610"/>
    <w:rsid w:val="008A79DC"/>
    <w:rsid w:val="008A7B1E"/>
    <w:rsid w:val="008A7CBA"/>
    <w:rsid w:val="008A7FD5"/>
    <w:rsid w:val="008B0438"/>
    <w:rsid w:val="008B06F4"/>
    <w:rsid w:val="008B0704"/>
    <w:rsid w:val="008B0901"/>
    <w:rsid w:val="008B0C3D"/>
    <w:rsid w:val="008B0C45"/>
    <w:rsid w:val="008B0DB9"/>
    <w:rsid w:val="008B0DD0"/>
    <w:rsid w:val="008B0E1E"/>
    <w:rsid w:val="008B1173"/>
    <w:rsid w:val="008B137A"/>
    <w:rsid w:val="008B168C"/>
    <w:rsid w:val="008B1712"/>
    <w:rsid w:val="008B1891"/>
    <w:rsid w:val="008B1913"/>
    <w:rsid w:val="008B1A5E"/>
    <w:rsid w:val="008B1BA4"/>
    <w:rsid w:val="008B1BD9"/>
    <w:rsid w:val="008B1D57"/>
    <w:rsid w:val="008B2067"/>
    <w:rsid w:val="008B20F0"/>
    <w:rsid w:val="008B2442"/>
    <w:rsid w:val="008B25B3"/>
    <w:rsid w:val="008B261A"/>
    <w:rsid w:val="008B27D7"/>
    <w:rsid w:val="008B2A8D"/>
    <w:rsid w:val="008B2BC1"/>
    <w:rsid w:val="008B2C80"/>
    <w:rsid w:val="008B2E33"/>
    <w:rsid w:val="008B3491"/>
    <w:rsid w:val="008B3824"/>
    <w:rsid w:val="008B3BE1"/>
    <w:rsid w:val="008B3D14"/>
    <w:rsid w:val="008B46FB"/>
    <w:rsid w:val="008B4C67"/>
    <w:rsid w:val="008B5972"/>
    <w:rsid w:val="008B5B23"/>
    <w:rsid w:val="008B5E0A"/>
    <w:rsid w:val="008B5E23"/>
    <w:rsid w:val="008B60B2"/>
    <w:rsid w:val="008B624A"/>
    <w:rsid w:val="008B63B0"/>
    <w:rsid w:val="008B6540"/>
    <w:rsid w:val="008B65C0"/>
    <w:rsid w:val="008B685B"/>
    <w:rsid w:val="008B6B42"/>
    <w:rsid w:val="008B6F12"/>
    <w:rsid w:val="008B70FB"/>
    <w:rsid w:val="008B722F"/>
    <w:rsid w:val="008B765F"/>
    <w:rsid w:val="008B76DD"/>
    <w:rsid w:val="008B787F"/>
    <w:rsid w:val="008B789D"/>
    <w:rsid w:val="008B7950"/>
    <w:rsid w:val="008B79FC"/>
    <w:rsid w:val="008B7B88"/>
    <w:rsid w:val="008C00C4"/>
    <w:rsid w:val="008C059B"/>
    <w:rsid w:val="008C066C"/>
    <w:rsid w:val="008C11DC"/>
    <w:rsid w:val="008C15A3"/>
    <w:rsid w:val="008C15B3"/>
    <w:rsid w:val="008C160F"/>
    <w:rsid w:val="008C1644"/>
    <w:rsid w:val="008C170E"/>
    <w:rsid w:val="008C200E"/>
    <w:rsid w:val="008C216E"/>
    <w:rsid w:val="008C2290"/>
    <w:rsid w:val="008C2427"/>
    <w:rsid w:val="008C24BD"/>
    <w:rsid w:val="008C2508"/>
    <w:rsid w:val="008C27BD"/>
    <w:rsid w:val="008C2C4D"/>
    <w:rsid w:val="008C2CFE"/>
    <w:rsid w:val="008C2D41"/>
    <w:rsid w:val="008C321B"/>
    <w:rsid w:val="008C34C8"/>
    <w:rsid w:val="008C3788"/>
    <w:rsid w:val="008C383A"/>
    <w:rsid w:val="008C469B"/>
    <w:rsid w:val="008C49B8"/>
    <w:rsid w:val="008C4A22"/>
    <w:rsid w:val="008C4CD1"/>
    <w:rsid w:val="008C52B8"/>
    <w:rsid w:val="008C537C"/>
    <w:rsid w:val="008C53B2"/>
    <w:rsid w:val="008C5A34"/>
    <w:rsid w:val="008C5F84"/>
    <w:rsid w:val="008C6382"/>
    <w:rsid w:val="008C6621"/>
    <w:rsid w:val="008C6836"/>
    <w:rsid w:val="008C6906"/>
    <w:rsid w:val="008C6B7C"/>
    <w:rsid w:val="008C6BAB"/>
    <w:rsid w:val="008C70FF"/>
    <w:rsid w:val="008C72C4"/>
    <w:rsid w:val="008C72CB"/>
    <w:rsid w:val="008C74EE"/>
    <w:rsid w:val="008C78F3"/>
    <w:rsid w:val="008C7978"/>
    <w:rsid w:val="008C7E1B"/>
    <w:rsid w:val="008D005D"/>
    <w:rsid w:val="008D01B4"/>
    <w:rsid w:val="008D02DE"/>
    <w:rsid w:val="008D04DC"/>
    <w:rsid w:val="008D06AF"/>
    <w:rsid w:val="008D079B"/>
    <w:rsid w:val="008D0915"/>
    <w:rsid w:val="008D0AA1"/>
    <w:rsid w:val="008D0D6B"/>
    <w:rsid w:val="008D0E0C"/>
    <w:rsid w:val="008D1570"/>
    <w:rsid w:val="008D1862"/>
    <w:rsid w:val="008D1893"/>
    <w:rsid w:val="008D1C79"/>
    <w:rsid w:val="008D1E33"/>
    <w:rsid w:val="008D2327"/>
    <w:rsid w:val="008D24FB"/>
    <w:rsid w:val="008D2686"/>
    <w:rsid w:val="008D2704"/>
    <w:rsid w:val="008D2A82"/>
    <w:rsid w:val="008D304A"/>
    <w:rsid w:val="008D321C"/>
    <w:rsid w:val="008D3256"/>
    <w:rsid w:val="008D3A5F"/>
    <w:rsid w:val="008D3C5F"/>
    <w:rsid w:val="008D3ED4"/>
    <w:rsid w:val="008D40A1"/>
    <w:rsid w:val="008D41D0"/>
    <w:rsid w:val="008D44FE"/>
    <w:rsid w:val="008D45A8"/>
    <w:rsid w:val="008D48DF"/>
    <w:rsid w:val="008D48ED"/>
    <w:rsid w:val="008D4A47"/>
    <w:rsid w:val="008D4A75"/>
    <w:rsid w:val="008D4DD0"/>
    <w:rsid w:val="008D53C0"/>
    <w:rsid w:val="008D5401"/>
    <w:rsid w:val="008D5433"/>
    <w:rsid w:val="008D580E"/>
    <w:rsid w:val="008D5864"/>
    <w:rsid w:val="008D5DB9"/>
    <w:rsid w:val="008D5E58"/>
    <w:rsid w:val="008D62BC"/>
    <w:rsid w:val="008D6339"/>
    <w:rsid w:val="008D6644"/>
    <w:rsid w:val="008D665F"/>
    <w:rsid w:val="008D677B"/>
    <w:rsid w:val="008D697F"/>
    <w:rsid w:val="008D6E6F"/>
    <w:rsid w:val="008D6F3E"/>
    <w:rsid w:val="008D707F"/>
    <w:rsid w:val="008D72B4"/>
    <w:rsid w:val="008D72EF"/>
    <w:rsid w:val="008D73D7"/>
    <w:rsid w:val="008D748F"/>
    <w:rsid w:val="008D74C4"/>
    <w:rsid w:val="008D76CF"/>
    <w:rsid w:val="008D771A"/>
    <w:rsid w:val="008D776D"/>
    <w:rsid w:val="008D7A16"/>
    <w:rsid w:val="008D7E52"/>
    <w:rsid w:val="008E03BB"/>
    <w:rsid w:val="008E06D7"/>
    <w:rsid w:val="008E0929"/>
    <w:rsid w:val="008E0966"/>
    <w:rsid w:val="008E0BF9"/>
    <w:rsid w:val="008E0BFD"/>
    <w:rsid w:val="008E0FF2"/>
    <w:rsid w:val="008E102D"/>
    <w:rsid w:val="008E11A8"/>
    <w:rsid w:val="008E141C"/>
    <w:rsid w:val="008E1A43"/>
    <w:rsid w:val="008E2767"/>
    <w:rsid w:val="008E2F71"/>
    <w:rsid w:val="008E3264"/>
    <w:rsid w:val="008E34F5"/>
    <w:rsid w:val="008E4819"/>
    <w:rsid w:val="008E49FA"/>
    <w:rsid w:val="008E4A2F"/>
    <w:rsid w:val="008E4DBD"/>
    <w:rsid w:val="008E4E19"/>
    <w:rsid w:val="008E5134"/>
    <w:rsid w:val="008E5291"/>
    <w:rsid w:val="008E52F4"/>
    <w:rsid w:val="008E5568"/>
    <w:rsid w:val="008E56B2"/>
    <w:rsid w:val="008E587B"/>
    <w:rsid w:val="008E5A14"/>
    <w:rsid w:val="008E5B76"/>
    <w:rsid w:val="008E5D33"/>
    <w:rsid w:val="008E5D49"/>
    <w:rsid w:val="008E60D0"/>
    <w:rsid w:val="008E6494"/>
    <w:rsid w:val="008E65E0"/>
    <w:rsid w:val="008E696E"/>
    <w:rsid w:val="008E6A7D"/>
    <w:rsid w:val="008E6D8A"/>
    <w:rsid w:val="008E6DA3"/>
    <w:rsid w:val="008E6E99"/>
    <w:rsid w:val="008E7349"/>
    <w:rsid w:val="008E740E"/>
    <w:rsid w:val="008E7506"/>
    <w:rsid w:val="008E78A5"/>
    <w:rsid w:val="008E797E"/>
    <w:rsid w:val="008E7AC5"/>
    <w:rsid w:val="008E7D0E"/>
    <w:rsid w:val="008F00DC"/>
    <w:rsid w:val="008F0331"/>
    <w:rsid w:val="008F059B"/>
    <w:rsid w:val="008F09A2"/>
    <w:rsid w:val="008F0FC4"/>
    <w:rsid w:val="008F129B"/>
    <w:rsid w:val="008F1E33"/>
    <w:rsid w:val="008F1E69"/>
    <w:rsid w:val="008F2C3B"/>
    <w:rsid w:val="008F2C41"/>
    <w:rsid w:val="008F2C44"/>
    <w:rsid w:val="008F2F8C"/>
    <w:rsid w:val="008F317D"/>
    <w:rsid w:val="008F3588"/>
    <w:rsid w:val="008F35D3"/>
    <w:rsid w:val="008F368D"/>
    <w:rsid w:val="008F369F"/>
    <w:rsid w:val="008F3CA4"/>
    <w:rsid w:val="008F3E82"/>
    <w:rsid w:val="008F3EE4"/>
    <w:rsid w:val="008F47FA"/>
    <w:rsid w:val="008F49F9"/>
    <w:rsid w:val="008F4B49"/>
    <w:rsid w:val="008F4E44"/>
    <w:rsid w:val="008F51BF"/>
    <w:rsid w:val="008F5627"/>
    <w:rsid w:val="008F582E"/>
    <w:rsid w:val="008F5986"/>
    <w:rsid w:val="008F5A9E"/>
    <w:rsid w:val="008F5C8F"/>
    <w:rsid w:val="008F5CA8"/>
    <w:rsid w:val="008F5FCF"/>
    <w:rsid w:val="008F6091"/>
    <w:rsid w:val="008F6453"/>
    <w:rsid w:val="008F670A"/>
    <w:rsid w:val="008F6781"/>
    <w:rsid w:val="008F68ED"/>
    <w:rsid w:val="008F6986"/>
    <w:rsid w:val="008F6C0D"/>
    <w:rsid w:val="008F6D10"/>
    <w:rsid w:val="008F7135"/>
    <w:rsid w:val="008F7686"/>
    <w:rsid w:val="008F76C7"/>
    <w:rsid w:val="008F76F7"/>
    <w:rsid w:val="008F7AC9"/>
    <w:rsid w:val="008F7B06"/>
    <w:rsid w:val="008F7CEC"/>
    <w:rsid w:val="008F7E70"/>
    <w:rsid w:val="00900256"/>
    <w:rsid w:val="00900959"/>
    <w:rsid w:val="00900A90"/>
    <w:rsid w:val="00900D82"/>
    <w:rsid w:val="00900DEB"/>
    <w:rsid w:val="00900E0F"/>
    <w:rsid w:val="00900EFB"/>
    <w:rsid w:val="00900FC3"/>
    <w:rsid w:val="00901123"/>
    <w:rsid w:val="00901253"/>
    <w:rsid w:val="009019C6"/>
    <w:rsid w:val="00902339"/>
    <w:rsid w:val="0090265B"/>
    <w:rsid w:val="0090297C"/>
    <w:rsid w:val="009032E5"/>
    <w:rsid w:val="0090364F"/>
    <w:rsid w:val="00903F45"/>
    <w:rsid w:val="009041FE"/>
    <w:rsid w:val="00904237"/>
    <w:rsid w:val="00904282"/>
    <w:rsid w:val="00904616"/>
    <w:rsid w:val="009046EA"/>
    <w:rsid w:val="009048B1"/>
    <w:rsid w:val="00904BC5"/>
    <w:rsid w:val="00904DAD"/>
    <w:rsid w:val="00904EF9"/>
    <w:rsid w:val="00904F40"/>
    <w:rsid w:val="00904F8F"/>
    <w:rsid w:val="00905104"/>
    <w:rsid w:val="0090522D"/>
    <w:rsid w:val="0090576B"/>
    <w:rsid w:val="009058E3"/>
    <w:rsid w:val="00905C20"/>
    <w:rsid w:val="00905DF7"/>
    <w:rsid w:val="00905F39"/>
    <w:rsid w:val="00906184"/>
    <w:rsid w:val="00906668"/>
    <w:rsid w:val="009066D7"/>
    <w:rsid w:val="00906A40"/>
    <w:rsid w:val="00906CDE"/>
    <w:rsid w:val="00906D1C"/>
    <w:rsid w:val="00906D70"/>
    <w:rsid w:val="00907254"/>
    <w:rsid w:val="00907685"/>
    <w:rsid w:val="009076F0"/>
    <w:rsid w:val="00907941"/>
    <w:rsid w:val="00907A2D"/>
    <w:rsid w:val="00907D86"/>
    <w:rsid w:val="0091064E"/>
    <w:rsid w:val="00910CA7"/>
    <w:rsid w:val="00910E71"/>
    <w:rsid w:val="009110B2"/>
    <w:rsid w:val="009110CD"/>
    <w:rsid w:val="00911AC8"/>
    <w:rsid w:val="0091200E"/>
    <w:rsid w:val="009120B3"/>
    <w:rsid w:val="00912195"/>
    <w:rsid w:val="00912442"/>
    <w:rsid w:val="00912443"/>
    <w:rsid w:val="00912540"/>
    <w:rsid w:val="00912577"/>
    <w:rsid w:val="0091271F"/>
    <w:rsid w:val="009127EB"/>
    <w:rsid w:val="00912D6A"/>
    <w:rsid w:val="00913090"/>
    <w:rsid w:val="00913118"/>
    <w:rsid w:val="00913548"/>
    <w:rsid w:val="00913B1C"/>
    <w:rsid w:val="00914318"/>
    <w:rsid w:val="009143CB"/>
    <w:rsid w:val="0091460B"/>
    <w:rsid w:val="00914824"/>
    <w:rsid w:val="009148E9"/>
    <w:rsid w:val="00914A4C"/>
    <w:rsid w:val="00914B13"/>
    <w:rsid w:val="00914C96"/>
    <w:rsid w:val="00914DE2"/>
    <w:rsid w:val="00914E1E"/>
    <w:rsid w:val="009150B5"/>
    <w:rsid w:val="0091579A"/>
    <w:rsid w:val="0091590F"/>
    <w:rsid w:val="00915A56"/>
    <w:rsid w:val="00915C8A"/>
    <w:rsid w:val="00915E8F"/>
    <w:rsid w:val="009164F6"/>
    <w:rsid w:val="00916620"/>
    <w:rsid w:val="00916E29"/>
    <w:rsid w:val="009172F9"/>
    <w:rsid w:val="00917483"/>
    <w:rsid w:val="00917B6D"/>
    <w:rsid w:val="00917D2F"/>
    <w:rsid w:val="00917F69"/>
    <w:rsid w:val="00920A40"/>
    <w:rsid w:val="00921971"/>
    <w:rsid w:val="00921DA4"/>
    <w:rsid w:val="00921F42"/>
    <w:rsid w:val="00922277"/>
    <w:rsid w:val="00922667"/>
    <w:rsid w:val="009226A2"/>
    <w:rsid w:val="00922A97"/>
    <w:rsid w:val="00922D6C"/>
    <w:rsid w:val="00923025"/>
    <w:rsid w:val="009232F8"/>
    <w:rsid w:val="00923739"/>
    <w:rsid w:val="00923751"/>
    <w:rsid w:val="009237CA"/>
    <w:rsid w:val="00923A67"/>
    <w:rsid w:val="00923D8E"/>
    <w:rsid w:val="00923E27"/>
    <w:rsid w:val="00924000"/>
    <w:rsid w:val="00924348"/>
    <w:rsid w:val="00924EB4"/>
    <w:rsid w:val="00924ED8"/>
    <w:rsid w:val="0092539F"/>
    <w:rsid w:val="00925976"/>
    <w:rsid w:val="00925E88"/>
    <w:rsid w:val="00925F7F"/>
    <w:rsid w:val="0092602A"/>
    <w:rsid w:val="009260B5"/>
    <w:rsid w:val="0092669D"/>
    <w:rsid w:val="009266CC"/>
    <w:rsid w:val="00926D63"/>
    <w:rsid w:val="00926F80"/>
    <w:rsid w:val="0092710D"/>
    <w:rsid w:val="00927652"/>
    <w:rsid w:val="00927C24"/>
    <w:rsid w:val="00927C37"/>
    <w:rsid w:val="00927F4D"/>
    <w:rsid w:val="009300D9"/>
    <w:rsid w:val="00930191"/>
    <w:rsid w:val="0093021D"/>
    <w:rsid w:val="00930F8D"/>
    <w:rsid w:val="009311D9"/>
    <w:rsid w:val="00931299"/>
    <w:rsid w:val="009312C3"/>
    <w:rsid w:val="00931440"/>
    <w:rsid w:val="009315A6"/>
    <w:rsid w:val="00931648"/>
    <w:rsid w:val="00931972"/>
    <w:rsid w:val="009319A7"/>
    <w:rsid w:val="00931CBB"/>
    <w:rsid w:val="00931FD6"/>
    <w:rsid w:val="0093212B"/>
    <w:rsid w:val="009321E4"/>
    <w:rsid w:val="009325EC"/>
    <w:rsid w:val="0093263E"/>
    <w:rsid w:val="00932764"/>
    <w:rsid w:val="0093281F"/>
    <w:rsid w:val="00932A4B"/>
    <w:rsid w:val="00932B1D"/>
    <w:rsid w:val="00932B4E"/>
    <w:rsid w:val="00933472"/>
    <w:rsid w:val="009335F9"/>
    <w:rsid w:val="0093381D"/>
    <w:rsid w:val="00933A8D"/>
    <w:rsid w:val="00933AC2"/>
    <w:rsid w:val="00933B93"/>
    <w:rsid w:val="00933BBD"/>
    <w:rsid w:val="00933C33"/>
    <w:rsid w:val="00934035"/>
    <w:rsid w:val="0093413E"/>
    <w:rsid w:val="009342DB"/>
    <w:rsid w:val="00934A81"/>
    <w:rsid w:val="00934AD9"/>
    <w:rsid w:val="00934C56"/>
    <w:rsid w:val="00934F1E"/>
    <w:rsid w:val="00934F5B"/>
    <w:rsid w:val="00935040"/>
    <w:rsid w:val="00935A2F"/>
    <w:rsid w:val="00935E2F"/>
    <w:rsid w:val="0093639E"/>
    <w:rsid w:val="00936A36"/>
    <w:rsid w:val="00936B3A"/>
    <w:rsid w:val="00936DA2"/>
    <w:rsid w:val="00936F74"/>
    <w:rsid w:val="0093713E"/>
    <w:rsid w:val="0093789F"/>
    <w:rsid w:val="0093795B"/>
    <w:rsid w:val="00937F47"/>
    <w:rsid w:val="009400E6"/>
    <w:rsid w:val="00940106"/>
    <w:rsid w:val="009402DF"/>
    <w:rsid w:val="0094052B"/>
    <w:rsid w:val="009405E6"/>
    <w:rsid w:val="0094084D"/>
    <w:rsid w:val="00941213"/>
    <w:rsid w:val="00941370"/>
    <w:rsid w:val="00941595"/>
    <w:rsid w:val="009417FC"/>
    <w:rsid w:val="009417FE"/>
    <w:rsid w:val="00941B9B"/>
    <w:rsid w:val="00941D76"/>
    <w:rsid w:val="00941F57"/>
    <w:rsid w:val="009420A1"/>
    <w:rsid w:val="0094237D"/>
    <w:rsid w:val="00942690"/>
    <w:rsid w:val="00942822"/>
    <w:rsid w:val="00942824"/>
    <w:rsid w:val="009428C4"/>
    <w:rsid w:val="00942C5E"/>
    <w:rsid w:val="00942CA8"/>
    <w:rsid w:val="00943522"/>
    <w:rsid w:val="00943D8E"/>
    <w:rsid w:val="00944BDF"/>
    <w:rsid w:val="00944CE3"/>
    <w:rsid w:val="00944E63"/>
    <w:rsid w:val="00944F12"/>
    <w:rsid w:val="00944FA1"/>
    <w:rsid w:val="009451A9"/>
    <w:rsid w:val="009451D0"/>
    <w:rsid w:val="0094556B"/>
    <w:rsid w:val="00945614"/>
    <w:rsid w:val="0094561F"/>
    <w:rsid w:val="00945BD2"/>
    <w:rsid w:val="00945C56"/>
    <w:rsid w:val="00945CCC"/>
    <w:rsid w:val="00945D79"/>
    <w:rsid w:val="00945DBC"/>
    <w:rsid w:val="00946058"/>
    <w:rsid w:val="00946376"/>
    <w:rsid w:val="009463EF"/>
    <w:rsid w:val="00946590"/>
    <w:rsid w:val="00946A9D"/>
    <w:rsid w:val="0094730D"/>
    <w:rsid w:val="0094732F"/>
    <w:rsid w:val="009476CA"/>
    <w:rsid w:val="0094774E"/>
    <w:rsid w:val="00947837"/>
    <w:rsid w:val="009478F5"/>
    <w:rsid w:val="00947D22"/>
    <w:rsid w:val="00947F6F"/>
    <w:rsid w:val="00950102"/>
    <w:rsid w:val="00950140"/>
    <w:rsid w:val="00950475"/>
    <w:rsid w:val="00950603"/>
    <w:rsid w:val="00950828"/>
    <w:rsid w:val="00950BDF"/>
    <w:rsid w:val="00950CDB"/>
    <w:rsid w:val="009510FB"/>
    <w:rsid w:val="00951281"/>
    <w:rsid w:val="00951369"/>
    <w:rsid w:val="00951CC6"/>
    <w:rsid w:val="00951D0E"/>
    <w:rsid w:val="00951E99"/>
    <w:rsid w:val="00951F8F"/>
    <w:rsid w:val="0095267B"/>
    <w:rsid w:val="009526A1"/>
    <w:rsid w:val="00952BA6"/>
    <w:rsid w:val="00952BF7"/>
    <w:rsid w:val="00952E92"/>
    <w:rsid w:val="00952F57"/>
    <w:rsid w:val="00952FE0"/>
    <w:rsid w:val="009532E2"/>
    <w:rsid w:val="00953618"/>
    <w:rsid w:val="009537D3"/>
    <w:rsid w:val="0095389E"/>
    <w:rsid w:val="0095445B"/>
    <w:rsid w:val="00954612"/>
    <w:rsid w:val="00954D61"/>
    <w:rsid w:val="009550DC"/>
    <w:rsid w:val="009559F5"/>
    <w:rsid w:val="00955BCE"/>
    <w:rsid w:val="0095609A"/>
    <w:rsid w:val="00956912"/>
    <w:rsid w:val="00956A06"/>
    <w:rsid w:val="00956B84"/>
    <w:rsid w:val="00956CC0"/>
    <w:rsid w:val="009577ED"/>
    <w:rsid w:val="00957AC8"/>
    <w:rsid w:val="00957E0B"/>
    <w:rsid w:val="009601D0"/>
    <w:rsid w:val="009604CC"/>
    <w:rsid w:val="00960591"/>
    <w:rsid w:val="00960656"/>
    <w:rsid w:val="00960C0A"/>
    <w:rsid w:val="00960F62"/>
    <w:rsid w:val="00960FAE"/>
    <w:rsid w:val="0096130E"/>
    <w:rsid w:val="00961693"/>
    <w:rsid w:val="009616D0"/>
    <w:rsid w:val="00961E85"/>
    <w:rsid w:val="00961FD2"/>
    <w:rsid w:val="009622D3"/>
    <w:rsid w:val="009627CB"/>
    <w:rsid w:val="00962D31"/>
    <w:rsid w:val="00962FD8"/>
    <w:rsid w:val="00963189"/>
    <w:rsid w:val="0096392B"/>
    <w:rsid w:val="00963BC4"/>
    <w:rsid w:val="0096405B"/>
    <w:rsid w:val="0096406D"/>
    <w:rsid w:val="0096428A"/>
    <w:rsid w:val="009644E6"/>
    <w:rsid w:val="0096462C"/>
    <w:rsid w:val="009647F0"/>
    <w:rsid w:val="00964B57"/>
    <w:rsid w:val="00964D6B"/>
    <w:rsid w:val="00964F23"/>
    <w:rsid w:val="009653B7"/>
    <w:rsid w:val="00965938"/>
    <w:rsid w:val="0096594E"/>
    <w:rsid w:val="0096621E"/>
    <w:rsid w:val="0096666F"/>
    <w:rsid w:val="009666FD"/>
    <w:rsid w:val="00966D1C"/>
    <w:rsid w:val="00966E74"/>
    <w:rsid w:val="0096718F"/>
    <w:rsid w:val="00967746"/>
    <w:rsid w:val="00967D1C"/>
    <w:rsid w:val="00967D77"/>
    <w:rsid w:val="00970E30"/>
    <w:rsid w:val="009714C5"/>
    <w:rsid w:val="00971A65"/>
    <w:rsid w:val="00971CAB"/>
    <w:rsid w:val="00971EA6"/>
    <w:rsid w:val="00971F20"/>
    <w:rsid w:val="0097247E"/>
    <w:rsid w:val="00972860"/>
    <w:rsid w:val="00972B98"/>
    <w:rsid w:val="00972C8F"/>
    <w:rsid w:val="00972F96"/>
    <w:rsid w:val="0097319A"/>
    <w:rsid w:val="00973244"/>
    <w:rsid w:val="0097344B"/>
    <w:rsid w:val="009734D1"/>
    <w:rsid w:val="0097372E"/>
    <w:rsid w:val="00973CBD"/>
    <w:rsid w:val="00973DF3"/>
    <w:rsid w:val="0097421F"/>
    <w:rsid w:val="009746CC"/>
    <w:rsid w:val="00974DC8"/>
    <w:rsid w:val="00974E64"/>
    <w:rsid w:val="00974EDC"/>
    <w:rsid w:val="00974F3F"/>
    <w:rsid w:val="009753D9"/>
    <w:rsid w:val="00975847"/>
    <w:rsid w:val="0097585B"/>
    <w:rsid w:val="00975C3B"/>
    <w:rsid w:val="00975CAB"/>
    <w:rsid w:val="00975DFC"/>
    <w:rsid w:val="00976002"/>
    <w:rsid w:val="00976311"/>
    <w:rsid w:val="0097665F"/>
    <w:rsid w:val="009766FB"/>
    <w:rsid w:val="00976729"/>
    <w:rsid w:val="00976C02"/>
    <w:rsid w:val="00976C56"/>
    <w:rsid w:val="00976FFA"/>
    <w:rsid w:val="009771F6"/>
    <w:rsid w:val="00977827"/>
    <w:rsid w:val="00977835"/>
    <w:rsid w:val="009779B1"/>
    <w:rsid w:val="00977A8B"/>
    <w:rsid w:val="00977BC5"/>
    <w:rsid w:val="00977BEC"/>
    <w:rsid w:val="00977BF5"/>
    <w:rsid w:val="00977E79"/>
    <w:rsid w:val="00980080"/>
    <w:rsid w:val="009808A9"/>
    <w:rsid w:val="00980A6D"/>
    <w:rsid w:val="00980FF6"/>
    <w:rsid w:val="009811A4"/>
    <w:rsid w:val="009811B7"/>
    <w:rsid w:val="009813F9"/>
    <w:rsid w:val="00981659"/>
    <w:rsid w:val="009817D2"/>
    <w:rsid w:val="00981DAA"/>
    <w:rsid w:val="00981FAD"/>
    <w:rsid w:val="00982234"/>
    <w:rsid w:val="00982355"/>
    <w:rsid w:val="009823BE"/>
    <w:rsid w:val="00982B3B"/>
    <w:rsid w:val="00982C20"/>
    <w:rsid w:val="0098302B"/>
    <w:rsid w:val="009835C8"/>
    <w:rsid w:val="00983817"/>
    <w:rsid w:val="009838C6"/>
    <w:rsid w:val="00983950"/>
    <w:rsid w:val="0098397D"/>
    <w:rsid w:val="00983BC6"/>
    <w:rsid w:val="00983C8D"/>
    <w:rsid w:val="00983CE3"/>
    <w:rsid w:val="00983DA0"/>
    <w:rsid w:val="00984030"/>
    <w:rsid w:val="009840BA"/>
    <w:rsid w:val="009840F0"/>
    <w:rsid w:val="00984555"/>
    <w:rsid w:val="00984579"/>
    <w:rsid w:val="00984596"/>
    <w:rsid w:val="009845B0"/>
    <w:rsid w:val="00984B42"/>
    <w:rsid w:val="00984B7F"/>
    <w:rsid w:val="00985A9D"/>
    <w:rsid w:val="009862B1"/>
    <w:rsid w:val="0098679C"/>
    <w:rsid w:val="00986D14"/>
    <w:rsid w:val="0098706A"/>
    <w:rsid w:val="00987451"/>
    <w:rsid w:val="009878A6"/>
    <w:rsid w:val="009878B5"/>
    <w:rsid w:val="009878E6"/>
    <w:rsid w:val="00987ADB"/>
    <w:rsid w:val="0099030A"/>
    <w:rsid w:val="0099030D"/>
    <w:rsid w:val="00990427"/>
    <w:rsid w:val="0099086E"/>
    <w:rsid w:val="00990A74"/>
    <w:rsid w:val="00990D87"/>
    <w:rsid w:val="00991080"/>
    <w:rsid w:val="00991365"/>
    <w:rsid w:val="009913C7"/>
    <w:rsid w:val="009913EB"/>
    <w:rsid w:val="00991404"/>
    <w:rsid w:val="009919E9"/>
    <w:rsid w:val="00991A14"/>
    <w:rsid w:val="00991A31"/>
    <w:rsid w:val="00991C9B"/>
    <w:rsid w:val="00991CC9"/>
    <w:rsid w:val="00992108"/>
    <w:rsid w:val="00992278"/>
    <w:rsid w:val="00992CF7"/>
    <w:rsid w:val="00992E22"/>
    <w:rsid w:val="00993318"/>
    <w:rsid w:val="009933B7"/>
    <w:rsid w:val="00993476"/>
    <w:rsid w:val="009935DF"/>
    <w:rsid w:val="0099374A"/>
    <w:rsid w:val="00993C1F"/>
    <w:rsid w:val="00993C4F"/>
    <w:rsid w:val="00993D46"/>
    <w:rsid w:val="0099411B"/>
    <w:rsid w:val="00994260"/>
    <w:rsid w:val="00994956"/>
    <w:rsid w:val="00994ED9"/>
    <w:rsid w:val="00994EFE"/>
    <w:rsid w:val="0099502A"/>
    <w:rsid w:val="00995EA2"/>
    <w:rsid w:val="00995EDB"/>
    <w:rsid w:val="00995FAB"/>
    <w:rsid w:val="00995FD4"/>
    <w:rsid w:val="00996091"/>
    <w:rsid w:val="00996377"/>
    <w:rsid w:val="00996391"/>
    <w:rsid w:val="00996581"/>
    <w:rsid w:val="009966B2"/>
    <w:rsid w:val="00997008"/>
    <w:rsid w:val="009973DB"/>
    <w:rsid w:val="0099745A"/>
    <w:rsid w:val="00997645"/>
    <w:rsid w:val="0099764A"/>
    <w:rsid w:val="0099767F"/>
    <w:rsid w:val="009977E5"/>
    <w:rsid w:val="00997979"/>
    <w:rsid w:val="00997A1A"/>
    <w:rsid w:val="00997BAA"/>
    <w:rsid w:val="009A0040"/>
    <w:rsid w:val="009A016C"/>
    <w:rsid w:val="009A0661"/>
    <w:rsid w:val="009A078E"/>
    <w:rsid w:val="009A0B39"/>
    <w:rsid w:val="009A15AF"/>
    <w:rsid w:val="009A16ED"/>
    <w:rsid w:val="009A1BB2"/>
    <w:rsid w:val="009A2329"/>
    <w:rsid w:val="009A23CE"/>
    <w:rsid w:val="009A24BD"/>
    <w:rsid w:val="009A2AC5"/>
    <w:rsid w:val="009A352A"/>
    <w:rsid w:val="009A3706"/>
    <w:rsid w:val="009A4908"/>
    <w:rsid w:val="009A4AEE"/>
    <w:rsid w:val="009A504D"/>
    <w:rsid w:val="009A5AE4"/>
    <w:rsid w:val="009A5D0B"/>
    <w:rsid w:val="009A5F2E"/>
    <w:rsid w:val="009A626E"/>
    <w:rsid w:val="009A6467"/>
    <w:rsid w:val="009A653B"/>
    <w:rsid w:val="009A66EE"/>
    <w:rsid w:val="009A6902"/>
    <w:rsid w:val="009A6C58"/>
    <w:rsid w:val="009A6E1F"/>
    <w:rsid w:val="009A7760"/>
    <w:rsid w:val="009A776D"/>
    <w:rsid w:val="009A7985"/>
    <w:rsid w:val="009A7A02"/>
    <w:rsid w:val="009A7A1F"/>
    <w:rsid w:val="009B016F"/>
    <w:rsid w:val="009B04B1"/>
    <w:rsid w:val="009B0663"/>
    <w:rsid w:val="009B08BD"/>
    <w:rsid w:val="009B0A52"/>
    <w:rsid w:val="009B0AC1"/>
    <w:rsid w:val="009B0FC1"/>
    <w:rsid w:val="009B1800"/>
    <w:rsid w:val="009B19FB"/>
    <w:rsid w:val="009B1C55"/>
    <w:rsid w:val="009B210B"/>
    <w:rsid w:val="009B2165"/>
    <w:rsid w:val="009B238E"/>
    <w:rsid w:val="009B244C"/>
    <w:rsid w:val="009B24AA"/>
    <w:rsid w:val="009B25CE"/>
    <w:rsid w:val="009B2A3D"/>
    <w:rsid w:val="009B2B4A"/>
    <w:rsid w:val="009B2B4F"/>
    <w:rsid w:val="009B2DAC"/>
    <w:rsid w:val="009B30F3"/>
    <w:rsid w:val="009B36AB"/>
    <w:rsid w:val="009B3A37"/>
    <w:rsid w:val="009B3C2A"/>
    <w:rsid w:val="009B3CD8"/>
    <w:rsid w:val="009B435F"/>
    <w:rsid w:val="009B4452"/>
    <w:rsid w:val="009B4AA7"/>
    <w:rsid w:val="009B550C"/>
    <w:rsid w:val="009B59D0"/>
    <w:rsid w:val="009B5E70"/>
    <w:rsid w:val="009B6584"/>
    <w:rsid w:val="009B67B2"/>
    <w:rsid w:val="009B67D3"/>
    <w:rsid w:val="009B67F6"/>
    <w:rsid w:val="009B6E42"/>
    <w:rsid w:val="009B72DF"/>
    <w:rsid w:val="009B7443"/>
    <w:rsid w:val="009B7481"/>
    <w:rsid w:val="009B74B2"/>
    <w:rsid w:val="009B788E"/>
    <w:rsid w:val="009B7A40"/>
    <w:rsid w:val="009B7BA2"/>
    <w:rsid w:val="009C008D"/>
    <w:rsid w:val="009C052D"/>
    <w:rsid w:val="009C0757"/>
    <w:rsid w:val="009C0B62"/>
    <w:rsid w:val="009C0BCC"/>
    <w:rsid w:val="009C0D21"/>
    <w:rsid w:val="009C0E03"/>
    <w:rsid w:val="009C0E60"/>
    <w:rsid w:val="009C1684"/>
    <w:rsid w:val="009C1AA6"/>
    <w:rsid w:val="009C1BE2"/>
    <w:rsid w:val="009C1C00"/>
    <w:rsid w:val="009C1D2B"/>
    <w:rsid w:val="009C1DA2"/>
    <w:rsid w:val="009C1DAD"/>
    <w:rsid w:val="009C1F1D"/>
    <w:rsid w:val="009C1F31"/>
    <w:rsid w:val="009C20D9"/>
    <w:rsid w:val="009C24E4"/>
    <w:rsid w:val="009C2859"/>
    <w:rsid w:val="009C2C8A"/>
    <w:rsid w:val="009C3997"/>
    <w:rsid w:val="009C3B05"/>
    <w:rsid w:val="009C3BD4"/>
    <w:rsid w:val="009C3D90"/>
    <w:rsid w:val="009C407D"/>
    <w:rsid w:val="009C408B"/>
    <w:rsid w:val="009C44DA"/>
    <w:rsid w:val="009C46C0"/>
    <w:rsid w:val="009C48F5"/>
    <w:rsid w:val="009C500A"/>
    <w:rsid w:val="009C51C1"/>
    <w:rsid w:val="009C5AA5"/>
    <w:rsid w:val="009C5B5C"/>
    <w:rsid w:val="009C5D7B"/>
    <w:rsid w:val="009C6062"/>
    <w:rsid w:val="009C6104"/>
    <w:rsid w:val="009C631F"/>
    <w:rsid w:val="009C64CB"/>
    <w:rsid w:val="009C6AB9"/>
    <w:rsid w:val="009C6AE1"/>
    <w:rsid w:val="009C6D52"/>
    <w:rsid w:val="009C70EA"/>
    <w:rsid w:val="009C7A81"/>
    <w:rsid w:val="009C7CD4"/>
    <w:rsid w:val="009C7FBE"/>
    <w:rsid w:val="009D03A8"/>
    <w:rsid w:val="009D08CF"/>
    <w:rsid w:val="009D09C1"/>
    <w:rsid w:val="009D0D3B"/>
    <w:rsid w:val="009D0E21"/>
    <w:rsid w:val="009D13C6"/>
    <w:rsid w:val="009D15C9"/>
    <w:rsid w:val="009D1A82"/>
    <w:rsid w:val="009D1F66"/>
    <w:rsid w:val="009D1F7E"/>
    <w:rsid w:val="009D21A1"/>
    <w:rsid w:val="009D2722"/>
    <w:rsid w:val="009D284A"/>
    <w:rsid w:val="009D2A0C"/>
    <w:rsid w:val="009D2ABE"/>
    <w:rsid w:val="009D2B26"/>
    <w:rsid w:val="009D2C5D"/>
    <w:rsid w:val="009D2D26"/>
    <w:rsid w:val="009D2D6A"/>
    <w:rsid w:val="009D2F37"/>
    <w:rsid w:val="009D314F"/>
    <w:rsid w:val="009D3241"/>
    <w:rsid w:val="009D3807"/>
    <w:rsid w:val="009D398A"/>
    <w:rsid w:val="009D3CDD"/>
    <w:rsid w:val="009D3FE8"/>
    <w:rsid w:val="009D42CE"/>
    <w:rsid w:val="009D434E"/>
    <w:rsid w:val="009D44F1"/>
    <w:rsid w:val="009D44FF"/>
    <w:rsid w:val="009D4C15"/>
    <w:rsid w:val="009D55DE"/>
    <w:rsid w:val="009D608C"/>
    <w:rsid w:val="009D654F"/>
    <w:rsid w:val="009D665A"/>
    <w:rsid w:val="009D6C3E"/>
    <w:rsid w:val="009D6C9C"/>
    <w:rsid w:val="009D6FD6"/>
    <w:rsid w:val="009D79E7"/>
    <w:rsid w:val="009D7AFD"/>
    <w:rsid w:val="009D7BCD"/>
    <w:rsid w:val="009E03D5"/>
    <w:rsid w:val="009E0450"/>
    <w:rsid w:val="009E0571"/>
    <w:rsid w:val="009E0699"/>
    <w:rsid w:val="009E074A"/>
    <w:rsid w:val="009E07A6"/>
    <w:rsid w:val="009E0E9D"/>
    <w:rsid w:val="009E0EF9"/>
    <w:rsid w:val="009E161C"/>
    <w:rsid w:val="009E18F5"/>
    <w:rsid w:val="009E1B45"/>
    <w:rsid w:val="009E1DEE"/>
    <w:rsid w:val="009E2392"/>
    <w:rsid w:val="009E23C4"/>
    <w:rsid w:val="009E2C73"/>
    <w:rsid w:val="009E33DE"/>
    <w:rsid w:val="009E35E8"/>
    <w:rsid w:val="009E36EB"/>
    <w:rsid w:val="009E3A5F"/>
    <w:rsid w:val="009E3B08"/>
    <w:rsid w:val="009E4293"/>
    <w:rsid w:val="009E4357"/>
    <w:rsid w:val="009E4391"/>
    <w:rsid w:val="009E499B"/>
    <w:rsid w:val="009E4F64"/>
    <w:rsid w:val="009E5192"/>
    <w:rsid w:val="009E552C"/>
    <w:rsid w:val="009E569D"/>
    <w:rsid w:val="009E5752"/>
    <w:rsid w:val="009E5BA5"/>
    <w:rsid w:val="009E5E46"/>
    <w:rsid w:val="009E5EBE"/>
    <w:rsid w:val="009E5F27"/>
    <w:rsid w:val="009E6171"/>
    <w:rsid w:val="009E6247"/>
    <w:rsid w:val="009E6607"/>
    <w:rsid w:val="009E664E"/>
    <w:rsid w:val="009E69C8"/>
    <w:rsid w:val="009E76D7"/>
    <w:rsid w:val="009E773F"/>
    <w:rsid w:val="009E79F8"/>
    <w:rsid w:val="009E7A23"/>
    <w:rsid w:val="009E7BCC"/>
    <w:rsid w:val="009E7C71"/>
    <w:rsid w:val="009EA6F3"/>
    <w:rsid w:val="009F004E"/>
    <w:rsid w:val="009F01B8"/>
    <w:rsid w:val="009F0295"/>
    <w:rsid w:val="009F032C"/>
    <w:rsid w:val="009F05B0"/>
    <w:rsid w:val="009F0800"/>
    <w:rsid w:val="009F0842"/>
    <w:rsid w:val="009F090E"/>
    <w:rsid w:val="009F0CB0"/>
    <w:rsid w:val="009F0E17"/>
    <w:rsid w:val="009F0F4B"/>
    <w:rsid w:val="009F1040"/>
    <w:rsid w:val="009F126A"/>
    <w:rsid w:val="009F138F"/>
    <w:rsid w:val="009F1552"/>
    <w:rsid w:val="009F1D39"/>
    <w:rsid w:val="009F22C4"/>
    <w:rsid w:val="009F2BDC"/>
    <w:rsid w:val="009F361A"/>
    <w:rsid w:val="009F36BE"/>
    <w:rsid w:val="009F37E0"/>
    <w:rsid w:val="009F3DFF"/>
    <w:rsid w:val="009F3E1A"/>
    <w:rsid w:val="009F4A31"/>
    <w:rsid w:val="009F4A56"/>
    <w:rsid w:val="009F4A74"/>
    <w:rsid w:val="009F4CB8"/>
    <w:rsid w:val="009F4CD3"/>
    <w:rsid w:val="009F52D5"/>
    <w:rsid w:val="009F5402"/>
    <w:rsid w:val="009F5673"/>
    <w:rsid w:val="009F6458"/>
    <w:rsid w:val="009F660D"/>
    <w:rsid w:val="009F6783"/>
    <w:rsid w:val="009F68F2"/>
    <w:rsid w:val="009F69B9"/>
    <w:rsid w:val="009F6CF5"/>
    <w:rsid w:val="009F6E9A"/>
    <w:rsid w:val="009F74EA"/>
    <w:rsid w:val="009F76A1"/>
    <w:rsid w:val="009F770D"/>
    <w:rsid w:val="00A0000D"/>
    <w:rsid w:val="00A004FE"/>
    <w:rsid w:val="00A00576"/>
    <w:rsid w:val="00A0074C"/>
    <w:rsid w:val="00A00814"/>
    <w:rsid w:val="00A00C29"/>
    <w:rsid w:val="00A00E19"/>
    <w:rsid w:val="00A00FCC"/>
    <w:rsid w:val="00A012B5"/>
    <w:rsid w:val="00A019AA"/>
    <w:rsid w:val="00A01BA6"/>
    <w:rsid w:val="00A01FE9"/>
    <w:rsid w:val="00A02177"/>
    <w:rsid w:val="00A022E3"/>
    <w:rsid w:val="00A02453"/>
    <w:rsid w:val="00A0279C"/>
    <w:rsid w:val="00A02AA0"/>
    <w:rsid w:val="00A02B6C"/>
    <w:rsid w:val="00A02BD5"/>
    <w:rsid w:val="00A02DE9"/>
    <w:rsid w:val="00A02FB9"/>
    <w:rsid w:val="00A0309F"/>
    <w:rsid w:val="00A03187"/>
    <w:rsid w:val="00A03210"/>
    <w:rsid w:val="00A03257"/>
    <w:rsid w:val="00A040EA"/>
    <w:rsid w:val="00A044FF"/>
    <w:rsid w:val="00A04858"/>
    <w:rsid w:val="00A04DAB"/>
    <w:rsid w:val="00A051F9"/>
    <w:rsid w:val="00A05602"/>
    <w:rsid w:val="00A0564B"/>
    <w:rsid w:val="00A0568B"/>
    <w:rsid w:val="00A05712"/>
    <w:rsid w:val="00A057C9"/>
    <w:rsid w:val="00A0595E"/>
    <w:rsid w:val="00A05981"/>
    <w:rsid w:val="00A06199"/>
    <w:rsid w:val="00A061FB"/>
    <w:rsid w:val="00A062FE"/>
    <w:rsid w:val="00A06550"/>
    <w:rsid w:val="00A0681D"/>
    <w:rsid w:val="00A06F84"/>
    <w:rsid w:val="00A07089"/>
    <w:rsid w:val="00A078A6"/>
    <w:rsid w:val="00A07B6D"/>
    <w:rsid w:val="00A07EC2"/>
    <w:rsid w:val="00A07F81"/>
    <w:rsid w:val="00A1004A"/>
    <w:rsid w:val="00A101FA"/>
    <w:rsid w:val="00A10245"/>
    <w:rsid w:val="00A102EC"/>
    <w:rsid w:val="00A10325"/>
    <w:rsid w:val="00A10404"/>
    <w:rsid w:val="00A10534"/>
    <w:rsid w:val="00A106FC"/>
    <w:rsid w:val="00A10719"/>
    <w:rsid w:val="00A10E63"/>
    <w:rsid w:val="00A1119E"/>
    <w:rsid w:val="00A1136E"/>
    <w:rsid w:val="00A113CF"/>
    <w:rsid w:val="00A116D2"/>
    <w:rsid w:val="00A11A7D"/>
    <w:rsid w:val="00A11C16"/>
    <w:rsid w:val="00A11C61"/>
    <w:rsid w:val="00A12426"/>
    <w:rsid w:val="00A128E7"/>
    <w:rsid w:val="00A12A11"/>
    <w:rsid w:val="00A12C97"/>
    <w:rsid w:val="00A12CC4"/>
    <w:rsid w:val="00A12D22"/>
    <w:rsid w:val="00A13A88"/>
    <w:rsid w:val="00A13C0A"/>
    <w:rsid w:val="00A13D03"/>
    <w:rsid w:val="00A13F7D"/>
    <w:rsid w:val="00A140E0"/>
    <w:rsid w:val="00A141D3"/>
    <w:rsid w:val="00A14464"/>
    <w:rsid w:val="00A14B85"/>
    <w:rsid w:val="00A14BF7"/>
    <w:rsid w:val="00A15284"/>
    <w:rsid w:val="00A154D0"/>
    <w:rsid w:val="00A15568"/>
    <w:rsid w:val="00A1560B"/>
    <w:rsid w:val="00A15668"/>
    <w:rsid w:val="00A15885"/>
    <w:rsid w:val="00A1597C"/>
    <w:rsid w:val="00A1625D"/>
    <w:rsid w:val="00A162F4"/>
    <w:rsid w:val="00A1657D"/>
    <w:rsid w:val="00A1677F"/>
    <w:rsid w:val="00A16C28"/>
    <w:rsid w:val="00A16D5B"/>
    <w:rsid w:val="00A16ED5"/>
    <w:rsid w:val="00A16FE7"/>
    <w:rsid w:val="00A16FF7"/>
    <w:rsid w:val="00A170AC"/>
    <w:rsid w:val="00A17310"/>
    <w:rsid w:val="00A1737C"/>
    <w:rsid w:val="00A1748F"/>
    <w:rsid w:val="00A175F6"/>
    <w:rsid w:val="00A179BB"/>
    <w:rsid w:val="00A17B32"/>
    <w:rsid w:val="00A17D1E"/>
    <w:rsid w:val="00A201E0"/>
    <w:rsid w:val="00A2026E"/>
    <w:rsid w:val="00A203AF"/>
    <w:rsid w:val="00A20422"/>
    <w:rsid w:val="00A207ED"/>
    <w:rsid w:val="00A20B75"/>
    <w:rsid w:val="00A20F2A"/>
    <w:rsid w:val="00A20F36"/>
    <w:rsid w:val="00A21300"/>
    <w:rsid w:val="00A213E9"/>
    <w:rsid w:val="00A2147B"/>
    <w:rsid w:val="00A21803"/>
    <w:rsid w:val="00A21B39"/>
    <w:rsid w:val="00A21BE3"/>
    <w:rsid w:val="00A21C89"/>
    <w:rsid w:val="00A21E51"/>
    <w:rsid w:val="00A22134"/>
    <w:rsid w:val="00A22936"/>
    <w:rsid w:val="00A22BBE"/>
    <w:rsid w:val="00A22ED5"/>
    <w:rsid w:val="00A2382F"/>
    <w:rsid w:val="00A23B16"/>
    <w:rsid w:val="00A23BB2"/>
    <w:rsid w:val="00A23F5D"/>
    <w:rsid w:val="00A2407A"/>
    <w:rsid w:val="00A24108"/>
    <w:rsid w:val="00A24354"/>
    <w:rsid w:val="00A2443C"/>
    <w:rsid w:val="00A2480B"/>
    <w:rsid w:val="00A24C62"/>
    <w:rsid w:val="00A253AB"/>
    <w:rsid w:val="00A2558F"/>
    <w:rsid w:val="00A2567E"/>
    <w:rsid w:val="00A25871"/>
    <w:rsid w:val="00A25B22"/>
    <w:rsid w:val="00A25D83"/>
    <w:rsid w:val="00A2602C"/>
    <w:rsid w:val="00A2626A"/>
    <w:rsid w:val="00A26B12"/>
    <w:rsid w:val="00A26EBF"/>
    <w:rsid w:val="00A26FA1"/>
    <w:rsid w:val="00A2770D"/>
    <w:rsid w:val="00A27C57"/>
    <w:rsid w:val="00A3065F"/>
    <w:rsid w:val="00A306A5"/>
    <w:rsid w:val="00A307F8"/>
    <w:rsid w:val="00A30DC9"/>
    <w:rsid w:val="00A30E8C"/>
    <w:rsid w:val="00A310DD"/>
    <w:rsid w:val="00A3116E"/>
    <w:rsid w:val="00A311E7"/>
    <w:rsid w:val="00A319B0"/>
    <w:rsid w:val="00A31FA6"/>
    <w:rsid w:val="00A3230C"/>
    <w:rsid w:val="00A3271B"/>
    <w:rsid w:val="00A329B9"/>
    <w:rsid w:val="00A32AFE"/>
    <w:rsid w:val="00A3302B"/>
    <w:rsid w:val="00A33035"/>
    <w:rsid w:val="00A336FE"/>
    <w:rsid w:val="00A3384F"/>
    <w:rsid w:val="00A338D4"/>
    <w:rsid w:val="00A33A80"/>
    <w:rsid w:val="00A33E47"/>
    <w:rsid w:val="00A33EAD"/>
    <w:rsid w:val="00A33F51"/>
    <w:rsid w:val="00A342A7"/>
    <w:rsid w:val="00A34589"/>
    <w:rsid w:val="00A3477E"/>
    <w:rsid w:val="00A347B8"/>
    <w:rsid w:val="00A34A2F"/>
    <w:rsid w:val="00A34A7B"/>
    <w:rsid w:val="00A34BB6"/>
    <w:rsid w:val="00A34E45"/>
    <w:rsid w:val="00A34EDF"/>
    <w:rsid w:val="00A35218"/>
    <w:rsid w:val="00A355A1"/>
    <w:rsid w:val="00A35661"/>
    <w:rsid w:val="00A35CC9"/>
    <w:rsid w:val="00A35CD3"/>
    <w:rsid w:val="00A35F20"/>
    <w:rsid w:val="00A35F7E"/>
    <w:rsid w:val="00A36202"/>
    <w:rsid w:val="00A3642A"/>
    <w:rsid w:val="00A36551"/>
    <w:rsid w:val="00A36973"/>
    <w:rsid w:val="00A36DAD"/>
    <w:rsid w:val="00A36DFF"/>
    <w:rsid w:val="00A36E2E"/>
    <w:rsid w:val="00A36F72"/>
    <w:rsid w:val="00A36F99"/>
    <w:rsid w:val="00A37224"/>
    <w:rsid w:val="00A3748C"/>
    <w:rsid w:val="00A37990"/>
    <w:rsid w:val="00A37A6B"/>
    <w:rsid w:val="00A37B0E"/>
    <w:rsid w:val="00A37DA1"/>
    <w:rsid w:val="00A3F9DD"/>
    <w:rsid w:val="00A40250"/>
    <w:rsid w:val="00A4025E"/>
    <w:rsid w:val="00A40D62"/>
    <w:rsid w:val="00A40F42"/>
    <w:rsid w:val="00A40FFD"/>
    <w:rsid w:val="00A40FFE"/>
    <w:rsid w:val="00A411C1"/>
    <w:rsid w:val="00A41221"/>
    <w:rsid w:val="00A41518"/>
    <w:rsid w:val="00A4156D"/>
    <w:rsid w:val="00A41CD0"/>
    <w:rsid w:val="00A4207E"/>
    <w:rsid w:val="00A4240E"/>
    <w:rsid w:val="00A42631"/>
    <w:rsid w:val="00A42644"/>
    <w:rsid w:val="00A42876"/>
    <w:rsid w:val="00A428B1"/>
    <w:rsid w:val="00A42A70"/>
    <w:rsid w:val="00A42B93"/>
    <w:rsid w:val="00A42D20"/>
    <w:rsid w:val="00A42DE5"/>
    <w:rsid w:val="00A4325B"/>
    <w:rsid w:val="00A43BA4"/>
    <w:rsid w:val="00A43D71"/>
    <w:rsid w:val="00A44032"/>
    <w:rsid w:val="00A4412D"/>
    <w:rsid w:val="00A441F9"/>
    <w:rsid w:val="00A4446C"/>
    <w:rsid w:val="00A445C6"/>
    <w:rsid w:val="00A4480E"/>
    <w:rsid w:val="00A44A8A"/>
    <w:rsid w:val="00A4509C"/>
    <w:rsid w:val="00A45266"/>
    <w:rsid w:val="00A45504"/>
    <w:rsid w:val="00A4579C"/>
    <w:rsid w:val="00A457C9"/>
    <w:rsid w:val="00A4585E"/>
    <w:rsid w:val="00A458DE"/>
    <w:rsid w:val="00A45ACC"/>
    <w:rsid w:val="00A45CC0"/>
    <w:rsid w:val="00A45DBA"/>
    <w:rsid w:val="00A45DE4"/>
    <w:rsid w:val="00A4643D"/>
    <w:rsid w:val="00A4646C"/>
    <w:rsid w:val="00A46489"/>
    <w:rsid w:val="00A467FE"/>
    <w:rsid w:val="00A46824"/>
    <w:rsid w:val="00A46C42"/>
    <w:rsid w:val="00A46FD6"/>
    <w:rsid w:val="00A470B5"/>
    <w:rsid w:val="00A472BE"/>
    <w:rsid w:val="00A47770"/>
    <w:rsid w:val="00A477D7"/>
    <w:rsid w:val="00A47856"/>
    <w:rsid w:val="00A47C5E"/>
    <w:rsid w:val="00A47C7B"/>
    <w:rsid w:val="00A47CB6"/>
    <w:rsid w:val="00A5016B"/>
    <w:rsid w:val="00A5020A"/>
    <w:rsid w:val="00A50584"/>
    <w:rsid w:val="00A50843"/>
    <w:rsid w:val="00A50874"/>
    <w:rsid w:val="00A5140D"/>
    <w:rsid w:val="00A5151D"/>
    <w:rsid w:val="00A515B1"/>
    <w:rsid w:val="00A515F4"/>
    <w:rsid w:val="00A516CA"/>
    <w:rsid w:val="00A5207B"/>
    <w:rsid w:val="00A52095"/>
    <w:rsid w:val="00A5254A"/>
    <w:rsid w:val="00A526B4"/>
    <w:rsid w:val="00A5274A"/>
    <w:rsid w:val="00A52B87"/>
    <w:rsid w:val="00A52CED"/>
    <w:rsid w:val="00A52FB6"/>
    <w:rsid w:val="00A52FFF"/>
    <w:rsid w:val="00A53093"/>
    <w:rsid w:val="00A536A2"/>
    <w:rsid w:val="00A536A9"/>
    <w:rsid w:val="00A53B53"/>
    <w:rsid w:val="00A53C14"/>
    <w:rsid w:val="00A54296"/>
    <w:rsid w:val="00A542C0"/>
    <w:rsid w:val="00A548EB"/>
    <w:rsid w:val="00A54B37"/>
    <w:rsid w:val="00A54BD6"/>
    <w:rsid w:val="00A54BE1"/>
    <w:rsid w:val="00A54E6E"/>
    <w:rsid w:val="00A54ECE"/>
    <w:rsid w:val="00A55F0F"/>
    <w:rsid w:val="00A56274"/>
    <w:rsid w:val="00A5638B"/>
    <w:rsid w:val="00A5647D"/>
    <w:rsid w:val="00A56F45"/>
    <w:rsid w:val="00A573B5"/>
    <w:rsid w:val="00A578A0"/>
    <w:rsid w:val="00A579BD"/>
    <w:rsid w:val="00A57C13"/>
    <w:rsid w:val="00A57D2C"/>
    <w:rsid w:val="00A6018F"/>
    <w:rsid w:val="00A602D1"/>
    <w:rsid w:val="00A60BFD"/>
    <w:rsid w:val="00A60F31"/>
    <w:rsid w:val="00A61159"/>
    <w:rsid w:val="00A61240"/>
    <w:rsid w:val="00A613F4"/>
    <w:rsid w:val="00A618AA"/>
    <w:rsid w:val="00A61CCF"/>
    <w:rsid w:val="00A6268D"/>
    <w:rsid w:val="00A62889"/>
    <w:rsid w:val="00A628F0"/>
    <w:rsid w:val="00A62982"/>
    <w:rsid w:val="00A629F1"/>
    <w:rsid w:val="00A62A95"/>
    <w:rsid w:val="00A62B6D"/>
    <w:rsid w:val="00A62D10"/>
    <w:rsid w:val="00A62EB9"/>
    <w:rsid w:val="00A6313D"/>
    <w:rsid w:val="00A63712"/>
    <w:rsid w:val="00A63AA8"/>
    <w:rsid w:val="00A63D67"/>
    <w:rsid w:val="00A63DCE"/>
    <w:rsid w:val="00A6462E"/>
    <w:rsid w:val="00A64635"/>
    <w:rsid w:val="00A647CE"/>
    <w:rsid w:val="00A64A62"/>
    <w:rsid w:val="00A64E39"/>
    <w:rsid w:val="00A65476"/>
    <w:rsid w:val="00A654BD"/>
    <w:rsid w:val="00A655E4"/>
    <w:rsid w:val="00A65CB7"/>
    <w:rsid w:val="00A65E0F"/>
    <w:rsid w:val="00A65FD6"/>
    <w:rsid w:val="00A6625D"/>
    <w:rsid w:val="00A6636A"/>
    <w:rsid w:val="00A6679A"/>
    <w:rsid w:val="00A667BF"/>
    <w:rsid w:val="00A66D38"/>
    <w:rsid w:val="00A670E8"/>
    <w:rsid w:val="00A6749F"/>
    <w:rsid w:val="00A6788D"/>
    <w:rsid w:val="00A67ADC"/>
    <w:rsid w:val="00A67D20"/>
    <w:rsid w:val="00A67D3C"/>
    <w:rsid w:val="00A67E5D"/>
    <w:rsid w:val="00A70351"/>
    <w:rsid w:val="00A70424"/>
    <w:rsid w:val="00A70758"/>
    <w:rsid w:val="00A70811"/>
    <w:rsid w:val="00A70A6F"/>
    <w:rsid w:val="00A70AF4"/>
    <w:rsid w:val="00A70C0B"/>
    <w:rsid w:val="00A70E3F"/>
    <w:rsid w:val="00A710A2"/>
    <w:rsid w:val="00A712D5"/>
    <w:rsid w:val="00A7151B"/>
    <w:rsid w:val="00A719D8"/>
    <w:rsid w:val="00A71ABE"/>
    <w:rsid w:val="00A72228"/>
    <w:rsid w:val="00A728F5"/>
    <w:rsid w:val="00A72B7E"/>
    <w:rsid w:val="00A73408"/>
    <w:rsid w:val="00A73657"/>
    <w:rsid w:val="00A737EA"/>
    <w:rsid w:val="00A73810"/>
    <w:rsid w:val="00A73CBD"/>
    <w:rsid w:val="00A73CDF"/>
    <w:rsid w:val="00A74CE0"/>
    <w:rsid w:val="00A751E6"/>
    <w:rsid w:val="00A753E9"/>
    <w:rsid w:val="00A75985"/>
    <w:rsid w:val="00A75BDD"/>
    <w:rsid w:val="00A75DE2"/>
    <w:rsid w:val="00A75FCC"/>
    <w:rsid w:val="00A76127"/>
    <w:rsid w:val="00A7615E"/>
    <w:rsid w:val="00A76310"/>
    <w:rsid w:val="00A767C8"/>
    <w:rsid w:val="00A76865"/>
    <w:rsid w:val="00A7687B"/>
    <w:rsid w:val="00A76A9E"/>
    <w:rsid w:val="00A76C9B"/>
    <w:rsid w:val="00A76CC5"/>
    <w:rsid w:val="00A77543"/>
    <w:rsid w:val="00A77650"/>
    <w:rsid w:val="00A7772A"/>
    <w:rsid w:val="00A77816"/>
    <w:rsid w:val="00A77DEA"/>
    <w:rsid w:val="00A801C0"/>
    <w:rsid w:val="00A802FA"/>
    <w:rsid w:val="00A803C1"/>
    <w:rsid w:val="00A8061E"/>
    <w:rsid w:val="00A80AC2"/>
    <w:rsid w:val="00A80D9D"/>
    <w:rsid w:val="00A80FEB"/>
    <w:rsid w:val="00A8110E"/>
    <w:rsid w:val="00A81191"/>
    <w:rsid w:val="00A8151B"/>
    <w:rsid w:val="00A81CE0"/>
    <w:rsid w:val="00A81D05"/>
    <w:rsid w:val="00A81E4D"/>
    <w:rsid w:val="00A81F2F"/>
    <w:rsid w:val="00A8205A"/>
    <w:rsid w:val="00A829C7"/>
    <w:rsid w:val="00A82C5F"/>
    <w:rsid w:val="00A82E30"/>
    <w:rsid w:val="00A8308D"/>
    <w:rsid w:val="00A83118"/>
    <w:rsid w:val="00A832E2"/>
    <w:rsid w:val="00A837E4"/>
    <w:rsid w:val="00A838A1"/>
    <w:rsid w:val="00A839D8"/>
    <w:rsid w:val="00A83CB1"/>
    <w:rsid w:val="00A83D96"/>
    <w:rsid w:val="00A83E74"/>
    <w:rsid w:val="00A84054"/>
    <w:rsid w:val="00A840B5"/>
    <w:rsid w:val="00A8417E"/>
    <w:rsid w:val="00A84296"/>
    <w:rsid w:val="00A84351"/>
    <w:rsid w:val="00A8453E"/>
    <w:rsid w:val="00A845A9"/>
    <w:rsid w:val="00A847D3"/>
    <w:rsid w:val="00A85163"/>
    <w:rsid w:val="00A8541B"/>
    <w:rsid w:val="00A85579"/>
    <w:rsid w:val="00A856B2"/>
    <w:rsid w:val="00A858B9"/>
    <w:rsid w:val="00A86357"/>
    <w:rsid w:val="00A86482"/>
    <w:rsid w:val="00A8656E"/>
    <w:rsid w:val="00A8662A"/>
    <w:rsid w:val="00A86650"/>
    <w:rsid w:val="00A866A6"/>
    <w:rsid w:val="00A867F3"/>
    <w:rsid w:val="00A8680C"/>
    <w:rsid w:val="00A86AE7"/>
    <w:rsid w:val="00A86B93"/>
    <w:rsid w:val="00A86E45"/>
    <w:rsid w:val="00A87691"/>
    <w:rsid w:val="00A87982"/>
    <w:rsid w:val="00A87BB6"/>
    <w:rsid w:val="00A87D60"/>
    <w:rsid w:val="00A87F2F"/>
    <w:rsid w:val="00A9026C"/>
    <w:rsid w:val="00A90857"/>
    <w:rsid w:val="00A90902"/>
    <w:rsid w:val="00A90AF2"/>
    <w:rsid w:val="00A90C73"/>
    <w:rsid w:val="00A90CFE"/>
    <w:rsid w:val="00A91137"/>
    <w:rsid w:val="00A91169"/>
    <w:rsid w:val="00A9116C"/>
    <w:rsid w:val="00A911F1"/>
    <w:rsid w:val="00A91553"/>
    <w:rsid w:val="00A915E9"/>
    <w:rsid w:val="00A91A83"/>
    <w:rsid w:val="00A91CD7"/>
    <w:rsid w:val="00A9203D"/>
    <w:rsid w:val="00A9206F"/>
    <w:rsid w:val="00A9241F"/>
    <w:rsid w:val="00A9268E"/>
    <w:rsid w:val="00A92B34"/>
    <w:rsid w:val="00A92CD6"/>
    <w:rsid w:val="00A92E7C"/>
    <w:rsid w:val="00A93138"/>
    <w:rsid w:val="00A9332B"/>
    <w:rsid w:val="00A933F9"/>
    <w:rsid w:val="00A93736"/>
    <w:rsid w:val="00A9382D"/>
    <w:rsid w:val="00A93A02"/>
    <w:rsid w:val="00A93C97"/>
    <w:rsid w:val="00A93CD9"/>
    <w:rsid w:val="00A940BD"/>
    <w:rsid w:val="00A9472F"/>
    <w:rsid w:val="00A94EFA"/>
    <w:rsid w:val="00A95011"/>
    <w:rsid w:val="00A951BE"/>
    <w:rsid w:val="00A955EC"/>
    <w:rsid w:val="00A95739"/>
    <w:rsid w:val="00A95AD1"/>
    <w:rsid w:val="00A95C60"/>
    <w:rsid w:val="00A95C8B"/>
    <w:rsid w:val="00A960B9"/>
    <w:rsid w:val="00A96413"/>
    <w:rsid w:val="00A96863"/>
    <w:rsid w:val="00A96C90"/>
    <w:rsid w:val="00A96E82"/>
    <w:rsid w:val="00A96F76"/>
    <w:rsid w:val="00A97085"/>
    <w:rsid w:val="00A97154"/>
    <w:rsid w:val="00A972A1"/>
    <w:rsid w:val="00A977A3"/>
    <w:rsid w:val="00A97A55"/>
    <w:rsid w:val="00A97C8A"/>
    <w:rsid w:val="00A97EBF"/>
    <w:rsid w:val="00AA00D4"/>
    <w:rsid w:val="00AA00DC"/>
    <w:rsid w:val="00AA01B1"/>
    <w:rsid w:val="00AA022F"/>
    <w:rsid w:val="00AA0235"/>
    <w:rsid w:val="00AA0690"/>
    <w:rsid w:val="00AA091D"/>
    <w:rsid w:val="00AA0BFC"/>
    <w:rsid w:val="00AA0E58"/>
    <w:rsid w:val="00AA0E5E"/>
    <w:rsid w:val="00AA11FD"/>
    <w:rsid w:val="00AA1256"/>
    <w:rsid w:val="00AA127F"/>
    <w:rsid w:val="00AA1A5A"/>
    <w:rsid w:val="00AA212D"/>
    <w:rsid w:val="00AA2591"/>
    <w:rsid w:val="00AA2622"/>
    <w:rsid w:val="00AA27B3"/>
    <w:rsid w:val="00AA2DAE"/>
    <w:rsid w:val="00AA2E29"/>
    <w:rsid w:val="00AA3010"/>
    <w:rsid w:val="00AA39A9"/>
    <w:rsid w:val="00AA3BEB"/>
    <w:rsid w:val="00AA44BC"/>
    <w:rsid w:val="00AA50F6"/>
    <w:rsid w:val="00AA54A4"/>
    <w:rsid w:val="00AA58D3"/>
    <w:rsid w:val="00AA5B82"/>
    <w:rsid w:val="00AA5B98"/>
    <w:rsid w:val="00AA60D7"/>
    <w:rsid w:val="00AA639D"/>
    <w:rsid w:val="00AA6644"/>
    <w:rsid w:val="00AA6693"/>
    <w:rsid w:val="00AA6A1A"/>
    <w:rsid w:val="00AA6B67"/>
    <w:rsid w:val="00AA7257"/>
    <w:rsid w:val="00AA7309"/>
    <w:rsid w:val="00AA755A"/>
    <w:rsid w:val="00AA7B7C"/>
    <w:rsid w:val="00AA7E2E"/>
    <w:rsid w:val="00AB0133"/>
    <w:rsid w:val="00AB0447"/>
    <w:rsid w:val="00AB075B"/>
    <w:rsid w:val="00AB0B7A"/>
    <w:rsid w:val="00AB0D9A"/>
    <w:rsid w:val="00AB0F23"/>
    <w:rsid w:val="00AB1713"/>
    <w:rsid w:val="00AB1833"/>
    <w:rsid w:val="00AB19A9"/>
    <w:rsid w:val="00AB19E1"/>
    <w:rsid w:val="00AB1C54"/>
    <w:rsid w:val="00AB1D16"/>
    <w:rsid w:val="00AB1FF7"/>
    <w:rsid w:val="00AB287C"/>
    <w:rsid w:val="00AB33BB"/>
    <w:rsid w:val="00AB3E08"/>
    <w:rsid w:val="00AB3F28"/>
    <w:rsid w:val="00AB4669"/>
    <w:rsid w:val="00AB47A0"/>
    <w:rsid w:val="00AB4B5B"/>
    <w:rsid w:val="00AB4F44"/>
    <w:rsid w:val="00AB4F67"/>
    <w:rsid w:val="00AB5105"/>
    <w:rsid w:val="00AB5115"/>
    <w:rsid w:val="00AB51CA"/>
    <w:rsid w:val="00AB52F8"/>
    <w:rsid w:val="00AB5493"/>
    <w:rsid w:val="00AB5992"/>
    <w:rsid w:val="00AB5E2C"/>
    <w:rsid w:val="00AB61B5"/>
    <w:rsid w:val="00AB62A2"/>
    <w:rsid w:val="00AB681A"/>
    <w:rsid w:val="00AB6EB9"/>
    <w:rsid w:val="00AB6FE9"/>
    <w:rsid w:val="00AB6FEF"/>
    <w:rsid w:val="00AB70B5"/>
    <w:rsid w:val="00AB712D"/>
    <w:rsid w:val="00AB7217"/>
    <w:rsid w:val="00AB732C"/>
    <w:rsid w:val="00AB7454"/>
    <w:rsid w:val="00AB750E"/>
    <w:rsid w:val="00AB77D8"/>
    <w:rsid w:val="00AB7A6E"/>
    <w:rsid w:val="00AB7CCF"/>
    <w:rsid w:val="00AB7DEB"/>
    <w:rsid w:val="00AC0136"/>
    <w:rsid w:val="00AC01A9"/>
    <w:rsid w:val="00AC0308"/>
    <w:rsid w:val="00AC0709"/>
    <w:rsid w:val="00AC0A91"/>
    <w:rsid w:val="00AC0C3A"/>
    <w:rsid w:val="00AC0D6E"/>
    <w:rsid w:val="00AC1064"/>
    <w:rsid w:val="00AC133B"/>
    <w:rsid w:val="00AC15C2"/>
    <w:rsid w:val="00AC1B66"/>
    <w:rsid w:val="00AC1E57"/>
    <w:rsid w:val="00AC2092"/>
    <w:rsid w:val="00AC21C8"/>
    <w:rsid w:val="00AC231E"/>
    <w:rsid w:val="00AC244D"/>
    <w:rsid w:val="00AC24D8"/>
    <w:rsid w:val="00AC269C"/>
    <w:rsid w:val="00AC2BAF"/>
    <w:rsid w:val="00AC2BBA"/>
    <w:rsid w:val="00AC2C0B"/>
    <w:rsid w:val="00AC2E1F"/>
    <w:rsid w:val="00AC2F28"/>
    <w:rsid w:val="00AC306B"/>
    <w:rsid w:val="00AC3AA9"/>
    <w:rsid w:val="00AC4459"/>
    <w:rsid w:val="00AC447D"/>
    <w:rsid w:val="00AC45BE"/>
    <w:rsid w:val="00AC476A"/>
    <w:rsid w:val="00AC4967"/>
    <w:rsid w:val="00AC4A50"/>
    <w:rsid w:val="00AC4D5F"/>
    <w:rsid w:val="00AC4F7A"/>
    <w:rsid w:val="00AC50F0"/>
    <w:rsid w:val="00AC537D"/>
    <w:rsid w:val="00AC53A6"/>
    <w:rsid w:val="00AC53D8"/>
    <w:rsid w:val="00AC57DF"/>
    <w:rsid w:val="00AC582F"/>
    <w:rsid w:val="00AC5862"/>
    <w:rsid w:val="00AC5A5E"/>
    <w:rsid w:val="00AC5CAB"/>
    <w:rsid w:val="00AC5D09"/>
    <w:rsid w:val="00AC5DAC"/>
    <w:rsid w:val="00AC5E47"/>
    <w:rsid w:val="00AC5F35"/>
    <w:rsid w:val="00AC64BE"/>
    <w:rsid w:val="00AC6971"/>
    <w:rsid w:val="00AC698D"/>
    <w:rsid w:val="00AC6A17"/>
    <w:rsid w:val="00AC6CE3"/>
    <w:rsid w:val="00AC70D9"/>
    <w:rsid w:val="00AC717A"/>
    <w:rsid w:val="00AC73B4"/>
    <w:rsid w:val="00AC73FF"/>
    <w:rsid w:val="00AC74C3"/>
    <w:rsid w:val="00AC751A"/>
    <w:rsid w:val="00AC7656"/>
    <w:rsid w:val="00AC77A5"/>
    <w:rsid w:val="00AC7988"/>
    <w:rsid w:val="00AC7A58"/>
    <w:rsid w:val="00AC7B7C"/>
    <w:rsid w:val="00AC7CBC"/>
    <w:rsid w:val="00AC7E07"/>
    <w:rsid w:val="00AD00EC"/>
    <w:rsid w:val="00AD0251"/>
    <w:rsid w:val="00AD02AE"/>
    <w:rsid w:val="00AD0558"/>
    <w:rsid w:val="00AD06C7"/>
    <w:rsid w:val="00AD0963"/>
    <w:rsid w:val="00AD0A70"/>
    <w:rsid w:val="00AD0B2E"/>
    <w:rsid w:val="00AD0C80"/>
    <w:rsid w:val="00AD0EDC"/>
    <w:rsid w:val="00AD0EF2"/>
    <w:rsid w:val="00AD148C"/>
    <w:rsid w:val="00AD158F"/>
    <w:rsid w:val="00AD170B"/>
    <w:rsid w:val="00AD19E6"/>
    <w:rsid w:val="00AD2161"/>
    <w:rsid w:val="00AD2416"/>
    <w:rsid w:val="00AD3250"/>
    <w:rsid w:val="00AD3404"/>
    <w:rsid w:val="00AD3B17"/>
    <w:rsid w:val="00AD3B97"/>
    <w:rsid w:val="00AD3BDF"/>
    <w:rsid w:val="00AD3DBA"/>
    <w:rsid w:val="00AD3E6D"/>
    <w:rsid w:val="00AD3E84"/>
    <w:rsid w:val="00AD3F70"/>
    <w:rsid w:val="00AD4026"/>
    <w:rsid w:val="00AD450E"/>
    <w:rsid w:val="00AD4ECF"/>
    <w:rsid w:val="00AD55A4"/>
    <w:rsid w:val="00AD58B6"/>
    <w:rsid w:val="00AD5A78"/>
    <w:rsid w:val="00AD65ED"/>
    <w:rsid w:val="00AD6860"/>
    <w:rsid w:val="00AD69C7"/>
    <w:rsid w:val="00AD741B"/>
    <w:rsid w:val="00AD79AE"/>
    <w:rsid w:val="00AD7CFC"/>
    <w:rsid w:val="00AD7DCF"/>
    <w:rsid w:val="00AE00C1"/>
    <w:rsid w:val="00AE0154"/>
    <w:rsid w:val="00AE01E4"/>
    <w:rsid w:val="00AE0366"/>
    <w:rsid w:val="00AE0520"/>
    <w:rsid w:val="00AE090C"/>
    <w:rsid w:val="00AE0DA2"/>
    <w:rsid w:val="00AE12FE"/>
    <w:rsid w:val="00AE1368"/>
    <w:rsid w:val="00AE1E54"/>
    <w:rsid w:val="00AE20B7"/>
    <w:rsid w:val="00AE225F"/>
    <w:rsid w:val="00AE2C19"/>
    <w:rsid w:val="00AE2C2E"/>
    <w:rsid w:val="00AE30C2"/>
    <w:rsid w:val="00AE3185"/>
    <w:rsid w:val="00AE33F4"/>
    <w:rsid w:val="00AE35BE"/>
    <w:rsid w:val="00AE3B78"/>
    <w:rsid w:val="00AE3C3C"/>
    <w:rsid w:val="00AE3C96"/>
    <w:rsid w:val="00AE3E7C"/>
    <w:rsid w:val="00AE3FA0"/>
    <w:rsid w:val="00AE400B"/>
    <w:rsid w:val="00AE4470"/>
    <w:rsid w:val="00AE4980"/>
    <w:rsid w:val="00AE4B12"/>
    <w:rsid w:val="00AE4D97"/>
    <w:rsid w:val="00AE5020"/>
    <w:rsid w:val="00AE5245"/>
    <w:rsid w:val="00AE5438"/>
    <w:rsid w:val="00AE587F"/>
    <w:rsid w:val="00AE58A8"/>
    <w:rsid w:val="00AE5BB7"/>
    <w:rsid w:val="00AE5D53"/>
    <w:rsid w:val="00AE61BE"/>
    <w:rsid w:val="00AE61ED"/>
    <w:rsid w:val="00AE69F3"/>
    <w:rsid w:val="00AE6B19"/>
    <w:rsid w:val="00AE6CDD"/>
    <w:rsid w:val="00AE6D30"/>
    <w:rsid w:val="00AE6F62"/>
    <w:rsid w:val="00AE6F6E"/>
    <w:rsid w:val="00AE721E"/>
    <w:rsid w:val="00AE724F"/>
    <w:rsid w:val="00AE7302"/>
    <w:rsid w:val="00AE73A2"/>
    <w:rsid w:val="00AE776D"/>
    <w:rsid w:val="00AE77BA"/>
    <w:rsid w:val="00AF03DE"/>
    <w:rsid w:val="00AF0568"/>
    <w:rsid w:val="00AF06C3"/>
    <w:rsid w:val="00AF0737"/>
    <w:rsid w:val="00AF0E99"/>
    <w:rsid w:val="00AF0FF8"/>
    <w:rsid w:val="00AF12B6"/>
    <w:rsid w:val="00AF1E38"/>
    <w:rsid w:val="00AF2353"/>
    <w:rsid w:val="00AF26CE"/>
    <w:rsid w:val="00AF27AD"/>
    <w:rsid w:val="00AF2823"/>
    <w:rsid w:val="00AF2A2B"/>
    <w:rsid w:val="00AF3550"/>
    <w:rsid w:val="00AF371C"/>
    <w:rsid w:val="00AF3AB3"/>
    <w:rsid w:val="00AF3EFD"/>
    <w:rsid w:val="00AF402A"/>
    <w:rsid w:val="00AF416D"/>
    <w:rsid w:val="00AF437B"/>
    <w:rsid w:val="00AF44C4"/>
    <w:rsid w:val="00AF4906"/>
    <w:rsid w:val="00AF4C5D"/>
    <w:rsid w:val="00AF4DDF"/>
    <w:rsid w:val="00AF4ED5"/>
    <w:rsid w:val="00AF528B"/>
    <w:rsid w:val="00AF5398"/>
    <w:rsid w:val="00AF5476"/>
    <w:rsid w:val="00AF5643"/>
    <w:rsid w:val="00AF5647"/>
    <w:rsid w:val="00AF5996"/>
    <w:rsid w:val="00AF5BEF"/>
    <w:rsid w:val="00AF5C78"/>
    <w:rsid w:val="00AF5CC9"/>
    <w:rsid w:val="00AF60C1"/>
    <w:rsid w:val="00AF639F"/>
    <w:rsid w:val="00AF65F5"/>
    <w:rsid w:val="00AF66BF"/>
    <w:rsid w:val="00AF6C1A"/>
    <w:rsid w:val="00AF6D50"/>
    <w:rsid w:val="00AF6E44"/>
    <w:rsid w:val="00AF7007"/>
    <w:rsid w:val="00AF7492"/>
    <w:rsid w:val="00AF79A9"/>
    <w:rsid w:val="00AF7B0D"/>
    <w:rsid w:val="00AF7D3F"/>
    <w:rsid w:val="00AF7F43"/>
    <w:rsid w:val="00B00034"/>
    <w:rsid w:val="00B00557"/>
    <w:rsid w:val="00B00E98"/>
    <w:rsid w:val="00B01B89"/>
    <w:rsid w:val="00B01D32"/>
    <w:rsid w:val="00B02335"/>
    <w:rsid w:val="00B02ED7"/>
    <w:rsid w:val="00B03087"/>
    <w:rsid w:val="00B03640"/>
    <w:rsid w:val="00B0397B"/>
    <w:rsid w:val="00B03C0E"/>
    <w:rsid w:val="00B03DBA"/>
    <w:rsid w:val="00B041E6"/>
    <w:rsid w:val="00B04257"/>
    <w:rsid w:val="00B0432F"/>
    <w:rsid w:val="00B04936"/>
    <w:rsid w:val="00B049A1"/>
    <w:rsid w:val="00B04D30"/>
    <w:rsid w:val="00B04F1B"/>
    <w:rsid w:val="00B05284"/>
    <w:rsid w:val="00B05666"/>
    <w:rsid w:val="00B05D98"/>
    <w:rsid w:val="00B06101"/>
    <w:rsid w:val="00B07081"/>
    <w:rsid w:val="00B071A4"/>
    <w:rsid w:val="00B074C0"/>
    <w:rsid w:val="00B07709"/>
    <w:rsid w:val="00B0797C"/>
    <w:rsid w:val="00B100F6"/>
    <w:rsid w:val="00B103C6"/>
    <w:rsid w:val="00B106BD"/>
    <w:rsid w:val="00B106F1"/>
    <w:rsid w:val="00B112AE"/>
    <w:rsid w:val="00B1157A"/>
    <w:rsid w:val="00B1171E"/>
    <w:rsid w:val="00B11A4A"/>
    <w:rsid w:val="00B11D68"/>
    <w:rsid w:val="00B11F8F"/>
    <w:rsid w:val="00B12060"/>
    <w:rsid w:val="00B1226C"/>
    <w:rsid w:val="00B12B8E"/>
    <w:rsid w:val="00B12CC2"/>
    <w:rsid w:val="00B130AE"/>
    <w:rsid w:val="00B1350D"/>
    <w:rsid w:val="00B135BF"/>
    <w:rsid w:val="00B13A3D"/>
    <w:rsid w:val="00B13E3F"/>
    <w:rsid w:val="00B14317"/>
    <w:rsid w:val="00B145CC"/>
    <w:rsid w:val="00B149A3"/>
    <w:rsid w:val="00B14A36"/>
    <w:rsid w:val="00B15149"/>
    <w:rsid w:val="00B15624"/>
    <w:rsid w:val="00B15707"/>
    <w:rsid w:val="00B1584C"/>
    <w:rsid w:val="00B158B5"/>
    <w:rsid w:val="00B158D5"/>
    <w:rsid w:val="00B158E6"/>
    <w:rsid w:val="00B159D7"/>
    <w:rsid w:val="00B15A50"/>
    <w:rsid w:val="00B15C23"/>
    <w:rsid w:val="00B166B7"/>
    <w:rsid w:val="00B1671F"/>
    <w:rsid w:val="00B1682A"/>
    <w:rsid w:val="00B1691F"/>
    <w:rsid w:val="00B16BDF"/>
    <w:rsid w:val="00B16C8E"/>
    <w:rsid w:val="00B16D74"/>
    <w:rsid w:val="00B17274"/>
    <w:rsid w:val="00B17652"/>
    <w:rsid w:val="00B17665"/>
    <w:rsid w:val="00B1777A"/>
    <w:rsid w:val="00B17BA6"/>
    <w:rsid w:val="00B17E07"/>
    <w:rsid w:val="00B202F6"/>
    <w:rsid w:val="00B2032D"/>
    <w:rsid w:val="00B203A9"/>
    <w:rsid w:val="00B20452"/>
    <w:rsid w:val="00B20907"/>
    <w:rsid w:val="00B21A03"/>
    <w:rsid w:val="00B21A3C"/>
    <w:rsid w:val="00B21C31"/>
    <w:rsid w:val="00B21CA1"/>
    <w:rsid w:val="00B21D66"/>
    <w:rsid w:val="00B2201A"/>
    <w:rsid w:val="00B222E1"/>
    <w:rsid w:val="00B224F0"/>
    <w:rsid w:val="00B22DB9"/>
    <w:rsid w:val="00B23294"/>
    <w:rsid w:val="00B2374A"/>
    <w:rsid w:val="00B23882"/>
    <w:rsid w:val="00B2389D"/>
    <w:rsid w:val="00B239B3"/>
    <w:rsid w:val="00B23A4E"/>
    <w:rsid w:val="00B24200"/>
    <w:rsid w:val="00B243B7"/>
    <w:rsid w:val="00B24B45"/>
    <w:rsid w:val="00B24CB0"/>
    <w:rsid w:val="00B2548E"/>
    <w:rsid w:val="00B254D6"/>
    <w:rsid w:val="00B25504"/>
    <w:rsid w:val="00B25659"/>
    <w:rsid w:val="00B256CE"/>
    <w:rsid w:val="00B25736"/>
    <w:rsid w:val="00B259C4"/>
    <w:rsid w:val="00B25A68"/>
    <w:rsid w:val="00B25CF0"/>
    <w:rsid w:val="00B25F5B"/>
    <w:rsid w:val="00B25FB2"/>
    <w:rsid w:val="00B26078"/>
    <w:rsid w:val="00B26778"/>
    <w:rsid w:val="00B2686C"/>
    <w:rsid w:val="00B26CE8"/>
    <w:rsid w:val="00B26F11"/>
    <w:rsid w:val="00B27032"/>
    <w:rsid w:val="00B270F3"/>
    <w:rsid w:val="00B27388"/>
    <w:rsid w:val="00B27B97"/>
    <w:rsid w:val="00B27FE2"/>
    <w:rsid w:val="00B303CE"/>
    <w:rsid w:val="00B3059F"/>
    <w:rsid w:val="00B308C8"/>
    <w:rsid w:val="00B309AE"/>
    <w:rsid w:val="00B30BFE"/>
    <w:rsid w:val="00B3111D"/>
    <w:rsid w:val="00B31B07"/>
    <w:rsid w:val="00B31BEB"/>
    <w:rsid w:val="00B31F96"/>
    <w:rsid w:val="00B31FA2"/>
    <w:rsid w:val="00B3208C"/>
    <w:rsid w:val="00B323E5"/>
    <w:rsid w:val="00B32C97"/>
    <w:rsid w:val="00B33331"/>
    <w:rsid w:val="00B33653"/>
    <w:rsid w:val="00B3371A"/>
    <w:rsid w:val="00B33763"/>
    <w:rsid w:val="00B33B6B"/>
    <w:rsid w:val="00B342B5"/>
    <w:rsid w:val="00B34B31"/>
    <w:rsid w:val="00B34CDB"/>
    <w:rsid w:val="00B34F2A"/>
    <w:rsid w:val="00B34F78"/>
    <w:rsid w:val="00B34F85"/>
    <w:rsid w:val="00B35136"/>
    <w:rsid w:val="00B35180"/>
    <w:rsid w:val="00B3541B"/>
    <w:rsid w:val="00B3564D"/>
    <w:rsid w:val="00B35A96"/>
    <w:rsid w:val="00B3616A"/>
    <w:rsid w:val="00B3624A"/>
    <w:rsid w:val="00B362BA"/>
    <w:rsid w:val="00B36309"/>
    <w:rsid w:val="00B366C8"/>
    <w:rsid w:val="00B3676C"/>
    <w:rsid w:val="00B368EC"/>
    <w:rsid w:val="00B37268"/>
    <w:rsid w:val="00B372EB"/>
    <w:rsid w:val="00B3732F"/>
    <w:rsid w:val="00B3754F"/>
    <w:rsid w:val="00B3764A"/>
    <w:rsid w:val="00B377B4"/>
    <w:rsid w:val="00B3780E"/>
    <w:rsid w:val="00B37C5F"/>
    <w:rsid w:val="00B37CF3"/>
    <w:rsid w:val="00B37EA6"/>
    <w:rsid w:val="00B40101"/>
    <w:rsid w:val="00B409B4"/>
    <w:rsid w:val="00B40E7F"/>
    <w:rsid w:val="00B41513"/>
    <w:rsid w:val="00B416E8"/>
    <w:rsid w:val="00B41A49"/>
    <w:rsid w:val="00B41EBA"/>
    <w:rsid w:val="00B42561"/>
    <w:rsid w:val="00B428DA"/>
    <w:rsid w:val="00B42AC3"/>
    <w:rsid w:val="00B4310C"/>
    <w:rsid w:val="00B43482"/>
    <w:rsid w:val="00B4354E"/>
    <w:rsid w:val="00B43627"/>
    <w:rsid w:val="00B43C41"/>
    <w:rsid w:val="00B43C9F"/>
    <w:rsid w:val="00B43F42"/>
    <w:rsid w:val="00B43F76"/>
    <w:rsid w:val="00B43F91"/>
    <w:rsid w:val="00B43FB3"/>
    <w:rsid w:val="00B443DE"/>
    <w:rsid w:val="00B445F3"/>
    <w:rsid w:val="00B446F8"/>
    <w:rsid w:val="00B4493B"/>
    <w:rsid w:val="00B44CCB"/>
    <w:rsid w:val="00B44D8F"/>
    <w:rsid w:val="00B451E3"/>
    <w:rsid w:val="00B45276"/>
    <w:rsid w:val="00B45354"/>
    <w:rsid w:val="00B45619"/>
    <w:rsid w:val="00B459DD"/>
    <w:rsid w:val="00B461B5"/>
    <w:rsid w:val="00B4688C"/>
    <w:rsid w:val="00B46BF6"/>
    <w:rsid w:val="00B46D95"/>
    <w:rsid w:val="00B46DDC"/>
    <w:rsid w:val="00B46F98"/>
    <w:rsid w:val="00B46FD7"/>
    <w:rsid w:val="00B4711F"/>
    <w:rsid w:val="00B472C7"/>
    <w:rsid w:val="00B47303"/>
    <w:rsid w:val="00B4765B"/>
    <w:rsid w:val="00B4777C"/>
    <w:rsid w:val="00B4778E"/>
    <w:rsid w:val="00B47A36"/>
    <w:rsid w:val="00B47F7A"/>
    <w:rsid w:val="00B500C0"/>
    <w:rsid w:val="00B502E0"/>
    <w:rsid w:val="00B50A61"/>
    <w:rsid w:val="00B50B46"/>
    <w:rsid w:val="00B50CDC"/>
    <w:rsid w:val="00B512AA"/>
    <w:rsid w:val="00B5137F"/>
    <w:rsid w:val="00B515BB"/>
    <w:rsid w:val="00B517FD"/>
    <w:rsid w:val="00B5190B"/>
    <w:rsid w:val="00B51EC2"/>
    <w:rsid w:val="00B52523"/>
    <w:rsid w:val="00B5258D"/>
    <w:rsid w:val="00B528F8"/>
    <w:rsid w:val="00B529CF"/>
    <w:rsid w:val="00B52CBA"/>
    <w:rsid w:val="00B53215"/>
    <w:rsid w:val="00B535F8"/>
    <w:rsid w:val="00B538DA"/>
    <w:rsid w:val="00B53975"/>
    <w:rsid w:val="00B53B93"/>
    <w:rsid w:val="00B5432D"/>
    <w:rsid w:val="00B5448B"/>
    <w:rsid w:val="00B547E8"/>
    <w:rsid w:val="00B54DDE"/>
    <w:rsid w:val="00B54FE0"/>
    <w:rsid w:val="00B54FF5"/>
    <w:rsid w:val="00B55096"/>
    <w:rsid w:val="00B55133"/>
    <w:rsid w:val="00B55222"/>
    <w:rsid w:val="00B553D7"/>
    <w:rsid w:val="00B5553C"/>
    <w:rsid w:val="00B556F7"/>
    <w:rsid w:val="00B55B38"/>
    <w:rsid w:val="00B55CC8"/>
    <w:rsid w:val="00B55E16"/>
    <w:rsid w:val="00B55F5B"/>
    <w:rsid w:val="00B560D3"/>
    <w:rsid w:val="00B56190"/>
    <w:rsid w:val="00B561A7"/>
    <w:rsid w:val="00B56215"/>
    <w:rsid w:val="00B56763"/>
    <w:rsid w:val="00B567D0"/>
    <w:rsid w:val="00B56802"/>
    <w:rsid w:val="00B56D12"/>
    <w:rsid w:val="00B5732F"/>
    <w:rsid w:val="00B57411"/>
    <w:rsid w:val="00B57833"/>
    <w:rsid w:val="00B57997"/>
    <w:rsid w:val="00B579C3"/>
    <w:rsid w:val="00B60044"/>
    <w:rsid w:val="00B603CD"/>
    <w:rsid w:val="00B605BD"/>
    <w:rsid w:val="00B60C21"/>
    <w:rsid w:val="00B611E0"/>
    <w:rsid w:val="00B612B3"/>
    <w:rsid w:val="00B617C8"/>
    <w:rsid w:val="00B61972"/>
    <w:rsid w:val="00B61D61"/>
    <w:rsid w:val="00B6213C"/>
    <w:rsid w:val="00B622B5"/>
    <w:rsid w:val="00B62384"/>
    <w:rsid w:val="00B623D1"/>
    <w:rsid w:val="00B6295B"/>
    <w:rsid w:val="00B62A7F"/>
    <w:rsid w:val="00B62AD4"/>
    <w:rsid w:val="00B62BB5"/>
    <w:rsid w:val="00B62E61"/>
    <w:rsid w:val="00B63208"/>
    <w:rsid w:val="00B63294"/>
    <w:rsid w:val="00B632FC"/>
    <w:rsid w:val="00B6332D"/>
    <w:rsid w:val="00B63574"/>
    <w:rsid w:val="00B63B18"/>
    <w:rsid w:val="00B63F4B"/>
    <w:rsid w:val="00B63F6E"/>
    <w:rsid w:val="00B64577"/>
    <w:rsid w:val="00B646D1"/>
    <w:rsid w:val="00B647B0"/>
    <w:rsid w:val="00B649B8"/>
    <w:rsid w:val="00B64A62"/>
    <w:rsid w:val="00B64BF8"/>
    <w:rsid w:val="00B64C1F"/>
    <w:rsid w:val="00B64C83"/>
    <w:rsid w:val="00B64D1B"/>
    <w:rsid w:val="00B64D4F"/>
    <w:rsid w:val="00B652C7"/>
    <w:rsid w:val="00B65344"/>
    <w:rsid w:val="00B6545D"/>
    <w:rsid w:val="00B657C0"/>
    <w:rsid w:val="00B657DA"/>
    <w:rsid w:val="00B66FAB"/>
    <w:rsid w:val="00B670F2"/>
    <w:rsid w:val="00B6733F"/>
    <w:rsid w:val="00B67800"/>
    <w:rsid w:val="00B70101"/>
    <w:rsid w:val="00B71129"/>
    <w:rsid w:val="00B7122A"/>
    <w:rsid w:val="00B71464"/>
    <w:rsid w:val="00B7162C"/>
    <w:rsid w:val="00B717DC"/>
    <w:rsid w:val="00B71D22"/>
    <w:rsid w:val="00B71F46"/>
    <w:rsid w:val="00B71F9D"/>
    <w:rsid w:val="00B722CE"/>
    <w:rsid w:val="00B72A81"/>
    <w:rsid w:val="00B72E1B"/>
    <w:rsid w:val="00B730EA"/>
    <w:rsid w:val="00B7311F"/>
    <w:rsid w:val="00B735D7"/>
    <w:rsid w:val="00B73928"/>
    <w:rsid w:val="00B73CDA"/>
    <w:rsid w:val="00B73F40"/>
    <w:rsid w:val="00B73F49"/>
    <w:rsid w:val="00B74265"/>
    <w:rsid w:val="00B74361"/>
    <w:rsid w:val="00B751C9"/>
    <w:rsid w:val="00B7528F"/>
    <w:rsid w:val="00B7540C"/>
    <w:rsid w:val="00B75B89"/>
    <w:rsid w:val="00B75E80"/>
    <w:rsid w:val="00B7607D"/>
    <w:rsid w:val="00B76461"/>
    <w:rsid w:val="00B765D8"/>
    <w:rsid w:val="00B76A8A"/>
    <w:rsid w:val="00B76D87"/>
    <w:rsid w:val="00B771A8"/>
    <w:rsid w:val="00B77242"/>
    <w:rsid w:val="00B7733D"/>
    <w:rsid w:val="00B775E8"/>
    <w:rsid w:val="00B77600"/>
    <w:rsid w:val="00B7799C"/>
    <w:rsid w:val="00B779ED"/>
    <w:rsid w:val="00B77CC5"/>
    <w:rsid w:val="00B80054"/>
    <w:rsid w:val="00B8076B"/>
    <w:rsid w:val="00B80AF7"/>
    <w:rsid w:val="00B80C9B"/>
    <w:rsid w:val="00B8110B"/>
    <w:rsid w:val="00B8140A"/>
    <w:rsid w:val="00B81B3F"/>
    <w:rsid w:val="00B81BAF"/>
    <w:rsid w:val="00B81C1D"/>
    <w:rsid w:val="00B82156"/>
    <w:rsid w:val="00B822A5"/>
    <w:rsid w:val="00B831E2"/>
    <w:rsid w:val="00B833CA"/>
    <w:rsid w:val="00B83737"/>
    <w:rsid w:val="00B83785"/>
    <w:rsid w:val="00B839AA"/>
    <w:rsid w:val="00B83A49"/>
    <w:rsid w:val="00B83B3D"/>
    <w:rsid w:val="00B83D4C"/>
    <w:rsid w:val="00B83F88"/>
    <w:rsid w:val="00B841C0"/>
    <w:rsid w:val="00B84222"/>
    <w:rsid w:val="00B84443"/>
    <w:rsid w:val="00B84530"/>
    <w:rsid w:val="00B84542"/>
    <w:rsid w:val="00B84557"/>
    <w:rsid w:val="00B845E0"/>
    <w:rsid w:val="00B84B49"/>
    <w:rsid w:val="00B84DF7"/>
    <w:rsid w:val="00B84F94"/>
    <w:rsid w:val="00B8520B"/>
    <w:rsid w:val="00B853D0"/>
    <w:rsid w:val="00B85433"/>
    <w:rsid w:val="00B85573"/>
    <w:rsid w:val="00B85A6B"/>
    <w:rsid w:val="00B85B3A"/>
    <w:rsid w:val="00B8640A"/>
    <w:rsid w:val="00B86528"/>
    <w:rsid w:val="00B86685"/>
    <w:rsid w:val="00B86F96"/>
    <w:rsid w:val="00B86F9E"/>
    <w:rsid w:val="00B87106"/>
    <w:rsid w:val="00B87332"/>
    <w:rsid w:val="00B879F8"/>
    <w:rsid w:val="00B87A98"/>
    <w:rsid w:val="00B87DB1"/>
    <w:rsid w:val="00B901B5"/>
    <w:rsid w:val="00B90291"/>
    <w:rsid w:val="00B903CF"/>
    <w:rsid w:val="00B9058B"/>
    <w:rsid w:val="00B9079F"/>
    <w:rsid w:val="00B90A23"/>
    <w:rsid w:val="00B90BA7"/>
    <w:rsid w:val="00B90BFD"/>
    <w:rsid w:val="00B90C7E"/>
    <w:rsid w:val="00B90D50"/>
    <w:rsid w:val="00B90E11"/>
    <w:rsid w:val="00B91566"/>
    <w:rsid w:val="00B91638"/>
    <w:rsid w:val="00B916EB"/>
    <w:rsid w:val="00B919A4"/>
    <w:rsid w:val="00B91AD3"/>
    <w:rsid w:val="00B91CB0"/>
    <w:rsid w:val="00B921A6"/>
    <w:rsid w:val="00B930FA"/>
    <w:rsid w:val="00B9337E"/>
    <w:rsid w:val="00B9339C"/>
    <w:rsid w:val="00B93432"/>
    <w:rsid w:val="00B935B3"/>
    <w:rsid w:val="00B936BA"/>
    <w:rsid w:val="00B93C4B"/>
    <w:rsid w:val="00B93F98"/>
    <w:rsid w:val="00B940E3"/>
    <w:rsid w:val="00B945A1"/>
    <w:rsid w:val="00B948C6"/>
    <w:rsid w:val="00B95051"/>
    <w:rsid w:val="00B95532"/>
    <w:rsid w:val="00B95779"/>
    <w:rsid w:val="00B95A0D"/>
    <w:rsid w:val="00B95DD3"/>
    <w:rsid w:val="00B96132"/>
    <w:rsid w:val="00B96193"/>
    <w:rsid w:val="00B96253"/>
    <w:rsid w:val="00B96955"/>
    <w:rsid w:val="00B96CF1"/>
    <w:rsid w:val="00B96D25"/>
    <w:rsid w:val="00B96D78"/>
    <w:rsid w:val="00B96DB0"/>
    <w:rsid w:val="00B96DF9"/>
    <w:rsid w:val="00B96E9E"/>
    <w:rsid w:val="00B9722D"/>
    <w:rsid w:val="00B9789C"/>
    <w:rsid w:val="00B97B6B"/>
    <w:rsid w:val="00B97C41"/>
    <w:rsid w:val="00B97D74"/>
    <w:rsid w:val="00BA04F7"/>
    <w:rsid w:val="00BA0626"/>
    <w:rsid w:val="00BA084C"/>
    <w:rsid w:val="00BA0913"/>
    <w:rsid w:val="00BA0C5B"/>
    <w:rsid w:val="00BA122E"/>
    <w:rsid w:val="00BA16FB"/>
    <w:rsid w:val="00BA1927"/>
    <w:rsid w:val="00BA1A03"/>
    <w:rsid w:val="00BA1DC1"/>
    <w:rsid w:val="00BA1FCD"/>
    <w:rsid w:val="00BA1FD1"/>
    <w:rsid w:val="00BA2401"/>
    <w:rsid w:val="00BA25CC"/>
    <w:rsid w:val="00BA28D0"/>
    <w:rsid w:val="00BA2FD3"/>
    <w:rsid w:val="00BA321A"/>
    <w:rsid w:val="00BA3689"/>
    <w:rsid w:val="00BA3D57"/>
    <w:rsid w:val="00BA3F12"/>
    <w:rsid w:val="00BA4159"/>
    <w:rsid w:val="00BA425E"/>
    <w:rsid w:val="00BA44CA"/>
    <w:rsid w:val="00BA466B"/>
    <w:rsid w:val="00BA5466"/>
    <w:rsid w:val="00BA5856"/>
    <w:rsid w:val="00BA5B08"/>
    <w:rsid w:val="00BA5F74"/>
    <w:rsid w:val="00BA606B"/>
    <w:rsid w:val="00BA61A0"/>
    <w:rsid w:val="00BA66B3"/>
    <w:rsid w:val="00BA687F"/>
    <w:rsid w:val="00BA6C34"/>
    <w:rsid w:val="00BA6C4D"/>
    <w:rsid w:val="00BA7330"/>
    <w:rsid w:val="00BA75AE"/>
    <w:rsid w:val="00BA7710"/>
    <w:rsid w:val="00BA7756"/>
    <w:rsid w:val="00BA7852"/>
    <w:rsid w:val="00BA78A9"/>
    <w:rsid w:val="00BA78FC"/>
    <w:rsid w:val="00BA7A1C"/>
    <w:rsid w:val="00BA7AC4"/>
    <w:rsid w:val="00BA7B6F"/>
    <w:rsid w:val="00BA7B77"/>
    <w:rsid w:val="00BB0127"/>
    <w:rsid w:val="00BB02FC"/>
    <w:rsid w:val="00BB0479"/>
    <w:rsid w:val="00BB060D"/>
    <w:rsid w:val="00BB0783"/>
    <w:rsid w:val="00BB08C3"/>
    <w:rsid w:val="00BB0913"/>
    <w:rsid w:val="00BB0B91"/>
    <w:rsid w:val="00BB0D9A"/>
    <w:rsid w:val="00BB0E8E"/>
    <w:rsid w:val="00BB0F1F"/>
    <w:rsid w:val="00BB112B"/>
    <w:rsid w:val="00BB13DE"/>
    <w:rsid w:val="00BB164F"/>
    <w:rsid w:val="00BB1B15"/>
    <w:rsid w:val="00BB1D42"/>
    <w:rsid w:val="00BB212D"/>
    <w:rsid w:val="00BB2176"/>
    <w:rsid w:val="00BB2187"/>
    <w:rsid w:val="00BB22BF"/>
    <w:rsid w:val="00BB2490"/>
    <w:rsid w:val="00BB2C32"/>
    <w:rsid w:val="00BB2CEE"/>
    <w:rsid w:val="00BB2EE7"/>
    <w:rsid w:val="00BB31CC"/>
    <w:rsid w:val="00BB3519"/>
    <w:rsid w:val="00BB35BE"/>
    <w:rsid w:val="00BB37CD"/>
    <w:rsid w:val="00BB3861"/>
    <w:rsid w:val="00BB3A96"/>
    <w:rsid w:val="00BB3AA7"/>
    <w:rsid w:val="00BB3BE9"/>
    <w:rsid w:val="00BB3C0E"/>
    <w:rsid w:val="00BB3CCC"/>
    <w:rsid w:val="00BB4075"/>
    <w:rsid w:val="00BB45A2"/>
    <w:rsid w:val="00BB48FB"/>
    <w:rsid w:val="00BB4A2F"/>
    <w:rsid w:val="00BB4A42"/>
    <w:rsid w:val="00BB4B22"/>
    <w:rsid w:val="00BB4D03"/>
    <w:rsid w:val="00BB4F47"/>
    <w:rsid w:val="00BB4F5F"/>
    <w:rsid w:val="00BB520B"/>
    <w:rsid w:val="00BB5B09"/>
    <w:rsid w:val="00BB6003"/>
    <w:rsid w:val="00BB663F"/>
    <w:rsid w:val="00BB6C05"/>
    <w:rsid w:val="00BB724C"/>
    <w:rsid w:val="00BB75DA"/>
    <w:rsid w:val="00BB79EF"/>
    <w:rsid w:val="00BB7EAB"/>
    <w:rsid w:val="00BB7F80"/>
    <w:rsid w:val="00BC0287"/>
    <w:rsid w:val="00BC04CE"/>
    <w:rsid w:val="00BC06FA"/>
    <w:rsid w:val="00BC0888"/>
    <w:rsid w:val="00BC0B5E"/>
    <w:rsid w:val="00BC0F3E"/>
    <w:rsid w:val="00BC1262"/>
    <w:rsid w:val="00BC17B5"/>
    <w:rsid w:val="00BC18EA"/>
    <w:rsid w:val="00BC1AD5"/>
    <w:rsid w:val="00BC1EF9"/>
    <w:rsid w:val="00BC21CD"/>
    <w:rsid w:val="00BC2349"/>
    <w:rsid w:val="00BC25FB"/>
    <w:rsid w:val="00BC28A3"/>
    <w:rsid w:val="00BC2AAC"/>
    <w:rsid w:val="00BC2D4A"/>
    <w:rsid w:val="00BC2E86"/>
    <w:rsid w:val="00BC3503"/>
    <w:rsid w:val="00BC351A"/>
    <w:rsid w:val="00BC368C"/>
    <w:rsid w:val="00BC36E0"/>
    <w:rsid w:val="00BC3705"/>
    <w:rsid w:val="00BC387B"/>
    <w:rsid w:val="00BC3A7C"/>
    <w:rsid w:val="00BC3A8C"/>
    <w:rsid w:val="00BC3EF3"/>
    <w:rsid w:val="00BC43B7"/>
    <w:rsid w:val="00BC440F"/>
    <w:rsid w:val="00BC44ED"/>
    <w:rsid w:val="00BC4581"/>
    <w:rsid w:val="00BC4BE9"/>
    <w:rsid w:val="00BC5410"/>
    <w:rsid w:val="00BC543E"/>
    <w:rsid w:val="00BC5586"/>
    <w:rsid w:val="00BC587C"/>
    <w:rsid w:val="00BC5933"/>
    <w:rsid w:val="00BC59ED"/>
    <w:rsid w:val="00BC5A50"/>
    <w:rsid w:val="00BC5B20"/>
    <w:rsid w:val="00BC5B51"/>
    <w:rsid w:val="00BC5C1F"/>
    <w:rsid w:val="00BC5C78"/>
    <w:rsid w:val="00BC5EAC"/>
    <w:rsid w:val="00BC60C8"/>
    <w:rsid w:val="00BC616E"/>
    <w:rsid w:val="00BC67DC"/>
    <w:rsid w:val="00BC6B8F"/>
    <w:rsid w:val="00BC6C1F"/>
    <w:rsid w:val="00BC6D83"/>
    <w:rsid w:val="00BC6E59"/>
    <w:rsid w:val="00BC72E3"/>
    <w:rsid w:val="00BC7344"/>
    <w:rsid w:val="00BC75A6"/>
    <w:rsid w:val="00BC77AB"/>
    <w:rsid w:val="00BC783A"/>
    <w:rsid w:val="00BC78D6"/>
    <w:rsid w:val="00BC7A2A"/>
    <w:rsid w:val="00BC7B63"/>
    <w:rsid w:val="00BD0149"/>
    <w:rsid w:val="00BD04E3"/>
    <w:rsid w:val="00BD05DC"/>
    <w:rsid w:val="00BD0665"/>
    <w:rsid w:val="00BD07E3"/>
    <w:rsid w:val="00BD09E9"/>
    <w:rsid w:val="00BD0BD7"/>
    <w:rsid w:val="00BD0EE0"/>
    <w:rsid w:val="00BD0FA3"/>
    <w:rsid w:val="00BD0FC2"/>
    <w:rsid w:val="00BD10B8"/>
    <w:rsid w:val="00BD10CB"/>
    <w:rsid w:val="00BD119E"/>
    <w:rsid w:val="00BD17C7"/>
    <w:rsid w:val="00BD1AA3"/>
    <w:rsid w:val="00BD1BD4"/>
    <w:rsid w:val="00BD1CF3"/>
    <w:rsid w:val="00BD1EE7"/>
    <w:rsid w:val="00BD1F50"/>
    <w:rsid w:val="00BD20DE"/>
    <w:rsid w:val="00BD2257"/>
    <w:rsid w:val="00BD245C"/>
    <w:rsid w:val="00BD25FA"/>
    <w:rsid w:val="00BD26A7"/>
    <w:rsid w:val="00BD2895"/>
    <w:rsid w:val="00BD28F2"/>
    <w:rsid w:val="00BD2D2F"/>
    <w:rsid w:val="00BD2E2C"/>
    <w:rsid w:val="00BD32B1"/>
    <w:rsid w:val="00BD3A0A"/>
    <w:rsid w:val="00BD3DA8"/>
    <w:rsid w:val="00BD40F3"/>
    <w:rsid w:val="00BD439C"/>
    <w:rsid w:val="00BD444D"/>
    <w:rsid w:val="00BD46F9"/>
    <w:rsid w:val="00BD4E44"/>
    <w:rsid w:val="00BD4F7D"/>
    <w:rsid w:val="00BD5057"/>
    <w:rsid w:val="00BD5704"/>
    <w:rsid w:val="00BD5AE2"/>
    <w:rsid w:val="00BD5CB3"/>
    <w:rsid w:val="00BD620A"/>
    <w:rsid w:val="00BD64AD"/>
    <w:rsid w:val="00BD697B"/>
    <w:rsid w:val="00BD6B21"/>
    <w:rsid w:val="00BD70C4"/>
    <w:rsid w:val="00BD7256"/>
    <w:rsid w:val="00BD752E"/>
    <w:rsid w:val="00BD7558"/>
    <w:rsid w:val="00BD757F"/>
    <w:rsid w:val="00BD78A2"/>
    <w:rsid w:val="00BD7A0A"/>
    <w:rsid w:val="00BD7A6D"/>
    <w:rsid w:val="00BD7D19"/>
    <w:rsid w:val="00BD7EE9"/>
    <w:rsid w:val="00BD7F2C"/>
    <w:rsid w:val="00BE0399"/>
    <w:rsid w:val="00BE041B"/>
    <w:rsid w:val="00BE097E"/>
    <w:rsid w:val="00BE0AA9"/>
    <w:rsid w:val="00BE0C0E"/>
    <w:rsid w:val="00BE0D6D"/>
    <w:rsid w:val="00BE0F9D"/>
    <w:rsid w:val="00BE0FD8"/>
    <w:rsid w:val="00BE10D7"/>
    <w:rsid w:val="00BE158F"/>
    <w:rsid w:val="00BE1B01"/>
    <w:rsid w:val="00BE1B85"/>
    <w:rsid w:val="00BE213D"/>
    <w:rsid w:val="00BE2648"/>
    <w:rsid w:val="00BE28F6"/>
    <w:rsid w:val="00BE2BF6"/>
    <w:rsid w:val="00BE3190"/>
    <w:rsid w:val="00BE3786"/>
    <w:rsid w:val="00BE3D94"/>
    <w:rsid w:val="00BE3E59"/>
    <w:rsid w:val="00BE3FD7"/>
    <w:rsid w:val="00BE43F9"/>
    <w:rsid w:val="00BE49C6"/>
    <w:rsid w:val="00BE4C48"/>
    <w:rsid w:val="00BE4E1B"/>
    <w:rsid w:val="00BE50BB"/>
    <w:rsid w:val="00BE5211"/>
    <w:rsid w:val="00BE5400"/>
    <w:rsid w:val="00BE5651"/>
    <w:rsid w:val="00BE5924"/>
    <w:rsid w:val="00BE671C"/>
    <w:rsid w:val="00BE6A47"/>
    <w:rsid w:val="00BE6D73"/>
    <w:rsid w:val="00BE70C4"/>
    <w:rsid w:val="00BE7456"/>
    <w:rsid w:val="00BE74FB"/>
    <w:rsid w:val="00BE794B"/>
    <w:rsid w:val="00BE7B88"/>
    <w:rsid w:val="00BE7DD2"/>
    <w:rsid w:val="00BE7EE6"/>
    <w:rsid w:val="00BE7F3A"/>
    <w:rsid w:val="00BF06D4"/>
    <w:rsid w:val="00BF0B5C"/>
    <w:rsid w:val="00BF0BDD"/>
    <w:rsid w:val="00BF0C3B"/>
    <w:rsid w:val="00BF0FF5"/>
    <w:rsid w:val="00BF1A42"/>
    <w:rsid w:val="00BF1E8C"/>
    <w:rsid w:val="00BF2430"/>
    <w:rsid w:val="00BF24C9"/>
    <w:rsid w:val="00BF2D74"/>
    <w:rsid w:val="00BF311A"/>
    <w:rsid w:val="00BF3416"/>
    <w:rsid w:val="00BF35C5"/>
    <w:rsid w:val="00BF37C7"/>
    <w:rsid w:val="00BF3B32"/>
    <w:rsid w:val="00BF3B3F"/>
    <w:rsid w:val="00BF3D6C"/>
    <w:rsid w:val="00BF3F3B"/>
    <w:rsid w:val="00BF4255"/>
    <w:rsid w:val="00BF44CE"/>
    <w:rsid w:val="00BF44D9"/>
    <w:rsid w:val="00BF470F"/>
    <w:rsid w:val="00BF4B87"/>
    <w:rsid w:val="00BF4BA2"/>
    <w:rsid w:val="00BF4BCF"/>
    <w:rsid w:val="00BF4FFA"/>
    <w:rsid w:val="00BF5280"/>
    <w:rsid w:val="00BF564B"/>
    <w:rsid w:val="00BF585F"/>
    <w:rsid w:val="00BF5EAF"/>
    <w:rsid w:val="00BF62FB"/>
    <w:rsid w:val="00BF680F"/>
    <w:rsid w:val="00BF6BE0"/>
    <w:rsid w:val="00BF6E4F"/>
    <w:rsid w:val="00BF700C"/>
    <w:rsid w:val="00BF7035"/>
    <w:rsid w:val="00BF744B"/>
    <w:rsid w:val="00BF7E7C"/>
    <w:rsid w:val="00C001FF"/>
    <w:rsid w:val="00C00231"/>
    <w:rsid w:val="00C002D9"/>
    <w:rsid w:val="00C004B0"/>
    <w:rsid w:val="00C00CE6"/>
    <w:rsid w:val="00C00D32"/>
    <w:rsid w:val="00C00DCB"/>
    <w:rsid w:val="00C01461"/>
    <w:rsid w:val="00C0176B"/>
    <w:rsid w:val="00C019D5"/>
    <w:rsid w:val="00C01D05"/>
    <w:rsid w:val="00C01EDB"/>
    <w:rsid w:val="00C01FB0"/>
    <w:rsid w:val="00C020F1"/>
    <w:rsid w:val="00C02910"/>
    <w:rsid w:val="00C02F64"/>
    <w:rsid w:val="00C030B3"/>
    <w:rsid w:val="00C0312C"/>
    <w:rsid w:val="00C034A0"/>
    <w:rsid w:val="00C03626"/>
    <w:rsid w:val="00C036B2"/>
    <w:rsid w:val="00C037A6"/>
    <w:rsid w:val="00C03C71"/>
    <w:rsid w:val="00C03FF8"/>
    <w:rsid w:val="00C04204"/>
    <w:rsid w:val="00C042AC"/>
    <w:rsid w:val="00C046BA"/>
    <w:rsid w:val="00C04E08"/>
    <w:rsid w:val="00C0537C"/>
    <w:rsid w:val="00C053A2"/>
    <w:rsid w:val="00C054F9"/>
    <w:rsid w:val="00C056CD"/>
    <w:rsid w:val="00C0575E"/>
    <w:rsid w:val="00C05BBB"/>
    <w:rsid w:val="00C05C19"/>
    <w:rsid w:val="00C06295"/>
    <w:rsid w:val="00C06484"/>
    <w:rsid w:val="00C0655F"/>
    <w:rsid w:val="00C068EF"/>
    <w:rsid w:val="00C069E4"/>
    <w:rsid w:val="00C06A00"/>
    <w:rsid w:val="00C06A83"/>
    <w:rsid w:val="00C06BE6"/>
    <w:rsid w:val="00C0744A"/>
    <w:rsid w:val="00C1027B"/>
    <w:rsid w:val="00C102F1"/>
    <w:rsid w:val="00C10B47"/>
    <w:rsid w:val="00C10C7D"/>
    <w:rsid w:val="00C10FB9"/>
    <w:rsid w:val="00C1106C"/>
    <w:rsid w:val="00C11244"/>
    <w:rsid w:val="00C1127F"/>
    <w:rsid w:val="00C1144D"/>
    <w:rsid w:val="00C11450"/>
    <w:rsid w:val="00C11492"/>
    <w:rsid w:val="00C11783"/>
    <w:rsid w:val="00C1192F"/>
    <w:rsid w:val="00C11FD0"/>
    <w:rsid w:val="00C12236"/>
    <w:rsid w:val="00C123E3"/>
    <w:rsid w:val="00C12B5E"/>
    <w:rsid w:val="00C12C5E"/>
    <w:rsid w:val="00C12C67"/>
    <w:rsid w:val="00C1307F"/>
    <w:rsid w:val="00C132D8"/>
    <w:rsid w:val="00C1336A"/>
    <w:rsid w:val="00C136A7"/>
    <w:rsid w:val="00C136F2"/>
    <w:rsid w:val="00C142EB"/>
    <w:rsid w:val="00C1430B"/>
    <w:rsid w:val="00C1452D"/>
    <w:rsid w:val="00C14860"/>
    <w:rsid w:val="00C14A03"/>
    <w:rsid w:val="00C14C32"/>
    <w:rsid w:val="00C14C87"/>
    <w:rsid w:val="00C14EA4"/>
    <w:rsid w:val="00C14F46"/>
    <w:rsid w:val="00C15125"/>
    <w:rsid w:val="00C153E6"/>
    <w:rsid w:val="00C15507"/>
    <w:rsid w:val="00C159AE"/>
    <w:rsid w:val="00C15C27"/>
    <w:rsid w:val="00C15E24"/>
    <w:rsid w:val="00C15ECC"/>
    <w:rsid w:val="00C1613B"/>
    <w:rsid w:val="00C169A1"/>
    <w:rsid w:val="00C16A01"/>
    <w:rsid w:val="00C16FCC"/>
    <w:rsid w:val="00C1708C"/>
    <w:rsid w:val="00C17135"/>
    <w:rsid w:val="00C174F8"/>
    <w:rsid w:val="00C17560"/>
    <w:rsid w:val="00C17633"/>
    <w:rsid w:val="00C1781F"/>
    <w:rsid w:val="00C17A4A"/>
    <w:rsid w:val="00C17A52"/>
    <w:rsid w:val="00C17B17"/>
    <w:rsid w:val="00C17EB8"/>
    <w:rsid w:val="00C17FEF"/>
    <w:rsid w:val="00C204A8"/>
    <w:rsid w:val="00C2061F"/>
    <w:rsid w:val="00C207AB"/>
    <w:rsid w:val="00C207F6"/>
    <w:rsid w:val="00C20817"/>
    <w:rsid w:val="00C20A89"/>
    <w:rsid w:val="00C20DF0"/>
    <w:rsid w:val="00C2110C"/>
    <w:rsid w:val="00C2111B"/>
    <w:rsid w:val="00C213D4"/>
    <w:rsid w:val="00C21795"/>
    <w:rsid w:val="00C21A59"/>
    <w:rsid w:val="00C21BA9"/>
    <w:rsid w:val="00C21BAD"/>
    <w:rsid w:val="00C21DAC"/>
    <w:rsid w:val="00C21E31"/>
    <w:rsid w:val="00C2216C"/>
    <w:rsid w:val="00C222A1"/>
    <w:rsid w:val="00C22559"/>
    <w:rsid w:val="00C226A4"/>
    <w:rsid w:val="00C229EB"/>
    <w:rsid w:val="00C22B21"/>
    <w:rsid w:val="00C2330C"/>
    <w:rsid w:val="00C23737"/>
    <w:rsid w:val="00C237A1"/>
    <w:rsid w:val="00C2398D"/>
    <w:rsid w:val="00C239F4"/>
    <w:rsid w:val="00C23D62"/>
    <w:rsid w:val="00C23DE6"/>
    <w:rsid w:val="00C23FC9"/>
    <w:rsid w:val="00C24462"/>
    <w:rsid w:val="00C24482"/>
    <w:rsid w:val="00C24592"/>
    <w:rsid w:val="00C246B5"/>
    <w:rsid w:val="00C2485F"/>
    <w:rsid w:val="00C2491A"/>
    <w:rsid w:val="00C24E5F"/>
    <w:rsid w:val="00C250B4"/>
    <w:rsid w:val="00C253BA"/>
    <w:rsid w:val="00C255CB"/>
    <w:rsid w:val="00C256FD"/>
    <w:rsid w:val="00C2594A"/>
    <w:rsid w:val="00C25BEE"/>
    <w:rsid w:val="00C26ACD"/>
    <w:rsid w:val="00C26BC6"/>
    <w:rsid w:val="00C27020"/>
    <w:rsid w:val="00C274ED"/>
    <w:rsid w:val="00C276EE"/>
    <w:rsid w:val="00C27938"/>
    <w:rsid w:val="00C27D06"/>
    <w:rsid w:val="00C27DEE"/>
    <w:rsid w:val="00C27E1C"/>
    <w:rsid w:val="00C27E3C"/>
    <w:rsid w:val="00C308CA"/>
    <w:rsid w:val="00C309A3"/>
    <w:rsid w:val="00C30AD7"/>
    <w:rsid w:val="00C30E4C"/>
    <w:rsid w:val="00C311DF"/>
    <w:rsid w:val="00C312BF"/>
    <w:rsid w:val="00C3146F"/>
    <w:rsid w:val="00C31C75"/>
    <w:rsid w:val="00C31FDF"/>
    <w:rsid w:val="00C32315"/>
    <w:rsid w:val="00C3285C"/>
    <w:rsid w:val="00C328BB"/>
    <w:rsid w:val="00C328FD"/>
    <w:rsid w:val="00C3294A"/>
    <w:rsid w:val="00C32A54"/>
    <w:rsid w:val="00C32D53"/>
    <w:rsid w:val="00C32DF5"/>
    <w:rsid w:val="00C32F68"/>
    <w:rsid w:val="00C33144"/>
    <w:rsid w:val="00C3360B"/>
    <w:rsid w:val="00C33DDD"/>
    <w:rsid w:val="00C33F2C"/>
    <w:rsid w:val="00C33F32"/>
    <w:rsid w:val="00C3449E"/>
    <w:rsid w:val="00C3474E"/>
    <w:rsid w:val="00C34B50"/>
    <w:rsid w:val="00C34CBE"/>
    <w:rsid w:val="00C3541A"/>
    <w:rsid w:val="00C35FAD"/>
    <w:rsid w:val="00C36077"/>
    <w:rsid w:val="00C36160"/>
    <w:rsid w:val="00C36236"/>
    <w:rsid w:val="00C36438"/>
    <w:rsid w:val="00C364C7"/>
    <w:rsid w:val="00C3654E"/>
    <w:rsid w:val="00C368AA"/>
    <w:rsid w:val="00C368CF"/>
    <w:rsid w:val="00C369BB"/>
    <w:rsid w:val="00C36A2A"/>
    <w:rsid w:val="00C36E00"/>
    <w:rsid w:val="00C36FD8"/>
    <w:rsid w:val="00C371B7"/>
    <w:rsid w:val="00C3721B"/>
    <w:rsid w:val="00C372B0"/>
    <w:rsid w:val="00C37504"/>
    <w:rsid w:val="00C37B6C"/>
    <w:rsid w:val="00C40254"/>
    <w:rsid w:val="00C40A12"/>
    <w:rsid w:val="00C40B5D"/>
    <w:rsid w:val="00C412B3"/>
    <w:rsid w:val="00C412E9"/>
    <w:rsid w:val="00C41677"/>
    <w:rsid w:val="00C417BF"/>
    <w:rsid w:val="00C41833"/>
    <w:rsid w:val="00C4185B"/>
    <w:rsid w:val="00C41B85"/>
    <w:rsid w:val="00C41D28"/>
    <w:rsid w:val="00C41FD3"/>
    <w:rsid w:val="00C424B2"/>
    <w:rsid w:val="00C42542"/>
    <w:rsid w:val="00C4272A"/>
    <w:rsid w:val="00C428C5"/>
    <w:rsid w:val="00C428D8"/>
    <w:rsid w:val="00C4298D"/>
    <w:rsid w:val="00C42D54"/>
    <w:rsid w:val="00C42E24"/>
    <w:rsid w:val="00C43073"/>
    <w:rsid w:val="00C439DE"/>
    <w:rsid w:val="00C43A0E"/>
    <w:rsid w:val="00C43DA1"/>
    <w:rsid w:val="00C43E5F"/>
    <w:rsid w:val="00C44054"/>
    <w:rsid w:val="00C440BE"/>
    <w:rsid w:val="00C44469"/>
    <w:rsid w:val="00C4450D"/>
    <w:rsid w:val="00C446DB"/>
    <w:rsid w:val="00C44702"/>
    <w:rsid w:val="00C4486C"/>
    <w:rsid w:val="00C456C9"/>
    <w:rsid w:val="00C457A5"/>
    <w:rsid w:val="00C458FD"/>
    <w:rsid w:val="00C45A73"/>
    <w:rsid w:val="00C45C44"/>
    <w:rsid w:val="00C461CB"/>
    <w:rsid w:val="00C462B0"/>
    <w:rsid w:val="00C46AA5"/>
    <w:rsid w:val="00C47111"/>
    <w:rsid w:val="00C4757A"/>
    <w:rsid w:val="00C47602"/>
    <w:rsid w:val="00C4771F"/>
    <w:rsid w:val="00C47ABD"/>
    <w:rsid w:val="00C47B37"/>
    <w:rsid w:val="00C47D0B"/>
    <w:rsid w:val="00C50400"/>
    <w:rsid w:val="00C504B3"/>
    <w:rsid w:val="00C50516"/>
    <w:rsid w:val="00C516CA"/>
    <w:rsid w:val="00C518A4"/>
    <w:rsid w:val="00C519D7"/>
    <w:rsid w:val="00C51E54"/>
    <w:rsid w:val="00C5229E"/>
    <w:rsid w:val="00C5245A"/>
    <w:rsid w:val="00C524B6"/>
    <w:rsid w:val="00C52A23"/>
    <w:rsid w:val="00C52AD3"/>
    <w:rsid w:val="00C52D21"/>
    <w:rsid w:val="00C52D87"/>
    <w:rsid w:val="00C52E77"/>
    <w:rsid w:val="00C53015"/>
    <w:rsid w:val="00C53020"/>
    <w:rsid w:val="00C5305B"/>
    <w:rsid w:val="00C53299"/>
    <w:rsid w:val="00C53605"/>
    <w:rsid w:val="00C53811"/>
    <w:rsid w:val="00C538BE"/>
    <w:rsid w:val="00C53C22"/>
    <w:rsid w:val="00C54527"/>
    <w:rsid w:val="00C545C0"/>
    <w:rsid w:val="00C54C18"/>
    <w:rsid w:val="00C55FC4"/>
    <w:rsid w:val="00C562B8"/>
    <w:rsid w:val="00C569FC"/>
    <w:rsid w:val="00C56AAC"/>
    <w:rsid w:val="00C56C85"/>
    <w:rsid w:val="00C56EC3"/>
    <w:rsid w:val="00C571D1"/>
    <w:rsid w:val="00C577B8"/>
    <w:rsid w:val="00C57A76"/>
    <w:rsid w:val="00C6022E"/>
    <w:rsid w:val="00C60403"/>
    <w:rsid w:val="00C6088D"/>
    <w:rsid w:val="00C60C6E"/>
    <w:rsid w:val="00C60D7D"/>
    <w:rsid w:val="00C610B9"/>
    <w:rsid w:val="00C616B3"/>
    <w:rsid w:val="00C61717"/>
    <w:rsid w:val="00C61DD2"/>
    <w:rsid w:val="00C61EA9"/>
    <w:rsid w:val="00C6207F"/>
    <w:rsid w:val="00C62625"/>
    <w:rsid w:val="00C6273E"/>
    <w:rsid w:val="00C627F6"/>
    <w:rsid w:val="00C6281D"/>
    <w:rsid w:val="00C62DB2"/>
    <w:rsid w:val="00C62E0C"/>
    <w:rsid w:val="00C6305B"/>
    <w:rsid w:val="00C631BC"/>
    <w:rsid w:val="00C63958"/>
    <w:rsid w:val="00C63E66"/>
    <w:rsid w:val="00C64082"/>
    <w:rsid w:val="00C64256"/>
    <w:rsid w:val="00C643C1"/>
    <w:rsid w:val="00C64415"/>
    <w:rsid w:val="00C644DA"/>
    <w:rsid w:val="00C64873"/>
    <w:rsid w:val="00C6488C"/>
    <w:rsid w:val="00C64C0E"/>
    <w:rsid w:val="00C64F25"/>
    <w:rsid w:val="00C65109"/>
    <w:rsid w:val="00C65595"/>
    <w:rsid w:val="00C658A9"/>
    <w:rsid w:val="00C65C31"/>
    <w:rsid w:val="00C65DA2"/>
    <w:rsid w:val="00C65EFB"/>
    <w:rsid w:val="00C66208"/>
    <w:rsid w:val="00C66276"/>
    <w:rsid w:val="00C66457"/>
    <w:rsid w:val="00C666D0"/>
    <w:rsid w:val="00C667FB"/>
    <w:rsid w:val="00C670A8"/>
    <w:rsid w:val="00C671CE"/>
    <w:rsid w:val="00C678DF"/>
    <w:rsid w:val="00C679CE"/>
    <w:rsid w:val="00C679EC"/>
    <w:rsid w:val="00C702AD"/>
    <w:rsid w:val="00C70477"/>
    <w:rsid w:val="00C7062E"/>
    <w:rsid w:val="00C706D7"/>
    <w:rsid w:val="00C707E3"/>
    <w:rsid w:val="00C70D54"/>
    <w:rsid w:val="00C70DC1"/>
    <w:rsid w:val="00C70FC5"/>
    <w:rsid w:val="00C71041"/>
    <w:rsid w:val="00C711DA"/>
    <w:rsid w:val="00C715A4"/>
    <w:rsid w:val="00C71727"/>
    <w:rsid w:val="00C7174B"/>
    <w:rsid w:val="00C71D19"/>
    <w:rsid w:val="00C71D43"/>
    <w:rsid w:val="00C72842"/>
    <w:rsid w:val="00C72F03"/>
    <w:rsid w:val="00C73078"/>
    <w:rsid w:val="00C73167"/>
    <w:rsid w:val="00C739CC"/>
    <w:rsid w:val="00C73D08"/>
    <w:rsid w:val="00C73F36"/>
    <w:rsid w:val="00C73F46"/>
    <w:rsid w:val="00C74413"/>
    <w:rsid w:val="00C74639"/>
    <w:rsid w:val="00C74B4D"/>
    <w:rsid w:val="00C74CC2"/>
    <w:rsid w:val="00C74CF8"/>
    <w:rsid w:val="00C74E14"/>
    <w:rsid w:val="00C752FF"/>
    <w:rsid w:val="00C753A1"/>
    <w:rsid w:val="00C754EF"/>
    <w:rsid w:val="00C756A4"/>
    <w:rsid w:val="00C7586B"/>
    <w:rsid w:val="00C758AB"/>
    <w:rsid w:val="00C75FC5"/>
    <w:rsid w:val="00C76885"/>
    <w:rsid w:val="00C76D6C"/>
    <w:rsid w:val="00C76E27"/>
    <w:rsid w:val="00C76E98"/>
    <w:rsid w:val="00C77375"/>
    <w:rsid w:val="00C77D79"/>
    <w:rsid w:val="00C8008A"/>
    <w:rsid w:val="00C800F8"/>
    <w:rsid w:val="00C80189"/>
    <w:rsid w:val="00C80235"/>
    <w:rsid w:val="00C8080D"/>
    <w:rsid w:val="00C80BEC"/>
    <w:rsid w:val="00C81004"/>
    <w:rsid w:val="00C816BD"/>
    <w:rsid w:val="00C817E1"/>
    <w:rsid w:val="00C818FF"/>
    <w:rsid w:val="00C81C35"/>
    <w:rsid w:val="00C81D28"/>
    <w:rsid w:val="00C81D2B"/>
    <w:rsid w:val="00C81DFA"/>
    <w:rsid w:val="00C81E2D"/>
    <w:rsid w:val="00C81E5C"/>
    <w:rsid w:val="00C82256"/>
    <w:rsid w:val="00C8227A"/>
    <w:rsid w:val="00C824C5"/>
    <w:rsid w:val="00C825D7"/>
    <w:rsid w:val="00C826F1"/>
    <w:rsid w:val="00C82B4E"/>
    <w:rsid w:val="00C82DA9"/>
    <w:rsid w:val="00C833E9"/>
    <w:rsid w:val="00C83489"/>
    <w:rsid w:val="00C838CB"/>
    <w:rsid w:val="00C83D0A"/>
    <w:rsid w:val="00C83E02"/>
    <w:rsid w:val="00C83F6C"/>
    <w:rsid w:val="00C84105"/>
    <w:rsid w:val="00C8417F"/>
    <w:rsid w:val="00C84199"/>
    <w:rsid w:val="00C84387"/>
    <w:rsid w:val="00C849E1"/>
    <w:rsid w:val="00C849E6"/>
    <w:rsid w:val="00C85009"/>
    <w:rsid w:val="00C85FF7"/>
    <w:rsid w:val="00C86232"/>
    <w:rsid w:val="00C863EC"/>
    <w:rsid w:val="00C86606"/>
    <w:rsid w:val="00C86E3A"/>
    <w:rsid w:val="00C86FE3"/>
    <w:rsid w:val="00C86FF6"/>
    <w:rsid w:val="00C872C8"/>
    <w:rsid w:val="00C87397"/>
    <w:rsid w:val="00C87D20"/>
    <w:rsid w:val="00C9000E"/>
    <w:rsid w:val="00C902BC"/>
    <w:rsid w:val="00C906F0"/>
    <w:rsid w:val="00C90926"/>
    <w:rsid w:val="00C909F1"/>
    <w:rsid w:val="00C90E8E"/>
    <w:rsid w:val="00C91146"/>
    <w:rsid w:val="00C919F6"/>
    <w:rsid w:val="00C91EB6"/>
    <w:rsid w:val="00C92001"/>
    <w:rsid w:val="00C9208B"/>
    <w:rsid w:val="00C92372"/>
    <w:rsid w:val="00C924B8"/>
    <w:rsid w:val="00C925D8"/>
    <w:rsid w:val="00C925D9"/>
    <w:rsid w:val="00C92B2A"/>
    <w:rsid w:val="00C92D69"/>
    <w:rsid w:val="00C92E5C"/>
    <w:rsid w:val="00C92EEA"/>
    <w:rsid w:val="00C930E8"/>
    <w:rsid w:val="00C931F5"/>
    <w:rsid w:val="00C934E9"/>
    <w:rsid w:val="00C934F4"/>
    <w:rsid w:val="00C9350A"/>
    <w:rsid w:val="00C936BE"/>
    <w:rsid w:val="00C93731"/>
    <w:rsid w:val="00C93775"/>
    <w:rsid w:val="00C944AD"/>
    <w:rsid w:val="00C947AB"/>
    <w:rsid w:val="00C94C7C"/>
    <w:rsid w:val="00C94DB1"/>
    <w:rsid w:val="00C94FAF"/>
    <w:rsid w:val="00C9504B"/>
    <w:rsid w:val="00C950E4"/>
    <w:rsid w:val="00C95920"/>
    <w:rsid w:val="00C95A74"/>
    <w:rsid w:val="00C95C7B"/>
    <w:rsid w:val="00C95EF9"/>
    <w:rsid w:val="00C9632B"/>
    <w:rsid w:val="00C96AB4"/>
    <w:rsid w:val="00C96C42"/>
    <w:rsid w:val="00C971AA"/>
    <w:rsid w:val="00C9768A"/>
    <w:rsid w:val="00C978C3"/>
    <w:rsid w:val="00CA04F4"/>
    <w:rsid w:val="00CA0A81"/>
    <w:rsid w:val="00CA0C51"/>
    <w:rsid w:val="00CA0D39"/>
    <w:rsid w:val="00CA0F32"/>
    <w:rsid w:val="00CA103A"/>
    <w:rsid w:val="00CA10A3"/>
    <w:rsid w:val="00CA1809"/>
    <w:rsid w:val="00CA1B70"/>
    <w:rsid w:val="00CA2AAF"/>
    <w:rsid w:val="00CA2D54"/>
    <w:rsid w:val="00CA2E93"/>
    <w:rsid w:val="00CA383E"/>
    <w:rsid w:val="00CA3985"/>
    <w:rsid w:val="00CA399F"/>
    <w:rsid w:val="00CA3A3F"/>
    <w:rsid w:val="00CA3D19"/>
    <w:rsid w:val="00CA419E"/>
    <w:rsid w:val="00CA4244"/>
    <w:rsid w:val="00CA49E2"/>
    <w:rsid w:val="00CA4A32"/>
    <w:rsid w:val="00CA4B87"/>
    <w:rsid w:val="00CA4BEE"/>
    <w:rsid w:val="00CA4C23"/>
    <w:rsid w:val="00CA4EAD"/>
    <w:rsid w:val="00CA5211"/>
    <w:rsid w:val="00CA5522"/>
    <w:rsid w:val="00CA577E"/>
    <w:rsid w:val="00CA5AC4"/>
    <w:rsid w:val="00CA5E86"/>
    <w:rsid w:val="00CA6310"/>
    <w:rsid w:val="00CA6AB7"/>
    <w:rsid w:val="00CA6CB3"/>
    <w:rsid w:val="00CA6E9A"/>
    <w:rsid w:val="00CA6F77"/>
    <w:rsid w:val="00CA732F"/>
    <w:rsid w:val="00CA7919"/>
    <w:rsid w:val="00CA7920"/>
    <w:rsid w:val="00CA79B7"/>
    <w:rsid w:val="00CA7CD9"/>
    <w:rsid w:val="00CB03FD"/>
    <w:rsid w:val="00CB04F7"/>
    <w:rsid w:val="00CB0846"/>
    <w:rsid w:val="00CB0B24"/>
    <w:rsid w:val="00CB0D0C"/>
    <w:rsid w:val="00CB0E85"/>
    <w:rsid w:val="00CB137D"/>
    <w:rsid w:val="00CB13DE"/>
    <w:rsid w:val="00CB156C"/>
    <w:rsid w:val="00CB1695"/>
    <w:rsid w:val="00CB1A15"/>
    <w:rsid w:val="00CB1A66"/>
    <w:rsid w:val="00CB1A75"/>
    <w:rsid w:val="00CB1E78"/>
    <w:rsid w:val="00CB268B"/>
    <w:rsid w:val="00CB269A"/>
    <w:rsid w:val="00CB2AE9"/>
    <w:rsid w:val="00CB2CE4"/>
    <w:rsid w:val="00CB33D8"/>
    <w:rsid w:val="00CB3759"/>
    <w:rsid w:val="00CB37AB"/>
    <w:rsid w:val="00CB3DB3"/>
    <w:rsid w:val="00CB469A"/>
    <w:rsid w:val="00CB4BD7"/>
    <w:rsid w:val="00CB4BD8"/>
    <w:rsid w:val="00CB4CFC"/>
    <w:rsid w:val="00CB4E26"/>
    <w:rsid w:val="00CB4ED6"/>
    <w:rsid w:val="00CB50CB"/>
    <w:rsid w:val="00CB54B6"/>
    <w:rsid w:val="00CB562D"/>
    <w:rsid w:val="00CB575C"/>
    <w:rsid w:val="00CB5769"/>
    <w:rsid w:val="00CB584D"/>
    <w:rsid w:val="00CB5940"/>
    <w:rsid w:val="00CB599A"/>
    <w:rsid w:val="00CB5A46"/>
    <w:rsid w:val="00CB60F8"/>
    <w:rsid w:val="00CB62E9"/>
    <w:rsid w:val="00CB6417"/>
    <w:rsid w:val="00CB6672"/>
    <w:rsid w:val="00CB6753"/>
    <w:rsid w:val="00CB6DA1"/>
    <w:rsid w:val="00CB6F8A"/>
    <w:rsid w:val="00CB6F8F"/>
    <w:rsid w:val="00CB7867"/>
    <w:rsid w:val="00CB7AD8"/>
    <w:rsid w:val="00CB7CAC"/>
    <w:rsid w:val="00CB7F41"/>
    <w:rsid w:val="00CC1397"/>
    <w:rsid w:val="00CC150E"/>
    <w:rsid w:val="00CC15F2"/>
    <w:rsid w:val="00CC1712"/>
    <w:rsid w:val="00CC17C8"/>
    <w:rsid w:val="00CC180A"/>
    <w:rsid w:val="00CC18BB"/>
    <w:rsid w:val="00CC19CD"/>
    <w:rsid w:val="00CC1EDF"/>
    <w:rsid w:val="00CC213C"/>
    <w:rsid w:val="00CC29CD"/>
    <w:rsid w:val="00CC2E03"/>
    <w:rsid w:val="00CC3321"/>
    <w:rsid w:val="00CC33DA"/>
    <w:rsid w:val="00CC37DD"/>
    <w:rsid w:val="00CC3A37"/>
    <w:rsid w:val="00CC3A9B"/>
    <w:rsid w:val="00CC3AE2"/>
    <w:rsid w:val="00CC3C8A"/>
    <w:rsid w:val="00CC3C9A"/>
    <w:rsid w:val="00CC3E68"/>
    <w:rsid w:val="00CC4538"/>
    <w:rsid w:val="00CC4AB1"/>
    <w:rsid w:val="00CC4B56"/>
    <w:rsid w:val="00CC4D93"/>
    <w:rsid w:val="00CC4F36"/>
    <w:rsid w:val="00CC4FFC"/>
    <w:rsid w:val="00CC50CB"/>
    <w:rsid w:val="00CC5501"/>
    <w:rsid w:val="00CC5556"/>
    <w:rsid w:val="00CC576C"/>
    <w:rsid w:val="00CC57E5"/>
    <w:rsid w:val="00CC57E6"/>
    <w:rsid w:val="00CC5B07"/>
    <w:rsid w:val="00CC5BCC"/>
    <w:rsid w:val="00CC5C93"/>
    <w:rsid w:val="00CC6B2A"/>
    <w:rsid w:val="00CC7097"/>
    <w:rsid w:val="00CC723A"/>
    <w:rsid w:val="00CC74CD"/>
    <w:rsid w:val="00CC76AB"/>
    <w:rsid w:val="00CC7A62"/>
    <w:rsid w:val="00CC7D9F"/>
    <w:rsid w:val="00CC7F70"/>
    <w:rsid w:val="00CC7F84"/>
    <w:rsid w:val="00CD0368"/>
    <w:rsid w:val="00CD04C6"/>
    <w:rsid w:val="00CD05C3"/>
    <w:rsid w:val="00CD0DA8"/>
    <w:rsid w:val="00CD0F19"/>
    <w:rsid w:val="00CD11C4"/>
    <w:rsid w:val="00CD14A5"/>
    <w:rsid w:val="00CD1B6F"/>
    <w:rsid w:val="00CD1C43"/>
    <w:rsid w:val="00CD1ED6"/>
    <w:rsid w:val="00CD2087"/>
    <w:rsid w:val="00CD2335"/>
    <w:rsid w:val="00CD2815"/>
    <w:rsid w:val="00CD2967"/>
    <w:rsid w:val="00CD2A3D"/>
    <w:rsid w:val="00CD2C7B"/>
    <w:rsid w:val="00CD2D88"/>
    <w:rsid w:val="00CD31CE"/>
    <w:rsid w:val="00CD3277"/>
    <w:rsid w:val="00CD348E"/>
    <w:rsid w:val="00CD35AA"/>
    <w:rsid w:val="00CD3858"/>
    <w:rsid w:val="00CD3BBB"/>
    <w:rsid w:val="00CD402D"/>
    <w:rsid w:val="00CD41A2"/>
    <w:rsid w:val="00CD4399"/>
    <w:rsid w:val="00CD43B7"/>
    <w:rsid w:val="00CD44A1"/>
    <w:rsid w:val="00CD4A44"/>
    <w:rsid w:val="00CD4BAC"/>
    <w:rsid w:val="00CD4F62"/>
    <w:rsid w:val="00CD50FC"/>
    <w:rsid w:val="00CD56C4"/>
    <w:rsid w:val="00CD57D5"/>
    <w:rsid w:val="00CD6083"/>
    <w:rsid w:val="00CD615B"/>
    <w:rsid w:val="00CD6239"/>
    <w:rsid w:val="00CD6AA7"/>
    <w:rsid w:val="00CD6C8C"/>
    <w:rsid w:val="00CD7065"/>
    <w:rsid w:val="00CD7D10"/>
    <w:rsid w:val="00CE0204"/>
    <w:rsid w:val="00CE05A8"/>
    <w:rsid w:val="00CE08B8"/>
    <w:rsid w:val="00CE0A90"/>
    <w:rsid w:val="00CE0ABF"/>
    <w:rsid w:val="00CE0B8D"/>
    <w:rsid w:val="00CE0D27"/>
    <w:rsid w:val="00CE0D3D"/>
    <w:rsid w:val="00CE0D46"/>
    <w:rsid w:val="00CE0EAA"/>
    <w:rsid w:val="00CE107F"/>
    <w:rsid w:val="00CE1325"/>
    <w:rsid w:val="00CE17B6"/>
    <w:rsid w:val="00CE17D4"/>
    <w:rsid w:val="00CE1E2B"/>
    <w:rsid w:val="00CE1F6A"/>
    <w:rsid w:val="00CE2327"/>
    <w:rsid w:val="00CE2426"/>
    <w:rsid w:val="00CE25FF"/>
    <w:rsid w:val="00CE26CB"/>
    <w:rsid w:val="00CE2F41"/>
    <w:rsid w:val="00CE2F54"/>
    <w:rsid w:val="00CE3925"/>
    <w:rsid w:val="00CE43E3"/>
    <w:rsid w:val="00CE464E"/>
    <w:rsid w:val="00CE4713"/>
    <w:rsid w:val="00CE4998"/>
    <w:rsid w:val="00CE4B7D"/>
    <w:rsid w:val="00CE4EEB"/>
    <w:rsid w:val="00CE5050"/>
    <w:rsid w:val="00CE52DF"/>
    <w:rsid w:val="00CE5692"/>
    <w:rsid w:val="00CE5A7A"/>
    <w:rsid w:val="00CE5D19"/>
    <w:rsid w:val="00CE686F"/>
    <w:rsid w:val="00CE6CD8"/>
    <w:rsid w:val="00CE6DB7"/>
    <w:rsid w:val="00CE6F6D"/>
    <w:rsid w:val="00CE72D3"/>
    <w:rsid w:val="00CE72DB"/>
    <w:rsid w:val="00CE73C9"/>
    <w:rsid w:val="00CE7795"/>
    <w:rsid w:val="00CE77E4"/>
    <w:rsid w:val="00CE7A3F"/>
    <w:rsid w:val="00CE7AD4"/>
    <w:rsid w:val="00CE7AEE"/>
    <w:rsid w:val="00CE7C3B"/>
    <w:rsid w:val="00CF00CB"/>
    <w:rsid w:val="00CF039A"/>
    <w:rsid w:val="00CF08D1"/>
    <w:rsid w:val="00CF092A"/>
    <w:rsid w:val="00CF0A8B"/>
    <w:rsid w:val="00CF1133"/>
    <w:rsid w:val="00CF1175"/>
    <w:rsid w:val="00CF1235"/>
    <w:rsid w:val="00CF13EF"/>
    <w:rsid w:val="00CF15F3"/>
    <w:rsid w:val="00CF198F"/>
    <w:rsid w:val="00CF1ABE"/>
    <w:rsid w:val="00CF2558"/>
    <w:rsid w:val="00CF28BC"/>
    <w:rsid w:val="00CF2ADE"/>
    <w:rsid w:val="00CF2B10"/>
    <w:rsid w:val="00CF2F3B"/>
    <w:rsid w:val="00CF3113"/>
    <w:rsid w:val="00CF3148"/>
    <w:rsid w:val="00CF341A"/>
    <w:rsid w:val="00CF36B0"/>
    <w:rsid w:val="00CF3BD3"/>
    <w:rsid w:val="00CF3C2A"/>
    <w:rsid w:val="00CF3F05"/>
    <w:rsid w:val="00CF3FD4"/>
    <w:rsid w:val="00CF406A"/>
    <w:rsid w:val="00CF42D0"/>
    <w:rsid w:val="00CF498F"/>
    <w:rsid w:val="00CF4ACE"/>
    <w:rsid w:val="00CF4CDC"/>
    <w:rsid w:val="00CF51EB"/>
    <w:rsid w:val="00CF53A9"/>
    <w:rsid w:val="00CF54F3"/>
    <w:rsid w:val="00CF5918"/>
    <w:rsid w:val="00CF5DA7"/>
    <w:rsid w:val="00CF61E9"/>
    <w:rsid w:val="00CF62B0"/>
    <w:rsid w:val="00CF6B63"/>
    <w:rsid w:val="00CF6FE0"/>
    <w:rsid w:val="00CF73B9"/>
    <w:rsid w:val="00CF79AC"/>
    <w:rsid w:val="00CF7B6B"/>
    <w:rsid w:val="00CF7DAB"/>
    <w:rsid w:val="00CF7F77"/>
    <w:rsid w:val="00D003D9"/>
    <w:rsid w:val="00D00671"/>
    <w:rsid w:val="00D0098B"/>
    <w:rsid w:val="00D00B7F"/>
    <w:rsid w:val="00D01177"/>
    <w:rsid w:val="00D012E5"/>
    <w:rsid w:val="00D01439"/>
    <w:rsid w:val="00D014C0"/>
    <w:rsid w:val="00D01596"/>
    <w:rsid w:val="00D01C9F"/>
    <w:rsid w:val="00D01D29"/>
    <w:rsid w:val="00D0226A"/>
    <w:rsid w:val="00D0269F"/>
    <w:rsid w:val="00D02A53"/>
    <w:rsid w:val="00D02E22"/>
    <w:rsid w:val="00D032DD"/>
    <w:rsid w:val="00D0359B"/>
    <w:rsid w:val="00D03768"/>
    <w:rsid w:val="00D037AA"/>
    <w:rsid w:val="00D03841"/>
    <w:rsid w:val="00D03BEF"/>
    <w:rsid w:val="00D0419A"/>
    <w:rsid w:val="00D041C4"/>
    <w:rsid w:val="00D042FD"/>
    <w:rsid w:val="00D04355"/>
    <w:rsid w:val="00D0582F"/>
    <w:rsid w:val="00D058A0"/>
    <w:rsid w:val="00D061B2"/>
    <w:rsid w:val="00D06411"/>
    <w:rsid w:val="00D06441"/>
    <w:rsid w:val="00D064A5"/>
    <w:rsid w:val="00D065FB"/>
    <w:rsid w:val="00D0686B"/>
    <w:rsid w:val="00D068D2"/>
    <w:rsid w:val="00D06DB4"/>
    <w:rsid w:val="00D07023"/>
    <w:rsid w:val="00D07138"/>
    <w:rsid w:val="00D07B02"/>
    <w:rsid w:val="00D07EF7"/>
    <w:rsid w:val="00D07FD5"/>
    <w:rsid w:val="00D10013"/>
    <w:rsid w:val="00D10082"/>
    <w:rsid w:val="00D102E3"/>
    <w:rsid w:val="00D10558"/>
    <w:rsid w:val="00D105B9"/>
    <w:rsid w:val="00D106E4"/>
    <w:rsid w:val="00D10E06"/>
    <w:rsid w:val="00D1101E"/>
    <w:rsid w:val="00D116F9"/>
    <w:rsid w:val="00D11E28"/>
    <w:rsid w:val="00D12099"/>
    <w:rsid w:val="00D128AF"/>
    <w:rsid w:val="00D12E8D"/>
    <w:rsid w:val="00D12F0E"/>
    <w:rsid w:val="00D13151"/>
    <w:rsid w:val="00D13486"/>
    <w:rsid w:val="00D134C4"/>
    <w:rsid w:val="00D1370C"/>
    <w:rsid w:val="00D138BF"/>
    <w:rsid w:val="00D1400E"/>
    <w:rsid w:val="00D14018"/>
    <w:rsid w:val="00D1438B"/>
    <w:rsid w:val="00D1494A"/>
    <w:rsid w:val="00D14CBB"/>
    <w:rsid w:val="00D14D57"/>
    <w:rsid w:val="00D14F14"/>
    <w:rsid w:val="00D15067"/>
    <w:rsid w:val="00D150E4"/>
    <w:rsid w:val="00D15475"/>
    <w:rsid w:val="00D158E3"/>
    <w:rsid w:val="00D15900"/>
    <w:rsid w:val="00D15957"/>
    <w:rsid w:val="00D1600D"/>
    <w:rsid w:val="00D16710"/>
    <w:rsid w:val="00D1698D"/>
    <w:rsid w:val="00D16A5C"/>
    <w:rsid w:val="00D16D05"/>
    <w:rsid w:val="00D16DE4"/>
    <w:rsid w:val="00D16DEB"/>
    <w:rsid w:val="00D16ED6"/>
    <w:rsid w:val="00D16FA3"/>
    <w:rsid w:val="00D16FF8"/>
    <w:rsid w:val="00D172CA"/>
    <w:rsid w:val="00D175D0"/>
    <w:rsid w:val="00D17AAC"/>
    <w:rsid w:val="00D17B27"/>
    <w:rsid w:val="00D17CD1"/>
    <w:rsid w:val="00D17F81"/>
    <w:rsid w:val="00D20078"/>
    <w:rsid w:val="00D200F1"/>
    <w:rsid w:val="00D208D5"/>
    <w:rsid w:val="00D20987"/>
    <w:rsid w:val="00D20AA3"/>
    <w:rsid w:val="00D20AB2"/>
    <w:rsid w:val="00D210BE"/>
    <w:rsid w:val="00D21266"/>
    <w:rsid w:val="00D2134E"/>
    <w:rsid w:val="00D2138B"/>
    <w:rsid w:val="00D2140E"/>
    <w:rsid w:val="00D215BF"/>
    <w:rsid w:val="00D2175B"/>
    <w:rsid w:val="00D21767"/>
    <w:rsid w:val="00D21AF2"/>
    <w:rsid w:val="00D220BD"/>
    <w:rsid w:val="00D223CE"/>
    <w:rsid w:val="00D22E8F"/>
    <w:rsid w:val="00D22F91"/>
    <w:rsid w:val="00D22F95"/>
    <w:rsid w:val="00D23192"/>
    <w:rsid w:val="00D23933"/>
    <w:rsid w:val="00D23C25"/>
    <w:rsid w:val="00D23E95"/>
    <w:rsid w:val="00D24098"/>
    <w:rsid w:val="00D2487F"/>
    <w:rsid w:val="00D248AF"/>
    <w:rsid w:val="00D24CFA"/>
    <w:rsid w:val="00D24FA2"/>
    <w:rsid w:val="00D25EDE"/>
    <w:rsid w:val="00D26083"/>
    <w:rsid w:val="00D2649E"/>
    <w:rsid w:val="00D26587"/>
    <w:rsid w:val="00D266B2"/>
    <w:rsid w:val="00D266DD"/>
    <w:rsid w:val="00D268C5"/>
    <w:rsid w:val="00D26AA6"/>
    <w:rsid w:val="00D26DBC"/>
    <w:rsid w:val="00D27065"/>
    <w:rsid w:val="00D27378"/>
    <w:rsid w:val="00D273CE"/>
    <w:rsid w:val="00D2745D"/>
    <w:rsid w:val="00D27515"/>
    <w:rsid w:val="00D27E65"/>
    <w:rsid w:val="00D3002F"/>
    <w:rsid w:val="00D30548"/>
    <w:rsid w:val="00D30AAD"/>
    <w:rsid w:val="00D30F13"/>
    <w:rsid w:val="00D314BB"/>
    <w:rsid w:val="00D31626"/>
    <w:rsid w:val="00D31638"/>
    <w:rsid w:val="00D31646"/>
    <w:rsid w:val="00D31C22"/>
    <w:rsid w:val="00D31EBB"/>
    <w:rsid w:val="00D3229C"/>
    <w:rsid w:val="00D3245F"/>
    <w:rsid w:val="00D32599"/>
    <w:rsid w:val="00D32C23"/>
    <w:rsid w:val="00D3344A"/>
    <w:rsid w:val="00D33790"/>
    <w:rsid w:val="00D33AFE"/>
    <w:rsid w:val="00D33B64"/>
    <w:rsid w:val="00D33D1B"/>
    <w:rsid w:val="00D347B2"/>
    <w:rsid w:val="00D348B9"/>
    <w:rsid w:val="00D34B43"/>
    <w:rsid w:val="00D350D7"/>
    <w:rsid w:val="00D35D2B"/>
    <w:rsid w:val="00D3615C"/>
    <w:rsid w:val="00D36481"/>
    <w:rsid w:val="00D36740"/>
    <w:rsid w:val="00D36872"/>
    <w:rsid w:val="00D36897"/>
    <w:rsid w:val="00D36A4D"/>
    <w:rsid w:val="00D36B3A"/>
    <w:rsid w:val="00D36BB9"/>
    <w:rsid w:val="00D36E74"/>
    <w:rsid w:val="00D37247"/>
    <w:rsid w:val="00D3726F"/>
    <w:rsid w:val="00D373D9"/>
    <w:rsid w:val="00D37BDA"/>
    <w:rsid w:val="00D37C57"/>
    <w:rsid w:val="00D400C3"/>
    <w:rsid w:val="00D40395"/>
    <w:rsid w:val="00D40873"/>
    <w:rsid w:val="00D40892"/>
    <w:rsid w:val="00D4091F"/>
    <w:rsid w:val="00D4097F"/>
    <w:rsid w:val="00D40AB1"/>
    <w:rsid w:val="00D41A31"/>
    <w:rsid w:val="00D41B08"/>
    <w:rsid w:val="00D41B16"/>
    <w:rsid w:val="00D41BC1"/>
    <w:rsid w:val="00D41C8E"/>
    <w:rsid w:val="00D420C6"/>
    <w:rsid w:val="00D421B3"/>
    <w:rsid w:val="00D421C4"/>
    <w:rsid w:val="00D4247B"/>
    <w:rsid w:val="00D4271F"/>
    <w:rsid w:val="00D42B08"/>
    <w:rsid w:val="00D42C15"/>
    <w:rsid w:val="00D431ED"/>
    <w:rsid w:val="00D43A03"/>
    <w:rsid w:val="00D43A38"/>
    <w:rsid w:val="00D43B36"/>
    <w:rsid w:val="00D43CE3"/>
    <w:rsid w:val="00D44110"/>
    <w:rsid w:val="00D442AC"/>
    <w:rsid w:val="00D4433C"/>
    <w:rsid w:val="00D44602"/>
    <w:rsid w:val="00D44BB4"/>
    <w:rsid w:val="00D44BC4"/>
    <w:rsid w:val="00D44D02"/>
    <w:rsid w:val="00D44D81"/>
    <w:rsid w:val="00D44EA1"/>
    <w:rsid w:val="00D456DD"/>
    <w:rsid w:val="00D45AA5"/>
    <w:rsid w:val="00D45F9D"/>
    <w:rsid w:val="00D46C0C"/>
    <w:rsid w:val="00D46C25"/>
    <w:rsid w:val="00D4712D"/>
    <w:rsid w:val="00D47FE4"/>
    <w:rsid w:val="00D47FE8"/>
    <w:rsid w:val="00D5007F"/>
    <w:rsid w:val="00D504FE"/>
    <w:rsid w:val="00D50786"/>
    <w:rsid w:val="00D50A6D"/>
    <w:rsid w:val="00D50E5A"/>
    <w:rsid w:val="00D516AC"/>
    <w:rsid w:val="00D516DC"/>
    <w:rsid w:val="00D5195B"/>
    <w:rsid w:val="00D51A0D"/>
    <w:rsid w:val="00D520D4"/>
    <w:rsid w:val="00D52164"/>
    <w:rsid w:val="00D521BB"/>
    <w:rsid w:val="00D52217"/>
    <w:rsid w:val="00D525EF"/>
    <w:rsid w:val="00D52B09"/>
    <w:rsid w:val="00D52DE2"/>
    <w:rsid w:val="00D52E83"/>
    <w:rsid w:val="00D533F8"/>
    <w:rsid w:val="00D53723"/>
    <w:rsid w:val="00D53971"/>
    <w:rsid w:val="00D53D16"/>
    <w:rsid w:val="00D540BC"/>
    <w:rsid w:val="00D54299"/>
    <w:rsid w:val="00D544C6"/>
    <w:rsid w:val="00D54A92"/>
    <w:rsid w:val="00D54C00"/>
    <w:rsid w:val="00D5504D"/>
    <w:rsid w:val="00D550F2"/>
    <w:rsid w:val="00D5528B"/>
    <w:rsid w:val="00D555D0"/>
    <w:rsid w:val="00D55642"/>
    <w:rsid w:val="00D55A75"/>
    <w:rsid w:val="00D55B09"/>
    <w:rsid w:val="00D55B4C"/>
    <w:rsid w:val="00D55C48"/>
    <w:rsid w:val="00D55CC1"/>
    <w:rsid w:val="00D560AD"/>
    <w:rsid w:val="00D560DB"/>
    <w:rsid w:val="00D56186"/>
    <w:rsid w:val="00D56198"/>
    <w:rsid w:val="00D56D3C"/>
    <w:rsid w:val="00D57564"/>
    <w:rsid w:val="00D575FB"/>
    <w:rsid w:val="00D57661"/>
    <w:rsid w:val="00D579B4"/>
    <w:rsid w:val="00D60453"/>
    <w:rsid w:val="00D607CA"/>
    <w:rsid w:val="00D60AA9"/>
    <w:rsid w:val="00D60E05"/>
    <w:rsid w:val="00D60F9F"/>
    <w:rsid w:val="00D61576"/>
    <w:rsid w:val="00D6178A"/>
    <w:rsid w:val="00D617AA"/>
    <w:rsid w:val="00D618C0"/>
    <w:rsid w:val="00D61971"/>
    <w:rsid w:val="00D619A7"/>
    <w:rsid w:val="00D619D7"/>
    <w:rsid w:val="00D61F63"/>
    <w:rsid w:val="00D6236A"/>
    <w:rsid w:val="00D62FA6"/>
    <w:rsid w:val="00D634A9"/>
    <w:rsid w:val="00D637E1"/>
    <w:rsid w:val="00D63908"/>
    <w:rsid w:val="00D63D69"/>
    <w:rsid w:val="00D63DD9"/>
    <w:rsid w:val="00D640EB"/>
    <w:rsid w:val="00D643DC"/>
    <w:rsid w:val="00D6443C"/>
    <w:rsid w:val="00D64769"/>
    <w:rsid w:val="00D64D97"/>
    <w:rsid w:val="00D64D9D"/>
    <w:rsid w:val="00D64E99"/>
    <w:rsid w:val="00D64F28"/>
    <w:rsid w:val="00D64F9A"/>
    <w:rsid w:val="00D64FFA"/>
    <w:rsid w:val="00D65191"/>
    <w:rsid w:val="00D651E8"/>
    <w:rsid w:val="00D6547A"/>
    <w:rsid w:val="00D654AD"/>
    <w:rsid w:val="00D654F7"/>
    <w:rsid w:val="00D6569D"/>
    <w:rsid w:val="00D657B4"/>
    <w:rsid w:val="00D6583F"/>
    <w:rsid w:val="00D659D4"/>
    <w:rsid w:val="00D65A56"/>
    <w:rsid w:val="00D65A5B"/>
    <w:rsid w:val="00D65FB6"/>
    <w:rsid w:val="00D65FD3"/>
    <w:rsid w:val="00D65FEC"/>
    <w:rsid w:val="00D664BC"/>
    <w:rsid w:val="00D665E4"/>
    <w:rsid w:val="00D66ECB"/>
    <w:rsid w:val="00D66F6F"/>
    <w:rsid w:val="00D6740B"/>
    <w:rsid w:val="00D67575"/>
    <w:rsid w:val="00D67F30"/>
    <w:rsid w:val="00D7014D"/>
    <w:rsid w:val="00D7091F"/>
    <w:rsid w:val="00D70928"/>
    <w:rsid w:val="00D70942"/>
    <w:rsid w:val="00D70BEE"/>
    <w:rsid w:val="00D70C43"/>
    <w:rsid w:val="00D70EFB"/>
    <w:rsid w:val="00D70EFC"/>
    <w:rsid w:val="00D71118"/>
    <w:rsid w:val="00D711A3"/>
    <w:rsid w:val="00D7129A"/>
    <w:rsid w:val="00D71330"/>
    <w:rsid w:val="00D71364"/>
    <w:rsid w:val="00D714F2"/>
    <w:rsid w:val="00D718C3"/>
    <w:rsid w:val="00D71A15"/>
    <w:rsid w:val="00D71FA4"/>
    <w:rsid w:val="00D72040"/>
    <w:rsid w:val="00D720D5"/>
    <w:rsid w:val="00D72695"/>
    <w:rsid w:val="00D727FE"/>
    <w:rsid w:val="00D72A0D"/>
    <w:rsid w:val="00D731D6"/>
    <w:rsid w:val="00D7368B"/>
    <w:rsid w:val="00D736AB"/>
    <w:rsid w:val="00D73880"/>
    <w:rsid w:val="00D745A6"/>
    <w:rsid w:val="00D74928"/>
    <w:rsid w:val="00D74A38"/>
    <w:rsid w:val="00D74B4B"/>
    <w:rsid w:val="00D75A2D"/>
    <w:rsid w:val="00D767FF"/>
    <w:rsid w:val="00D768BA"/>
    <w:rsid w:val="00D768BB"/>
    <w:rsid w:val="00D76ADB"/>
    <w:rsid w:val="00D76D65"/>
    <w:rsid w:val="00D770DA"/>
    <w:rsid w:val="00D77641"/>
    <w:rsid w:val="00D7765A"/>
    <w:rsid w:val="00D80179"/>
    <w:rsid w:val="00D8030A"/>
    <w:rsid w:val="00D807E3"/>
    <w:rsid w:val="00D80B4D"/>
    <w:rsid w:val="00D80CCA"/>
    <w:rsid w:val="00D81567"/>
    <w:rsid w:val="00D81574"/>
    <w:rsid w:val="00D8177A"/>
    <w:rsid w:val="00D818D7"/>
    <w:rsid w:val="00D81913"/>
    <w:rsid w:val="00D81A89"/>
    <w:rsid w:val="00D81B17"/>
    <w:rsid w:val="00D81C9A"/>
    <w:rsid w:val="00D81DAB"/>
    <w:rsid w:val="00D8214B"/>
    <w:rsid w:val="00D821A1"/>
    <w:rsid w:val="00D8246A"/>
    <w:rsid w:val="00D828E0"/>
    <w:rsid w:val="00D82908"/>
    <w:rsid w:val="00D82B83"/>
    <w:rsid w:val="00D82FE7"/>
    <w:rsid w:val="00D834CC"/>
    <w:rsid w:val="00D83908"/>
    <w:rsid w:val="00D83B94"/>
    <w:rsid w:val="00D83DE8"/>
    <w:rsid w:val="00D83E21"/>
    <w:rsid w:val="00D83FE0"/>
    <w:rsid w:val="00D84011"/>
    <w:rsid w:val="00D8416D"/>
    <w:rsid w:val="00D84307"/>
    <w:rsid w:val="00D84835"/>
    <w:rsid w:val="00D848E4"/>
    <w:rsid w:val="00D84D1D"/>
    <w:rsid w:val="00D84DF6"/>
    <w:rsid w:val="00D84F5C"/>
    <w:rsid w:val="00D84F5D"/>
    <w:rsid w:val="00D850E0"/>
    <w:rsid w:val="00D850E5"/>
    <w:rsid w:val="00D8513D"/>
    <w:rsid w:val="00D85295"/>
    <w:rsid w:val="00D8599A"/>
    <w:rsid w:val="00D85A0E"/>
    <w:rsid w:val="00D85FDD"/>
    <w:rsid w:val="00D8610F"/>
    <w:rsid w:val="00D866E5"/>
    <w:rsid w:val="00D867B7"/>
    <w:rsid w:val="00D87012"/>
    <w:rsid w:val="00D87313"/>
    <w:rsid w:val="00D87580"/>
    <w:rsid w:val="00D875DF"/>
    <w:rsid w:val="00D8762F"/>
    <w:rsid w:val="00D87675"/>
    <w:rsid w:val="00D87832"/>
    <w:rsid w:val="00D87B4D"/>
    <w:rsid w:val="00D87BDC"/>
    <w:rsid w:val="00D87C1F"/>
    <w:rsid w:val="00D87D4E"/>
    <w:rsid w:val="00D87F12"/>
    <w:rsid w:val="00D87F2C"/>
    <w:rsid w:val="00D9040D"/>
    <w:rsid w:val="00D905CA"/>
    <w:rsid w:val="00D905FA"/>
    <w:rsid w:val="00D9073F"/>
    <w:rsid w:val="00D90A95"/>
    <w:rsid w:val="00D90CD8"/>
    <w:rsid w:val="00D90DBF"/>
    <w:rsid w:val="00D913AB"/>
    <w:rsid w:val="00D91C4E"/>
    <w:rsid w:val="00D91D3C"/>
    <w:rsid w:val="00D91D3D"/>
    <w:rsid w:val="00D92367"/>
    <w:rsid w:val="00D924B4"/>
    <w:rsid w:val="00D92700"/>
    <w:rsid w:val="00D92CD3"/>
    <w:rsid w:val="00D92E3B"/>
    <w:rsid w:val="00D93097"/>
    <w:rsid w:val="00D9335A"/>
    <w:rsid w:val="00D934A0"/>
    <w:rsid w:val="00D937AC"/>
    <w:rsid w:val="00D93A66"/>
    <w:rsid w:val="00D93CEF"/>
    <w:rsid w:val="00D93F29"/>
    <w:rsid w:val="00D9403D"/>
    <w:rsid w:val="00D940BE"/>
    <w:rsid w:val="00D9410C"/>
    <w:rsid w:val="00D9446E"/>
    <w:rsid w:val="00D944F4"/>
    <w:rsid w:val="00D945FB"/>
    <w:rsid w:val="00D94DDF"/>
    <w:rsid w:val="00D94FCE"/>
    <w:rsid w:val="00D9505E"/>
    <w:rsid w:val="00D950FA"/>
    <w:rsid w:val="00D95146"/>
    <w:rsid w:val="00D954B8"/>
    <w:rsid w:val="00D9552A"/>
    <w:rsid w:val="00D95DB1"/>
    <w:rsid w:val="00D95E2C"/>
    <w:rsid w:val="00D95F79"/>
    <w:rsid w:val="00D95FC5"/>
    <w:rsid w:val="00D9656C"/>
    <w:rsid w:val="00D96B39"/>
    <w:rsid w:val="00D96C50"/>
    <w:rsid w:val="00D96E11"/>
    <w:rsid w:val="00D97676"/>
    <w:rsid w:val="00D977A8"/>
    <w:rsid w:val="00D97F07"/>
    <w:rsid w:val="00D97F29"/>
    <w:rsid w:val="00D97FF2"/>
    <w:rsid w:val="00DA00CC"/>
    <w:rsid w:val="00DA02ED"/>
    <w:rsid w:val="00DA0447"/>
    <w:rsid w:val="00DA0615"/>
    <w:rsid w:val="00DA0638"/>
    <w:rsid w:val="00DA071B"/>
    <w:rsid w:val="00DA0785"/>
    <w:rsid w:val="00DA094F"/>
    <w:rsid w:val="00DA1188"/>
    <w:rsid w:val="00DA16C5"/>
    <w:rsid w:val="00DA1A7B"/>
    <w:rsid w:val="00DA1F07"/>
    <w:rsid w:val="00DA1F40"/>
    <w:rsid w:val="00DA246B"/>
    <w:rsid w:val="00DA296F"/>
    <w:rsid w:val="00DA29A7"/>
    <w:rsid w:val="00DA2C20"/>
    <w:rsid w:val="00DA2C38"/>
    <w:rsid w:val="00DA2E7F"/>
    <w:rsid w:val="00DA3320"/>
    <w:rsid w:val="00DA343E"/>
    <w:rsid w:val="00DA34AE"/>
    <w:rsid w:val="00DA36F8"/>
    <w:rsid w:val="00DA399D"/>
    <w:rsid w:val="00DA3DD1"/>
    <w:rsid w:val="00DA415E"/>
    <w:rsid w:val="00DA43A5"/>
    <w:rsid w:val="00DA43D6"/>
    <w:rsid w:val="00DA4616"/>
    <w:rsid w:val="00DA4632"/>
    <w:rsid w:val="00DA4687"/>
    <w:rsid w:val="00DA4746"/>
    <w:rsid w:val="00DA4A41"/>
    <w:rsid w:val="00DA4B4E"/>
    <w:rsid w:val="00DA525D"/>
    <w:rsid w:val="00DA536A"/>
    <w:rsid w:val="00DA5B56"/>
    <w:rsid w:val="00DA5CAB"/>
    <w:rsid w:val="00DA5CFF"/>
    <w:rsid w:val="00DA5E36"/>
    <w:rsid w:val="00DA63B4"/>
    <w:rsid w:val="00DA63F1"/>
    <w:rsid w:val="00DA649E"/>
    <w:rsid w:val="00DA64C6"/>
    <w:rsid w:val="00DA6638"/>
    <w:rsid w:val="00DA6B38"/>
    <w:rsid w:val="00DA6CAA"/>
    <w:rsid w:val="00DA6D35"/>
    <w:rsid w:val="00DA6E7B"/>
    <w:rsid w:val="00DA6F3E"/>
    <w:rsid w:val="00DA6F79"/>
    <w:rsid w:val="00DA7390"/>
    <w:rsid w:val="00DA7407"/>
    <w:rsid w:val="00DA7A46"/>
    <w:rsid w:val="00DA7F73"/>
    <w:rsid w:val="00DB01B2"/>
    <w:rsid w:val="00DB035D"/>
    <w:rsid w:val="00DB0632"/>
    <w:rsid w:val="00DB0635"/>
    <w:rsid w:val="00DB0F02"/>
    <w:rsid w:val="00DB10CA"/>
    <w:rsid w:val="00DB1191"/>
    <w:rsid w:val="00DB1428"/>
    <w:rsid w:val="00DB146F"/>
    <w:rsid w:val="00DB14D3"/>
    <w:rsid w:val="00DB1767"/>
    <w:rsid w:val="00DB18FB"/>
    <w:rsid w:val="00DB1CB6"/>
    <w:rsid w:val="00DB1DA2"/>
    <w:rsid w:val="00DB1DEB"/>
    <w:rsid w:val="00DB1F78"/>
    <w:rsid w:val="00DB2927"/>
    <w:rsid w:val="00DB2A4D"/>
    <w:rsid w:val="00DB2B49"/>
    <w:rsid w:val="00DB2E90"/>
    <w:rsid w:val="00DB32C5"/>
    <w:rsid w:val="00DB3534"/>
    <w:rsid w:val="00DB36C5"/>
    <w:rsid w:val="00DB3866"/>
    <w:rsid w:val="00DB3A6D"/>
    <w:rsid w:val="00DB3B65"/>
    <w:rsid w:val="00DB417B"/>
    <w:rsid w:val="00DB43AE"/>
    <w:rsid w:val="00DB49DF"/>
    <w:rsid w:val="00DB4ADC"/>
    <w:rsid w:val="00DB4B99"/>
    <w:rsid w:val="00DB4BB0"/>
    <w:rsid w:val="00DB4C23"/>
    <w:rsid w:val="00DB4CD9"/>
    <w:rsid w:val="00DB4CEF"/>
    <w:rsid w:val="00DB4E02"/>
    <w:rsid w:val="00DB5546"/>
    <w:rsid w:val="00DB59EC"/>
    <w:rsid w:val="00DB5C4E"/>
    <w:rsid w:val="00DB5E2C"/>
    <w:rsid w:val="00DB5E81"/>
    <w:rsid w:val="00DB641A"/>
    <w:rsid w:val="00DB648F"/>
    <w:rsid w:val="00DB667B"/>
    <w:rsid w:val="00DB6810"/>
    <w:rsid w:val="00DB7058"/>
    <w:rsid w:val="00DC00B4"/>
    <w:rsid w:val="00DC088C"/>
    <w:rsid w:val="00DC0C81"/>
    <w:rsid w:val="00DC0C8E"/>
    <w:rsid w:val="00DC100E"/>
    <w:rsid w:val="00DC1059"/>
    <w:rsid w:val="00DC13DD"/>
    <w:rsid w:val="00DC191A"/>
    <w:rsid w:val="00DC1D7C"/>
    <w:rsid w:val="00DC1F47"/>
    <w:rsid w:val="00DC2262"/>
    <w:rsid w:val="00DC22C6"/>
    <w:rsid w:val="00DC232D"/>
    <w:rsid w:val="00DC286E"/>
    <w:rsid w:val="00DC2B76"/>
    <w:rsid w:val="00DC304E"/>
    <w:rsid w:val="00DC3615"/>
    <w:rsid w:val="00DC4297"/>
    <w:rsid w:val="00DC470A"/>
    <w:rsid w:val="00DC47B0"/>
    <w:rsid w:val="00DC4A65"/>
    <w:rsid w:val="00DC4DBF"/>
    <w:rsid w:val="00DC5212"/>
    <w:rsid w:val="00DC5AA6"/>
    <w:rsid w:val="00DC6303"/>
    <w:rsid w:val="00DC6724"/>
    <w:rsid w:val="00DC687B"/>
    <w:rsid w:val="00DC6A65"/>
    <w:rsid w:val="00DC6B6B"/>
    <w:rsid w:val="00DC71A2"/>
    <w:rsid w:val="00DC7417"/>
    <w:rsid w:val="00DC75F5"/>
    <w:rsid w:val="00DC79B4"/>
    <w:rsid w:val="00DC7A7B"/>
    <w:rsid w:val="00DD00BA"/>
    <w:rsid w:val="00DD0221"/>
    <w:rsid w:val="00DD0258"/>
    <w:rsid w:val="00DD0323"/>
    <w:rsid w:val="00DD060A"/>
    <w:rsid w:val="00DD0D8D"/>
    <w:rsid w:val="00DD0DA3"/>
    <w:rsid w:val="00DD128E"/>
    <w:rsid w:val="00DD2796"/>
    <w:rsid w:val="00DD2B05"/>
    <w:rsid w:val="00DD30D3"/>
    <w:rsid w:val="00DD386B"/>
    <w:rsid w:val="00DD3952"/>
    <w:rsid w:val="00DD3A85"/>
    <w:rsid w:val="00DD3E66"/>
    <w:rsid w:val="00DD413C"/>
    <w:rsid w:val="00DD48AC"/>
    <w:rsid w:val="00DD48D2"/>
    <w:rsid w:val="00DD4B97"/>
    <w:rsid w:val="00DD512A"/>
    <w:rsid w:val="00DD5973"/>
    <w:rsid w:val="00DD5BFE"/>
    <w:rsid w:val="00DD5C72"/>
    <w:rsid w:val="00DD5D31"/>
    <w:rsid w:val="00DD5EB1"/>
    <w:rsid w:val="00DD5F16"/>
    <w:rsid w:val="00DD60C8"/>
    <w:rsid w:val="00DD63AA"/>
    <w:rsid w:val="00DD6645"/>
    <w:rsid w:val="00DD67F8"/>
    <w:rsid w:val="00DD69DC"/>
    <w:rsid w:val="00DD69E3"/>
    <w:rsid w:val="00DD7324"/>
    <w:rsid w:val="00DD76CE"/>
    <w:rsid w:val="00DD7721"/>
    <w:rsid w:val="00DD7ABD"/>
    <w:rsid w:val="00DD7AC4"/>
    <w:rsid w:val="00DD7AE2"/>
    <w:rsid w:val="00DE00A6"/>
    <w:rsid w:val="00DE04D8"/>
    <w:rsid w:val="00DE0A88"/>
    <w:rsid w:val="00DE0B3C"/>
    <w:rsid w:val="00DE0D5D"/>
    <w:rsid w:val="00DE0FD6"/>
    <w:rsid w:val="00DE1404"/>
    <w:rsid w:val="00DE1CDE"/>
    <w:rsid w:val="00DE1D6C"/>
    <w:rsid w:val="00DE1E7C"/>
    <w:rsid w:val="00DE1FD2"/>
    <w:rsid w:val="00DE209B"/>
    <w:rsid w:val="00DE261A"/>
    <w:rsid w:val="00DE2880"/>
    <w:rsid w:val="00DE2AF7"/>
    <w:rsid w:val="00DE2DA1"/>
    <w:rsid w:val="00DE3879"/>
    <w:rsid w:val="00DE3A22"/>
    <w:rsid w:val="00DE3D54"/>
    <w:rsid w:val="00DE3D8A"/>
    <w:rsid w:val="00DE3EDA"/>
    <w:rsid w:val="00DE3F0B"/>
    <w:rsid w:val="00DE4289"/>
    <w:rsid w:val="00DE4343"/>
    <w:rsid w:val="00DE46A7"/>
    <w:rsid w:val="00DE4832"/>
    <w:rsid w:val="00DE48ED"/>
    <w:rsid w:val="00DE48FB"/>
    <w:rsid w:val="00DE4A17"/>
    <w:rsid w:val="00DE4B57"/>
    <w:rsid w:val="00DE4E5F"/>
    <w:rsid w:val="00DE4F36"/>
    <w:rsid w:val="00DE4F70"/>
    <w:rsid w:val="00DE56AD"/>
    <w:rsid w:val="00DE59D6"/>
    <w:rsid w:val="00DE5D01"/>
    <w:rsid w:val="00DE5D02"/>
    <w:rsid w:val="00DE5EC4"/>
    <w:rsid w:val="00DE60DB"/>
    <w:rsid w:val="00DE62E8"/>
    <w:rsid w:val="00DE651C"/>
    <w:rsid w:val="00DE67DA"/>
    <w:rsid w:val="00DE6F0D"/>
    <w:rsid w:val="00DE70BA"/>
    <w:rsid w:val="00DE796E"/>
    <w:rsid w:val="00DE79F3"/>
    <w:rsid w:val="00DE7AAE"/>
    <w:rsid w:val="00DE7D72"/>
    <w:rsid w:val="00DE7F07"/>
    <w:rsid w:val="00DF041E"/>
    <w:rsid w:val="00DF0845"/>
    <w:rsid w:val="00DF0867"/>
    <w:rsid w:val="00DF0B70"/>
    <w:rsid w:val="00DF0D69"/>
    <w:rsid w:val="00DF0EA0"/>
    <w:rsid w:val="00DF0FB3"/>
    <w:rsid w:val="00DF0FB4"/>
    <w:rsid w:val="00DF11C7"/>
    <w:rsid w:val="00DF132C"/>
    <w:rsid w:val="00DF1571"/>
    <w:rsid w:val="00DF1688"/>
    <w:rsid w:val="00DF1B70"/>
    <w:rsid w:val="00DF221E"/>
    <w:rsid w:val="00DF248E"/>
    <w:rsid w:val="00DF26E1"/>
    <w:rsid w:val="00DF2890"/>
    <w:rsid w:val="00DF2BCC"/>
    <w:rsid w:val="00DF2C23"/>
    <w:rsid w:val="00DF2C7D"/>
    <w:rsid w:val="00DF3452"/>
    <w:rsid w:val="00DF367B"/>
    <w:rsid w:val="00DF380F"/>
    <w:rsid w:val="00DF45B9"/>
    <w:rsid w:val="00DF45DC"/>
    <w:rsid w:val="00DF467F"/>
    <w:rsid w:val="00DF4A62"/>
    <w:rsid w:val="00DF4DC8"/>
    <w:rsid w:val="00DF4F45"/>
    <w:rsid w:val="00DF52F3"/>
    <w:rsid w:val="00DF54B0"/>
    <w:rsid w:val="00DF5A74"/>
    <w:rsid w:val="00DF5BED"/>
    <w:rsid w:val="00DF5CD1"/>
    <w:rsid w:val="00DF5ED9"/>
    <w:rsid w:val="00DF5FE5"/>
    <w:rsid w:val="00DF6168"/>
    <w:rsid w:val="00DF674C"/>
    <w:rsid w:val="00DF687C"/>
    <w:rsid w:val="00DF691B"/>
    <w:rsid w:val="00DF6BFB"/>
    <w:rsid w:val="00DF6E9A"/>
    <w:rsid w:val="00DF70DD"/>
    <w:rsid w:val="00DF74C6"/>
    <w:rsid w:val="00DF74C8"/>
    <w:rsid w:val="00DF74F7"/>
    <w:rsid w:val="00DF7A3F"/>
    <w:rsid w:val="00DF7B0C"/>
    <w:rsid w:val="00E00484"/>
    <w:rsid w:val="00E0122D"/>
    <w:rsid w:val="00E01407"/>
    <w:rsid w:val="00E01574"/>
    <w:rsid w:val="00E01940"/>
    <w:rsid w:val="00E01AAC"/>
    <w:rsid w:val="00E01AF7"/>
    <w:rsid w:val="00E01EED"/>
    <w:rsid w:val="00E02119"/>
    <w:rsid w:val="00E02A94"/>
    <w:rsid w:val="00E02D59"/>
    <w:rsid w:val="00E02DFE"/>
    <w:rsid w:val="00E02E9C"/>
    <w:rsid w:val="00E03320"/>
    <w:rsid w:val="00E03622"/>
    <w:rsid w:val="00E03629"/>
    <w:rsid w:val="00E036AE"/>
    <w:rsid w:val="00E0379D"/>
    <w:rsid w:val="00E03CF3"/>
    <w:rsid w:val="00E03DD3"/>
    <w:rsid w:val="00E03E15"/>
    <w:rsid w:val="00E03FC1"/>
    <w:rsid w:val="00E0400A"/>
    <w:rsid w:val="00E04116"/>
    <w:rsid w:val="00E044B9"/>
    <w:rsid w:val="00E0497F"/>
    <w:rsid w:val="00E049D3"/>
    <w:rsid w:val="00E04EBF"/>
    <w:rsid w:val="00E051B8"/>
    <w:rsid w:val="00E051CD"/>
    <w:rsid w:val="00E053D1"/>
    <w:rsid w:val="00E0540A"/>
    <w:rsid w:val="00E054BB"/>
    <w:rsid w:val="00E058E3"/>
    <w:rsid w:val="00E05E57"/>
    <w:rsid w:val="00E06140"/>
    <w:rsid w:val="00E0638C"/>
    <w:rsid w:val="00E06703"/>
    <w:rsid w:val="00E069E4"/>
    <w:rsid w:val="00E06C6B"/>
    <w:rsid w:val="00E071F5"/>
    <w:rsid w:val="00E10216"/>
    <w:rsid w:val="00E10814"/>
    <w:rsid w:val="00E109D6"/>
    <w:rsid w:val="00E10AE5"/>
    <w:rsid w:val="00E110C0"/>
    <w:rsid w:val="00E11328"/>
    <w:rsid w:val="00E11416"/>
    <w:rsid w:val="00E11597"/>
    <w:rsid w:val="00E115D8"/>
    <w:rsid w:val="00E116C7"/>
    <w:rsid w:val="00E11801"/>
    <w:rsid w:val="00E11B27"/>
    <w:rsid w:val="00E11C6E"/>
    <w:rsid w:val="00E11E94"/>
    <w:rsid w:val="00E12042"/>
    <w:rsid w:val="00E12064"/>
    <w:rsid w:val="00E123F9"/>
    <w:rsid w:val="00E126F6"/>
    <w:rsid w:val="00E1271E"/>
    <w:rsid w:val="00E12874"/>
    <w:rsid w:val="00E12981"/>
    <w:rsid w:val="00E12AAF"/>
    <w:rsid w:val="00E12CBD"/>
    <w:rsid w:val="00E12E8D"/>
    <w:rsid w:val="00E12EE6"/>
    <w:rsid w:val="00E13032"/>
    <w:rsid w:val="00E13117"/>
    <w:rsid w:val="00E132CF"/>
    <w:rsid w:val="00E13442"/>
    <w:rsid w:val="00E13629"/>
    <w:rsid w:val="00E137C5"/>
    <w:rsid w:val="00E1399B"/>
    <w:rsid w:val="00E13B78"/>
    <w:rsid w:val="00E13DF1"/>
    <w:rsid w:val="00E14155"/>
    <w:rsid w:val="00E14332"/>
    <w:rsid w:val="00E14387"/>
    <w:rsid w:val="00E14EB3"/>
    <w:rsid w:val="00E15022"/>
    <w:rsid w:val="00E152C5"/>
    <w:rsid w:val="00E1545F"/>
    <w:rsid w:val="00E155A4"/>
    <w:rsid w:val="00E156DA"/>
    <w:rsid w:val="00E15E2C"/>
    <w:rsid w:val="00E15EF1"/>
    <w:rsid w:val="00E16493"/>
    <w:rsid w:val="00E168F4"/>
    <w:rsid w:val="00E17BA0"/>
    <w:rsid w:val="00E17E11"/>
    <w:rsid w:val="00E20283"/>
    <w:rsid w:val="00E206C0"/>
    <w:rsid w:val="00E2073F"/>
    <w:rsid w:val="00E20805"/>
    <w:rsid w:val="00E2099B"/>
    <w:rsid w:val="00E210F9"/>
    <w:rsid w:val="00E21497"/>
    <w:rsid w:val="00E2151C"/>
    <w:rsid w:val="00E21B0D"/>
    <w:rsid w:val="00E21D99"/>
    <w:rsid w:val="00E22281"/>
    <w:rsid w:val="00E22344"/>
    <w:rsid w:val="00E2234B"/>
    <w:rsid w:val="00E225F5"/>
    <w:rsid w:val="00E22699"/>
    <w:rsid w:val="00E23377"/>
    <w:rsid w:val="00E236C2"/>
    <w:rsid w:val="00E2374B"/>
    <w:rsid w:val="00E238EF"/>
    <w:rsid w:val="00E23B06"/>
    <w:rsid w:val="00E23FFC"/>
    <w:rsid w:val="00E241D8"/>
    <w:rsid w:val="00E24839"/>
    <w:rsid w:val="00E24AE0"/>
    <w:rsid w:val="00E24B39"/>
    <w:rsid w:val="00E25025"/>
    <w:rsid w:val="00E25341"/>
    <w:rsid w:val="00E2544D"/>
    <w:rsid w:val="00E2561E"/>
    <w:rsid w:val="00E25FAD"/>
    <w:rsid w:val="00E261C9"/>
    <w:rsid w:val="00E266F0"/>
    <w:rsid w:val="00E26705"/>
    <w:rsid w:val="00E26CEC"/>
    <w:rsid w:val="00E2713B"/>
    <w:rsid w:val="00E27380"/>
    <w:rsid w:val="00E2743D"/>
    <w:rsid w:val="00E2747A"/>
    <w:rsid w:val="00E27612"/>
    <w:rsid w:val="00E3015C"/>
    <w:rsid w:val="00E3033F"/>
    <w:rsid w:val="00E30A66"/>
    <w:rsid w:val="00E30E62"/>
    <w:rsid w:val="00E316C4"/>
    <w:rsid w:val="00E31754"/>
    <w:rsid w:val="00E319AE"/>
    <w:rsid w:val="00E31A62"/>
    <w:rsid w:val="00E31BFF"/>
    <w:rsid w:val="00E3230B"/>
    <w:rsid w:val="00E3238A"/>
    <w:rsid w:val="00E3266A"/>
    <w:rsid w:val="00E328D9"/>
    <w:rsid w:val="00E32E3C"/>
    <w:rsid w:val="00E32F61"/>
    <w:rsid w:val="00E32FEF"/>
    <w:rsid w:val="00E3366E"/>
    <w:rsid w:val="00E33AAD"/>
    <w:rsid w:val="00E33C23"/>
    <w:rsid w:val="00E33CAA"/>
    <w:rsid w:val="00E33E1D"/>
    <w:rsid w:val="00E34054"/>
    <w:rsid w:val="00E340EB"/>
    <w:rsid w:val="00E342EF"/>
    <w:rsid w:val="00E34716"/>
    <w:rsid w:val="00E34823"/>
    <w:rsid w:val="00E3485C"/>
    <w:rsid w:val="00E348DA"/>
    <w:rsid w:val="00E349A8"/>
    <w:rsid w:val="00E34A22"/>
    <w:rsid w:val="00E34C7F"/>
    <w:rsid w:val="00E35317"/>
    <w:rsid w:val="00E35687"/>
    <w:rsid w:val="00E3573A"/>
    <w:rsid w:val="00E35AD6"/>
    <w:rsid w:val="00E3688D"/>
    <w:rsid w:val="00E36ADE"/>
    <w:rsid w:val="00E37111"/>
    <w:rsid w:val="00E377DB"/>
    <w:rsid w:val="00E378B0"/>
    <w:rsid w:val="00E37FB4"/>
    <w:rsid w:val="00E40290"/>
    <w:rsid w:val="00E407B7"/>
    <w:rsid w:val="00E40882"/>
    <w:rsid w:val="00E40BDE"/>
    <w:rsid w:val="00E40C6C"/>
    <w:rsid w:val="00E40EC3"/>
    <w:rsid w:val="00E40F9C"/>
    <w:rsid w:val="00E40FCB"/>
    <w:rsid w:val="00E41036"/>
    <w:rsid w:val="00E41132"/>
    <w:rsid w:val="00E414EA"/>
    <w:rsid w:val="00E415E5"/>
    <w:rsid w:val="00E4173F"/>
    <w:rsid w:val="00E4199A"/>
    <w:rsid w:val="00E41B8D"/>
    <w:rsid w:val="00E41C99"/>
    <w:rsid w:val="00E4203F"/>
    <w:rsid w:val="00E420CA"/>
    <w:rsid w:val="00E42184"/>
    <w:rsid w:val="00E42996"/>
    <w:rsid w:val="00E4339E"/>
    <w:rsid w:val="00E43619"/>
    <w:rsid w:val="00E43A8D"/>
    <w:rsid w:val="00E43B4B"/>
    <w:rsid w:val="00E44CAE"/>
    <w:rsid w:val="00E44CBC"/>
    <w:rsid w:val="00E44E92"/>
    <w:rsid w:val="00E454BD"/>
    <w:rsid w:val="00E45515"/>
    <w:rsid w:val="00E45C8F"/>
    <w:rsid w:val="00E45DAC"/>
    <w:rsid w:val="00E46061"/>
    <w:rsid w:val="00E46181"/>
    <w:rsid w:val="00E46222"/>
    <w:rsid w:val="00E4637C"/>
    <w:rsid w:val="00E46BCE"/>
    <w:rsid w:val="00E46D6D"/>
    <w:rsid w:val="00E4702F"/>
    <w:rsid w:val="00E47162"/>
    <w:rsid w:val="00E47353"/>
    <w:rsid w:val="00E47405"/>
    <w:rsid w:val="00E478C3"/>
    <w:rsid w:val="00E47F89"/>
    <w:rsid w:val="00E50217"/>
    <w:rsid w:val="00E50660"/>
    <w:rsid w:val="00E50D06"/>
    <w:rsid w:val="00E50D73"/>
    <w:rsid w:val="00E50F03"/>
    <w:rsid w:val="00E51716"/>
    <w:rsid w:val="00E51B25"/>
    <w:rsid w:val="00E51E3D"/>
    <w:rsid w:val="00E51FDD"/>
    <w:rsid w:val="00E5201F"/>
    <w:rsid w:val="00E52262"/>
    <w:rsid w:val="00E5228E"/>
    <w:rsid w:val="00E52631"/>
    <w:rsid w:val="00E52684"/>
    <w:rsid w:val="00E528DF"/>
    <w:rsid w:val="00E52C87"/>
    <w:rsid w:val="00E5332B"/>
    <w:rsid w:val="00E53474"/>
    <w:rsid w:val="00E5367E"/>
    <w:rsid w:val="00E536E4"/>
    <w:rsid w:val="00E53976"/>
    <w:rsid w:val="00E539FC"/>
    <w:rsid w:val="00E53E5D"/>
    <w:rsid w:val="00E540BC"/>
    <w:rsid w:val="00E5412D"/>
    <w:rsid w:val="00E5420F"/>
    <w:rsid w:val="00E546D3"/>
    <w:rsid w:val="00E5480F"/>
    <w:rsid w:val="00E54BEA"/>
    <w:rsid w:val="00E5507D"/>
    <w:rsid w:val="00E55192"/>
    <w:rsid w:val="00E5543B"/>
    <w:rsid w:val="00E5553B"/>
    <w:rsid w:val="00E555CD"/>
    <w:rsid w:val="00E555F6"/>
    <w:rsid w:val="00E558F5"/>
    <w:rsid w:val="00E55A8A"/>
    <w:rsid w:val="00E55C71"/>
    <w:rsid w:val="00E55E82"/>
    <w:rsid w:val="00E562D0"/>
    <w:rsid w:val="00E56335"/>
    <w:rsid w:val="00E5660B"/>
    <w:rsid w:val="00E56C8D"/>
    <w:rsid w:val="00E571FA"/>
    <w:rsid w:val="00E57548"/>
    <w:rsid w:val="00E57CB1"/>
    <w:rsid w:val="00E57EE4"/>
    <w:rsid w:val="00E6015E"/>
    <w:rsid w:val="00E604FA"/>
    <w:rsid w:val="00E60A1C"/>
    <w:rsid w:val="00E60DDF"/>
    <w:rsid w:val="00E60F4B"/>
    <w:rsid w:val="00E61244"/>
    <w:rsid w:val="00E6124D"/>
    <w:rsid w:val="00E6145B"/>
    <w:rsid w:val="00E6199D"/>
    <w:rsid w:val="00E619D3"/>
    <w:rsid w:val="00E61AEF"/>
    <w:rsid w:val="00E61ECB"/>
    <w:rsid w:val="00E61FCF"/>
    <w:rsid w:val="00E62000"/>
    <w:rsid w:val="00E6215D"/>
    <w:rsid w:val="00E624FE"/>
    <w:rsid w:val="00E625FD"/>
    <w:rsid w:val="00E628FD"/>
    <w:rsid w:val="00E62B17"/>
    <w:rsid w:val="00E62B73"/>
    <w:rsid w:val="00E62BCF"/>
    <w:rsid w:val="00E62D25"/>
    <w:rsid w:val="00E62F30"/>
    <w:rsid w:val="00E63ABB"/>
    <w:rsid w:val="00E63D00"/>
    <w:rsid w:val="00E64365"/>
    <w:rsid w:val="00E64512"/>
    <w:rsid w:val="00E64634"/>
    <w:rsid w:val="00E647AD"/>
    <w:rsid w:val="00E64C15"/>
    <w:rsid w:val="00E65037"/>
    <w:rsid w:val="00E650E1"/>
    <w:rsid w:val="00E6514A"/>
    <w:rsid w:val="00E652E2"/>
    <w:rsid w:val="00E65589"/>
    <w:rsid w:val="00E65616"/>
    <w:rsid w:val="00E660DD"/>
    <w:rsid w:val="00E66514"/>
    <w:rsid w:val="00E667DC"/>
    <w:rsid w:val="00E66935"/>
    <w:rsid w:val="00E66A74"/>
    <w:rsid w:val="00E66E2B"/>
    <w:rsid w:val="00E66F31"/>
    <w:rsid w:val="00E67167"/>
    <w:rsid w:val="00E671C6"/>
    <w:rsid w:val="00E672D2"/>
    <w:rsid w:val="00E672E4"/>
    <w:rsid w:val="00E674E1"/>
    <w:rsid w:val="00E67568"/>
    <w:rsid w:val="00E67661"/>
    <w:rsid w:val="00E6796A"/>
    <w:rsid w:val="00E67F8A"/>
    <w:rsid w:val="00E7005E"/>
    <w:rsid w:val="00E703E2"/>
    <w:rsid w:val="00E70444"/>
    <w:rsid w:val="00E70526"/>
    <w:rsid w:val="00E7056F"/>
    <w:rsid w:val="00E705CE"/>
    <w:rsid w:val="00E705EF"/>
    <w:rsid w:val="00E7065C"/>
    <w:rsid w:val="00E7076A"/>
    <w:rsid w:val="00E709E5"/>
    <w:rsid w:val="00E717A3"/>
    <w:rsid w:val="00E71951"/>
    <w:rsid w:val="00E71E71"/>
    <w:rsid w:val="00E71F6A"/>
    <w:rsid w:val="00E72665"/>
    <w:rsid w:val="00E72971"/>
    <w:rsid w:val="00E729B8"/>
    <w:rsid w:val="00E72AAF"/>
    <w:rsid w:val="00E72BFE"/>
    <w:rsid w:val="00E731F9"/>
    <w:rsid w:val="00E734C2"/>
    <w:rsid w:val="00E73E38"/>
    <w:rsid w:val="00E741BF"/>
    <w:rsid w:val="00E742C2"/>
    <w:rsid w:val="00E74929"/>
    <w:rsid w:val="00E74A32"/>
    <w:rsid w:val="00E74A52"/>
    <w:rsid w:val="00E74BD0"/>
    <w:rsid w:val="00E74BD1"/>
    <w:rsid w:val="00E74F35"/>
    <w:rsid w:val="00E75153"/>
    <w:rsid w:val="00E75A62"/>
    <w:rsid w:val="00E75DF8"/>
    <w:rsid w:val="00E76171"/>
    <w:rsid w:val="00E76203"/>
    <w:rsid w:val="00E76231"/>
    <w:rsid w:val="00E7648F"/>
    <w:rsid w:val="00E76854"/>
    <w:rsid w:val="00E768AA"/>
    <w:rsid w:val="00E76C0B"/>
    <w:rsid w:val="00E76EAE"/>
    <w:rsid w:val="00E7703C"/>
    <w:rsid w:val="00E772CF"/>
    <w:rsid w:val="00E77448"/>
    <w:rsid w:val="00E775EF"/>
    <w:rsid w:val="00E77703"/>
    <w:rsid w:val="00E777CA"/>
    <w:rsid w:val="00E805B9"/>
    <w:rsid w:val="00E80E17"/>
    <w:rsid w:val="00E80F2B"/>
    <w:rsid w:val="00E81058"/>
    <w:rsid w:val="00E8106C"/>
    <w:rsid w:val="00E8120C"/>
    <w:rsid w:val="00E812F1"/>
    <w:rsid w:val="00E81584"/>
    <w:rsid w:val="00E81B28"/>
    <w:rsid w:val="00E81B66"/>
    <w:rsid w:val="00E81BDD"/>
    <w:rsid w:val="00E81DDC"/>
    <w:rsid w:val="00E81F52"/>
    <w:rsid w:val="00E81FA5"/>
    <w:rsid w:val="00E820E5"/>
    <w:rsid w:val="00E822A9"/>
    <w:rsid w:val="00E82383"/>
    <w:rsid w:val="00E823A7"/>
    <w:rsid w:val="00E823F3"/>
    <w:rsid w:val="00E82669"/>
    <w:rsid w:val="00E8273D"/>
    <w:rsid w:val="00E82856"/>
    <w:rsid w:val="00E82978"/>
    <w:rsid w:val="00E829CE"/>
    <w:rsid w:val="00E82A49"/>
    <w:rsid w:val="00E82BF2"/>
    <w:rsid w:val="00E82C3E"/>
    <w:rsid w:val="00E82C45"/>
    <w:rsid w:val="00E82CC8"/>
    <w:rsid w:val="00E831D6"/>
    <w:rsid w:val="00E83373"/>
    <w:rsid w:val="00E83584"/>
    <w:rsid w:val="00E83586"/>
    <w:rsid w:val="00E835DA"/>
    <w:rsid w:val="00E83E07"/>
    <w:rsid w:val="00E84215"/>
    <w:rsid w:val="00E842D8"/>
    <w:rsid w:val="00E8438E"/>
    <w:rsid w:val="00E8456E"/>
    <w:rsid w:val="00E8530B"/>
    <w:rsid w:val="00E856AA"/>
    <w:rsid w:val="00E8572A"/>
    <w:rsid w:val="00E8580A"/>
    <w:rsid w:val="00E85A59"/>
    <w:rsid w:val="00E85D73"/>
    <w:rsid w:val="00E85DEC"/>
    <w:rsid w:val="00E85E25"/>
    <w:rsid w:val="00E85FDC"/>
    <w:rsid w:val="00E86029"/>
    <w:rsid w:val="00E86145"/>
    <w:rsid w:val="00E86299"/>
    <w:rsid w:val="00E8636F"/>
    <w:rsid w:val="00E86748"/>
    <w:rsid w:val="00E8684B"/>
    <w:rsid w:val="00E8692E"/>
    <w:rsid w:val="00E8694B"/>
    <w:rsid w:val="00E86D52"/>
    <w:rsid w:val="00E871AD"/>
    <w:rsid w:val="00E8750C"/>
    <w:rsid w:val="00E9034E"/>
    <w:rsid w:val="00E903E7"/>
    <w:rsid w:val="00E90405"/>
    <w:rsid w:val="00E90493"/>
    <w:rsid w:val="00E90684"/>
    <w:rsid w:val="00E90DA0"/>
    <w:rsid w:val="00E90EDB"/>
    <w:rsid w:val="00E90EEB"/>
    <w:rsid w:val="00E91434"/>
    <w:rsid w:val="00E9161D"/>
    <w:rsid w:val="00E9164F"/>
    <w:rsid w:val="00E91C2B"/>
    <w:rsid w:val="00E9216F"/>
    <w:rsid w:val="00E925BD"/>
    <w:rsid w:val="00E9285A"/>
    <w:rsid w:val="00E928A0"/>
    <w:rsid w:val="00E93872"/>
    <w:rsid w:val="00E93A08"/>
    <w:rsid w:val="00E93B38"/>
    <w:rsid w:val="00E9413C"/>
    <w:rsid w:val="00E943B3"/>
    <w:rsid w:val="00E9456B"/>
    <w:rsid w:val="00E9498B"/>
    <w:rsid w:val="00E94FDD"/>
    <w:rsid w:val="00E951D1"/>
    <w:rsid w:val="00E95254"/>
    <w:rsid w:val="00E954F5"/>
    <w:rsid w:val="00E9560D"/>
    <w:rsid w:val="00E95618"/>
    <w:rsid w:val="00E956B2"/>
    <w:rsid w:val="00E95A11"/>
    <w:rsid w:val="00E95D16"/>
    <w:rsid w:val="00E95F52"/>
    <w:rsid w:val="00E962CB"/>
    <w:rsid w:val="00E96481"/>
    <w:rsid w:val="00E96663"/>
    <w:rsid w:val="00E967AB"/>
    <w:rsid w:val="00E96986"/>
    <w:rsid w:val="00E969AA"/>
    <w:rsid w:val="00E972FF"/>
    <w:rsid w:val="00E97310"/>
    <w:rsid w:val="00E973A6"/>
    <w:rsid w:val="00E97A4F"/>
    <w:rsid w:val="00E97E9A"/>
    <w:rsid w:val="00E97F56"/>
    <w:rsid w:val="00E9CBA2"/>
    <w:rsid w:val="00EA0048"/>
    <w:rsid w:val="00EA01B1"/>
    <w:rsid w:val="00EA0463"/>
    <w:rsid w:val="00EA0807"/>
    <w:rsid w:val="00EA0DA1"/>
    <w:rsid w:val="00EA0F61"/>
    <w:rsid w:val="00EA119A"/>
    <w:rsid w:val="00EA12B8"/>
    <w:rsid w:val="00EA14EB"/>
    <w:rsid w:val="00EA1612"/>
    <w:rsid w:val="00EA1627"/>
    <w:rsid w:val="00EA18E6"/>
    <w:rsid w:val="00EA1A4C"/>
    <w:rsid w:val="00EA1DB8"/>
    <w:rsid w:val="00EA225F"/>
    <w:rsid w:val="00EA254B"/>
    <w:rsid w:val="00EA28F5"/>
    <w:rsid w:val="00EA2BA6"/>
    <w:rsid w:val="00EA2C65"/>
    <w:rsid w:val="00EA2D23"/>
    <w:rsid w:val="00EA3009"/>
    <w:rsid w:val="00EA3792"/>
    <w:rsid w:val="00EA3798"/>
    <w:rsid w:val="00EA3953"/>
    <w:rsid w:val="00EA4032"/>
    <w:rsid w:val="00EA4230"/>
    <w:rsid w:val="00EA4453"/>
    <w:rsid w:val="00EA462B"/>
    <w:rsid w:val="00EA479B"/>
    <w:rsid w:val="00EA4820"/>
    <w:rsid w:val="00EA48D0"/>
    <w:rsid w:val="00EA49BC"/>
    <w:rsid w:val="00EA5416"/>
    <w:rsid w:val="00EA5812"/>
    <w:rsid w:val="00EA59BA"/>
    <w:rsid w:val="00EA5B54"/>
    <w:rsid w:val="00EA5DD4"/>
    <w:rsid w:val="00EA5E3C"/>
    <w:rsid w:val="00EA63FA"/>
    <w:rsid w:val="00EA64FE"/>
    <w:rsid w:val="00EA65D7"/>
    <w:rsid w:val="00EA6678"/>
    <w:rsid w:val="00EA6D31"/>
    <w:rsid w:val="00EA7260"/>
    <w:rsid w:val="00EA7370"/>
    <w:rsid w:val="00EA7473"/>
    <w:rsid w:val="00EA7488"/>
    <w:rsid w:val="00EA76E8"/>
    <w:rsid w:val="00EA7754"/>
    <w:rsid w:val="00EA7A2B"/>
    <w:rsid w:val="00EB04B6"/>
    <w:rsid w:val="00EB06EE"/>
    <w:rsid w:val="00EB0824"/>
    <w:rsid w:val="00EB0B0C"/>
    <w:rsid w:val="00EB168D"/>
    <w:rsid w:val="00EB1AE4"/>
    <w:rsid w:val="00EB1BC2"/>
    <w:rsid w:val="00EB1DF8"/>
    <w:rsid w:val="00EB1ED8"/>
    <w:rsid w:val="00EB205C"/>
    <w:rsid w:val="00EB21F7"/>
    <w:rsid w:val="00EB2359"/>
    <w:rsid w:val="00EB2832"/>
    <w:rsid w:val="00EB29D5"/>
    <w:rsid w:val="00EB2C63"/>
    <w:rsid w:val="00EB333C"/>
    <w:rsid w:val="00EB33FF"/>
    <w:rsid w:val="00EB35D1"/>
    <w:rsid w:val="00EB369A"/>
    <w:rsid w:val="00EB38B5"/>
    <w:rsid w:val="00EB3EDE"/>
    <w:rsid w:val="00EB411F"/>
    <w:rsid w:val="00EB4656"/>
    <w:rsid w:val="00EB4784"/>
    <w:rsid w:val="00EB49CC"/>
    <w:rsid w:val="00EB4BDF"/>
    <w:rsid w:val="00EB4CF1"/>
    <w:rsid w:val="00EB4FE9"/>
    <w:rsid w:val="00EB5330"/>
    <w:rsid w:val="00EB5994"/>
    <w:rsid w:val="00EB5E69"/>
    <w:rsid w:val="00EB6033"/>
    <w:rsid w:val="00EB6115"/>
    <w:rsid w:val="00EB6182"/>
    <w:rsid w:val="00EB6498"/>
    <w:rsid w:val="00EB6877"/>
    <w:rsid w:val="00EB6C8C"/>
    <w:rsid w:val="00EB6E86"/>
    <w:rsid w:val="00EB712B"/>
    <w:rsid w:val="00EB71C7"/>
    <w:rsid w:val="00EB73F4"/>
    <w:rsid w:val="00EB758C"/>
    <w:rsid w:val="00EB75E6"/>
    <w:rsid w:val="00EB77AA"/>
    <w:rsid w:val="00EB7B55"/>
    <w:rsid w:val="00EB7C68"/>
    <w:rsid w:val="00EB7FD5"/>
    <w:rsid w:val="00EC01BC"/>
    <w:rsid w:val="00EC0631"/>
    <w:rsid w:val="00EC0B42"/>
    <w:rsid w:val="00EC0B86"/>
    <w:rsid w:val="00EC0C53"/>
    <w:rsid w:val="00EC0CC7"/>
    <w:rsid w:val="00EC0D19"/>
    <w:rsid w:val="00EC147A"/>
    <w:rsid w:val="00EC1551"/>
    <w:rsid w:val="00EC1767"/>
    <w:rsid w:val="00EC177E"/>
    <w:rsid w:val="00EC19E0"/>
    <w:rsid w:val="00EC1A18"/>
    <w:rsid w:val="00EC1A39"/>
    <w:rsid w:val="00EC223F"/>
    <w:rsid w:val="00EC311C"/>
    <w:rsid w:val="00EC322F"/>
    <w:rsid w:val="00EC34E7"/>
    <w:rsid w:val="00EC352E"/>
    <w:rsid w:val="00EC3CBA"/>
    <w:rsid w:val="00EC4384"/>
    <w:rsid w:val="00EC451F"/>
    <w:rsid w:val="00EC4757"/>
    <w:rsid w:val="00EC4A8B"/>
    <w:rsid w:val="00EC4AA9"/>
    <w:rsid w:val="00EC4B4F"/>
    <w:rsid w:val="00EC4E34"/>
    <w:rsid w:val="00EC4FCC"/>
    <w:rsid w:val="00EC53DD"/>
    <w:rsid w:val="00EC5555"/>
    <w:rsid w:val="00EC5765"/>
    <w:rsid w:val="00EC5907"/>
    <w:rsid w:val="00EC59C4"/>
    <w:rsid w:val="00EC64D9"/>
    <w:rsid w:val="00EC6BE1"/>
    <w:rsid w:val="00EC6FF0"/>
    <w:rsid w:val="00EC717F"/>
    <w:rsid w:val="00EC72CD"/>
    <w:rsid w:val="00EC765A"/>
    <w:rsid w:val="00EC7C77"/>
    <w:rsid w:val="00EC7C7B"/>
    <w:rsid w:val="00ED0191"/>
    <w:rsid w:val="00ED0247"/>
    <w:rsid w:val="00ED0C2C"/>
    <w:rsid w:val="00ED0E7E"/>
    <w:rsid w:val="00ED0E90"/>
    <w:rsid w:val="00ED13CF"/>
    <w:rsid w:val="00ED1447"/>
    <w:rsid w:val="00ED14EE"/>
    <w:rsid w:val="00ED1933"/>
    <w:rsid w:val="00ED196D"/>
    <w:rsid w:val="00ED1C96"/>
    <w:rsid w:val="00ED1F21"/>
    <w:rsid w:val="00ED1FC4"/>
    <w:rsid w:val="00ED1FEF"/>
    <w:rsid w:val="00ED2295"/>
    <w:rsid w:val="00ED240A"/>
    <w:rsid w:val="00ED2801"/>
    <w:rsid w:val="00ED2A73"/>
    <w:rsid w:val="00ED2AB5"/>
    <w:rsid w:val="00ED2B4E"/>
    <w:rsid w:val="00ED3027"/>
    <w:rsid w:val="00ED318F"/>
    <w:rsid w:val="00ED32AD"/>
    <w:rsid w:val="00ED37FE"/>
    <w:rsid w:val="00ED3A53"/>
    <w:rsid w:val="00ED3A8B"/>
    <w:rsid w:val="00ED3EE0"/>
    <w:rsid w:val="00ED3F49"/>
    <w:rsid w:val="00ED3F9A"/>
    <w:rsid w:val="00ED420A"/>
    <w:rsid w:val="00ED4229"/>
    <w:rsid w:val="00ED437D"/>
    <w:rsid w:val="00ED43D2"/>
    <w:rsid w:val="00ED4714"/>
    <w:rsid w:val="00ED479A"/>
    <w:rsid w:val="00ED4ACF"/>
    <w:rsid w:val="00ED4DC1"/>
    <w:rsid w:val="00ED4E71"/>
    <w:rsid w:val="00ED4F52"/>
    <w:rsid w:val="00ED5483"/>
    <w:rsid w:val="00ED55D3"/>
    <w:rsid w:val="00ED59E4"/>
    <w:rsid w:val="00ED5BFB"/>
    <w:rsid w:val="00ED5C1B"/>
    <w:rsid w:val="00ED6056"/>
    <w:rsid w:val="00ED6570"/>
    <w:rsid w:val="00ED68F2"/>
    <w:rsid w:val="00ED6985"/>
    <w:rsid w:val="00ED69FC"/>
    <w:rsid w:val="00ED6C17"/>
    <w:rsid w:val="00ED71A3"/>
    <w:rsid w:val="00ED73ED"/>
    <w:rsid w:val="00ED75A1"/>
    <w:rsid w:val="00ED75AF"/>
    <w:rsid w:val="00ED77BB"/>
    <w:rsid w:val="00ED78E3"/>
    <w:rsid w:val="00ED7926"/>
    <w:rsid w:val="00ED7A0C"/>
    <w:rsid w:val="00ED7DB9"/>
    <w:rsid w:val="00ED7FBB"/>
    <w:rsid w:val="00EE01B8"/>
    <w:rsid w:val="00EE062D"/>
    <w:rsid w:val="00EE0B8F"/>
    <w:rsid w:val="00EE0C20"/>
    <w:rsid w:val="00EE0CF8"/>
    <w:rsid w:val="00EE0E00"/>
    <w:rsid w:val="00EE0F2E"/>
    <w:rsid w:val="00EE10ED"/>
    <w:rsid w:val="00EE1BDB"/>
    <w:rsid w:val="00EE1CF7"/>
    <w:rsid w:val="00EE2455"/>
    <w:rsid w:val="00EE2740"/>
    <w:rsid w:val="00EE297D"/>
    <w:rsid w:val="00EE307F"/>
    <w:rsid w:val="00EE3455"/>
    <w:rsid w:val="00EE3789"/>
    <w:rsid w:val="00EE3880"/>
    <w:rsid w:val="00EE3AAC"/>
    <w:rsid w:val="00EE3C56"/>
    <w:rsid w:val="00EE3CEC"/>
    <w:rsid w:val="00EE43ED"/>
    <w:rsid w:val="00EE43FC"/>
    <w:rsid w:val="00EE443B"/>
    <w:rsid w:val="00EE444E"/>
    <w:rsid w:val="00EE4511"/>
    <w:rsid w:val="00EE4526"/>
    <w:rsid w:val="00EE49AE"/>
    <w:rsid w:val="00EE49CD"/>
    <w:rsid w:val="00EE4C80"/>
    <w:rsid w:val="00EE4EA0"/>
    <w:rsid w:val="00EE53B1"/>
    <w:rsid w:val="00EE56D1"/>
    <w:rsid w:val="00EE5795"/>
    <w:rsid w:val="00EE581D"/>
    <w:rsid w:val="00EE5C9A"/>
    <w:rsid w:val="00EE5EBD"/>
    <w:rsid w:val="00EE5FFC"/>
    <w:rsid w:val="00EE60F1"/>
    <w:rsid w:val="00EE613C"/>
    <w:rsid w:val="00EE65CA"/>
    <w:rsid w:val="00EE6683"/>
    <w:rsid w:val="00EE6692"/>
    <w:rsid w:val="00EE6ACD"/>
    <w:rsid w:val="00EE6F81"/>
    <w:rsid w:val="00EE7047"/>
    <w:rsid w:val="00EE71CC"/>
    <w:rsid w:val="00EE7716"/>
    <w:rsid w:val="00EE772C"/>
    <w:rsid w:val="00EE78B2"/>
    <w:rsid w:val="00EE7951"/>
    <w:rsid w:val="00EE7BCA"/>
    <w:rsid w:val="00EE7CE4"/>
    <w:rsid w:val="00EE7E42"/>
    <w:rsid w:val="00EE7F83"/>
    <w:rsid w:val="00EF0BCC"/>
    <w:rsid w:val="00EF0EAB"/>
    <w:rsid w:val="00EF0F14"/>
    <w:rsid w:val="00EF16B9"/>
    <w:rsid w:val="00EF1BF9"/>
    <w:rsid w:val="00EF1E6F"/>
    <w:rsid w:val="00EF1EE3"/>
    <w:rsid w:val="00EF23F1"/>
    <w:rsid w:val="00EF2513"/>
    <w:rsid w:val="00EF2ADE"/>
    <w:rsid w:val="00EF2B32"/>
    <w:rsid w:val="00EF2C18"/>
    <w:rsid w:val="00EF308F"/>
    <w:rsid w:val="00EF30B2"/>
    <w:rsid w:val="00EF3133"/>
    <w:rsid w:val="00EF361C"/>
    <w:rsid w:val="00EF37E5"/>
    <w:rsid w:val="00EF389A"/>
    <w:rsid w:val="00EF3A18"/>
    <w:rsid w:val="00EF3CF7"/>
    <w:rsid w:val="00EF45F6"/>
    <w:rsid w:val="00EF49E5"/>
    <w:rsid w:val="00EF4D1E"/>
    <w:rsid w:val="00EF5007"/>
    <w:rsid w:val="00EF50B8"/>
    <w:rsid w:val="00EF5209"/>
    <w:rsid w:val="00EF521C"/>
    <w:rsid w:val="00EF572F"/>
    <w:rsid w:val="00EF57DB"/>
    <w:rsid w:val="00EF599D"/>
    <w:rsid w:val="00EF5A7E"/>
    <w:rsid w:val="00EF5CCB"/>
    <w:rsid w:val="00EF5EF9"/>
    <w:rsid w:val="00EF6456"/>
    <w:rsid w:val="00EF64D2"/>
    <w:rsid w:val="00EF6728"/>
    <w:rsid w:val="00EF67D3"/>
    <w:rsid w:val="00EF6B58"/>
    <w:rsid w:val="00EF6BA0"/>
    <w:rsid w:val="00EF6BC3"/>
    <w:rsid w:val="00EF6F08"/>
    <w:rsid w:val="00EF6F35"/>
    <w:rsid w:val="00EF7321"/>
    <w:rsid w:val="00EF7604"/>
    <w:rsid w:val="00EF774B"/>
    <w:rsid w:val="00EF7BC8"/>
    <w:rsid w:val="00EF7E79"/>
    <w:rsid w:val="00F0021B"/>
    <w:rsid w:val="00F005D6"/>
    <w:rsid w:val="00F007B2"/>
    <w:rsid w:val="00F008AE"/>
    <w:rsid w:val="00F00A80"/>
    <w:rsid w:val="00F00ACA"/>
    <w:rsid w:val="00F00B80"/>
    <w:rsid w:val="00F00E2C"/>
    <w:rsid w:val="00F01228"/>
    <w:rsid w:val="00F01431"/>
    <w:rsid w:val="00F015AE"/>
    <w:rsid w:val="00F01615"/>
    <w:rsid w:val="00F01657"/>
    <w:rsid w:val="00F0180A"/>
    <w:rsid w:val="00F01BDD"/>
    <w:rsid w:val="00F01ED6"/>
    <w:rsid w:val="00F021A9"/>
    <w:rsid w:val="00F0265A"/>
    <w:rsid w:val="00F029AE"/>
    <w:rsid w:val="00F02F94"/>
    <w:rsid w:val="00F0361C"/>
    <w:rsid w:val="00F03651"/>
    <w:rsid w:val="00F036BC"/>
    <w:rsid w:val="00F03929"/>
    <w:rsid w:val="00F039DF"/>
    <w:rsid w:val="00F03A25"/>
    <w:rsid w:val="00F03CEE"/>
    <w:rsid w:val="00F03D18"/>
    <w:rsid w:val="00F03F42"/>
    <w:rsid w:val="00F040CD"/>
    <w:rsid w:val="00F04265"/>
    <w:rsid w:val="00F0444A"/>
    <w:rsid w:val="00F04620"/>
    <w:rsid w:val="00F04689"/>
    <w:rsid w:val="00F04C2F"/>
    <w:rsid w:val="00F04D59"/>
    <w:rsid w:val="00F04FF5"/>
    <w:rsid w:val="00F05342"/>
    <w:rsid w:val="00F05561"/>
    <w:rsid w:val="00F0574E"/>
    <w:rsid w:val="00F05792"/>
    <w:rsid w:val="00F0583C"/>
    <w:rsid w:val="00F05F7B"/>
    <w:rsid w:val="00F06284"/>
    <w:rsid w:val="00F0633A"/>
    <w:rsid w:val="00F0638D"/>
    <w:rsid w:val="00F0644C"/>
    <w:rsid w:val="00F066F1"/>
    <w:rsid w:val="00F0686C"/>
    <w:rsid w:val="00F06A7E"/>
    <w:rsid w:val="00F06D8B"/>
    <w:rsid w:val="00F0709E"/>
    <w:rsid w:val="00F0723A"/>
    <w:rsid w:val="00F073F1"/>
    <w:rsid w:val="00F07AE3"/>
    <w:rsid w:val="00F07CCF"/>
    <w:rsid w:val="00F07CE2"/>
    <w:rsid w:val="00F07FC6"/>
    <w:rsid w:val="00F10023"/>
    <w:rsid w:val="00F10073"/>
    <w:rsid w:val="00F1013A"/>
    <w:rsid w:val="00F10A2A"/>
    <w:rsid w:val="00F10B9B"/>
    <w:rsid w:val="00F10BE4"/>
    <w:rsid w:val="00F10CE1"/>
    <w:rsid w:val="00F10E2F"/>
    <w:rsid w:val="00F10F17"/>
    <w:rsid w:val="00F10F4B"/>
    <w:rsid w:val="00F11066"/>
    <w:rsid w:val="00F11352"/>
    <w:rsid w:val="00F1142D"/>
    <w:rsid w:val="00F1148B"/>
    <w:rsid w:val="00F11993"/>
    <w:rsid w:val="00F11BB1"/>
    <w:rsid w:val="00F11C4C"/>
    <w:rsid w:val="00F11CDE"/>
    <w:rsid w:val="00F11EC0"/>
    <w:rsid w:val="00F11F30"/>
    <w:rsid w:val="00F12631"/>
    <w:rsid w:val="00F12873"/>
    <w:rsid w:val="00F12905"/>
    <w:rsid w:val="00F1290F"/>
    <w:rsid w:val="00F12979"/>
    <w:rsid w:val="00F12AB1"/>
    <w:rsid w:val="00F1342D"/>
    <w:rsid w:val="00F13483"/>
    <w:rsid w:val="00F136B9"/>
    <w:rsid w:val="00F136D3"/>
    <w:rsid w:val="00F13778"/>
    <w:rsid w:val="00F13E98"/>
    <w:rsid w:val="00F14567"/>
    <w:rsid w:val="00F14619"/>
    <w:rsid w:val="00F146DE"/>
    <w:rsid w:val="00F14DE5"/>
    <w:rsid w:val="00F150A1"/>
    <w:rsid w:val="00F15367"/>
    <w:rsid w:val="00F154DE"/>
    <w:rsid w:val="00F15726"/>
    <w:rsid w:val="00F1588C"/>
    <w:rsid w:val="00F158B4"/>
    <w:rsid w:val="00F15DD4"/>
    <w:rsid w:val="00F16132"/>
    <w:rsid w:val="00F162F7"/>
    <w:rsid w:val="00F164E7"/>
    <w:rsid w:val="00F165C8"/>
    <w:rsid w:val="00F16712"/>
    <w:rsid w:val="00F16988"/>
    <w:rsid w:val="00F17134"/>
    <w:rsid w:val="00F172F1"/>
    <w:rsid w:val="00F1751C"/>
    <w:rsid w:val="00F17597"/>
    <w:rsid w:val="00F17706"/>
    <w:rsid w:val="00F17B59"/>
    <w:rsid w:val="00F17DC4"/>
    <w:rsid w:val="00F17F3A"/>
    <w:rsid w:val="00F17F55"/>
    <w:rsid w:val="00F202B1"/>
    <w:rsid w:val="00F20330"/>
    <w:rsid w:val="00F2050B"/>
    <w:rsid w:val="00F20617"/>
    <w:rsid w:val="00F209F2"/>
    <w:rsid w:val="00F21407"/>
    <w:rsid w:val="00F21799"/>
    <w:rsid w:val="00F217D6"/>
    <w:rsid w:val="00F218EA"/>
    <w:rsid w:val="00F21B55"/>
    <w:rsid w:val="00F21BCC"/>
    <w:rsid w:val="00F21C3A"/>
    <w:rsid w:val="00F21DC6"/>
    <w:rsid w:val="00F21E8F"/>
    <w:rsid w:val="00F21F0B"/>
    <w:rsid w:val="00F22110"/>
    <w:rsid w:val="00F22398"/>
    <w:rsid w:val="00F22619"/>
    <w:rsid w:val="00F22F7C"/>
    <w:rsid w:val="00F23484"/>
    <w:rsid w:val="00F239F1"/>
    <w:rsid w:val="00F23EFB"/>
    <w:rsid w:val="00F23F72"/>
    <w:rsid w:val="00F240D9"/>
    <w:rsid w:val="00F2417E"/>
    <w:rsid w:val="00F24417"/>
    <w:rsid w:val="00F24424"/>
    <w:rsid w:val="00F2443B"/>
    <w:rsid w:val="00F2461B"/>
    <w:rsid w:val="00F2462B"/>
    <w:rsid w:val="00F2466E"/>
    <w:rsid w:val="00F24BEE"/>
    <w:rsid w:val="00F24C31"/>
    <w:rsid w:val="00F24D93"/>
    <w:rsid w:val="00F24E5B"/>
    <w:rsid w:val="00F251E0"/>
    <w:rsid w:val="00F25303"/>
    <w:rsid w:val="00F253D1"/>
    <w:rsid w:val="00F25625"/>
    <w:rsid w:val="00F25922"/>
    <w:rsid w:val="00F25A19"/>
    <w:rsid w:val="00F25E52"/>
    <w:rsid w:val="00F25E80"/>
    <w:rsid w:val="00F2608E"/>
    <w:rsid w:val="00F2696F"/>
    <w:rsid w:val="00F26D8F"/>
    <w:rsid w:val="00F2712B"/>
    <w:rsid w:val="00F276CF"/>
    <w:rsid w:val="00F2770A"/>
    <w:rsid w:val="00F278F9"/>
    <w:rsid w:val="00F27B95"/>
    <w:rsid w:val="00F27E60"/>
    <w:rsid w:val="00F27F59"/>
    <w:rsid w:val="00F3004C"/>
    <w:rsid w:val="00F30B7F"/>
    <w:rsid w:val="00F313F2"/>
    <w:rsid w:val="00F318C7"/>
    <w:rsid w:val="00F318D5"/>
    <w:rsid w:val="00F319AF"/>
    <w:rsid w:val="00F31D81"/>
    <w:rsid w:val="00F31FDD"/>
    <w:rsid w:val="00F320FE"/>
    <w:rsid w:val="00F3219A"/>
    <w:rsid w:val="00F3222B"/>
    <w:rsid w:val="00F322A4"/>
    <w:rsid w:val="00F324D6"/>
    <w:rsid w:val="00F32623"/>
    <w:rsid w:val="00F32925"/>
    <w:rsid w:val="00F329AB"/>
    <w:rsid w:val="00F32C0B"/>
    <w:rsid w:val="00F33073"/>
    <w:rsid w:val="00F330B8"/>
    <w:rsid w:val="00F33844"/>
    <w:rsid w:val="00F33C25"/>
    <w:rsid w:val="00F33F15"/>
    <w:rsid w:val="00F34068"/>
    <w:rsid w:val="00F34471"/>
    <w:rsid w:val="00F346FF"/>
    <w:rsid w:val="00F34B3D"/>
    <w:rsid w:val="00F35066"/>
    <w:rsid w:val="00F35111"/>
    <w:rsid w:val="00F352D9"/>
    <w:rsid w:val="00F3565F"/>
    <w:rsid w:val="00F35720"/>
    <w:rsid w:val="00F35E3B"/>
    <w:rsid w:val="00F35F05"/>
    <w:rsid w:val="00F36008"/>
    <w:rsid w:val="00F36532"/>
    <w:rsid w:val="00F3653A"/>
    <w:rsid w:val="00F36B22"/>
    <w:rsid w:val="00F36D33"/>
    <w:rsid w:val="00F37174"/>
    <w:rsid w:val="00F37225"/>
    <w:rsid w:val="00F373FE"/>
    <w:rsid w:val="00F374C2"/>
    <w:rsid w:val="00F376D2"/>
    <w:rsid w:val="00F37CF1"/>
    <w:rsid w:val="00F37F33"/>
    <w:rsid w:val="00F4004F"/>
    <w:rsid w:val="00F40A20"/>
    <w:rsid w:val="00F40C29"/>
    <w:rsid w:val="00F40E73"/>
    <w:rsid w:val="00F40E9B"/>
    <w:rsid w:val="00F41D8F"/>
    <w:rsid w:val="00F41EF9"/>
    <w:rsid w:val="00F421BD"/>
    <w:rsid w:val="00F422B5"/>
    <w:rsid w:val="00F4248C"/>
    <w:rsid w:val="00F42792"/>
    <w:rsid w:val="00F42E2A"/>
    <w:rsid w:val="00F42E9C"/>
    <w:rsid w:val="00F42F1B"/>
    <w:rsid w:val="00F42F51"/>
    <w:rsid w:val="00F43272"/>
    <w:rsid w:val="00F43379"/>
    <w:rsid w:val="00F44162"/>
    <w:rsid w:val="00F44482"/>
    <w:rsid w:val="00F44772"/>
    <w:rsid w:val="00F447AC"/>
    <w:rsid w:val="00F44998"/>
    <w:rsid w:val="00F44BB6"/>
    <w:rsid w:val="00F453A4"/>
    <w:rsid w:val="00F4579A"/>
    <w:rsid w:val="00F457DB"/>
    <w:rsid w:val="00F458D2"/>
    <w:rsid w:val="00F45F3D"/>
    <w:rsid w:val="00F460F2"/>
    <w:rsid w:val="00F46191"/>
    <w:rsid w:val="00F46332"/>
    <w:rsid w:val="00F46570"/>
    <w:rsid w:val="00F46AF0"/>
    <w:rsid w:val="00F470C6"/>
    <w:rsid w:val="00F47527"/>
    <w:rsid w:val="00F4772E"/>
    <w:rsid w:val="00F4777F"/>
    <w:rsid w:val="00F47ADC"/>
    <w:rsid w:val="00F47F3B"/>
    <w:rsid w:val="00F5038D"/>
    <w:rsid w:val="00F507D8"/>
    <w:rsid w:val="00F50BF6"/>
    <w:rsid w:val="00F50C8B"/>
    <w:rsid w:val="00F50DEC"/>
    <w:rsid w:val="00F50EC8"/>
    <w:rsid w:val="00F51225"/>
    <w:rsid w:val="00F516A4"/>
    <w:rsid w:val="00F517C4"/>
    <w:rsid w:val="00F51854"/>
    <w:rsid w:val="00F51964"/>
    <w:rsid w:val="00F51C6A"/>
    <w:rsid w:val="00F51C85"/>
    <w:rsid w:val="00F51F9A"/>
    <w:rsid w:val="00F520D4"/>
    <w:rsid w:val="00F52185"/>
    <w:rsid w:val="00F522A8"/>
    <w:rsid w:val="00F52C3E"/>
    <w:rsid w:val="00F52D35"/>
    <w:rsid w:val="00F52E18"/>
    <w:rsid w:val="00F53459"/>
    <w:rsid w:val="00F539D3"/>
    <w:rsid w:val="00F53ABC"/>
    <w:rsid w:val="00F53CEB"/>
    <w:rsid w:val="00F543C5"/>
    <w:rsid w:val="00F543ED"/>
    <w:rsid w:val="00F545F7"/>
    <w:rsid w:val="00F548B8"/>
    <w:rsid w:val="00F54E07"/>
    <w:rsid w:val="00F55CDA"/>
    <w:rsid w:val="00F55E97"/>
    <w:rsid w:val="00F55F05"/>
    <w:rsid w:val="00F564FF"/>
    <w:rsid w:val="00F56A38"/>
    <w:rsid w:val="00F574C6"/>
    <w:rsid w:val="00F577FB"/>
    <w:rsid w:val="00F57826"/>
    <w:rsid w:val="00F57A61"/>
    <w:rsid w:val="00F6006D"/>
    <w:rsid w:val="00F60468"/>
    <w:rsid w:val="00F60469"/>
    <w:rsid w:val="00F604F1"/>
    <w:rsid w:val="00F60933"/>
    <w:rsid w:val="00F60D37"/>
    <w:rsid w:val="00F61770"/>
    <w:rsid w:val="00F619CA"/>
    <w:rsid w:val="00F61AB2"/>
    <w:rsid w:val="00F61BE1"/>
    <w:rsid w:val="00F61DD4"/>
    <w:rsid w:val="00F61F85"/>
    <w:rsid w:val="00F6224A"/>
    <w:rsid w:val="00F624C9"/>
    <w:rsid w:val="00F63347"/>
    <w:rsid w:val="00F638EC"/>
    <w:rsid w:val="00F639C3"/>
    <w:rsid w:val="00F63ED5"/>
    <w:rsid w:val="00F640CE"/>
    <w:rsid w:val="00F6443B"/>
    <w:rsid w:val="00F64BD5"/>
    <w:rsid w:val="00F64E5F"/>
    <w:rsid w:val="00F65175"/>
    <w:rsid w:val="00F65382"/>
    <w:rsid w:val="00F65532"/>
    <w:rsid w:val="00F655D4"/>
    <w:rsid w:val="00F65836"/>
    <w:rsid w:val="00F65851"/>
    <w:rsid w:val="00F659AF"/>
    <w:rsid w:val="00F65C22"/>
    <w:rsid w:val="00F66066"/>
    <w:rsid w:val="00F66515"/>
    <w:rsid w:val="00F6672E"/>
    <w:rsid w:val="00F6687E"/>
    <w:rsid w:val="00F66A86"/>
    <w:rsid w:val="00F66D04"/>
    <w:rsid w:val="00F66E77"/>
    <w:rsid w:val="00F66F0B"/>
    <w:rsid w:val="00F66FA4"/>
    <w:rsid w:val="00F670E8"/>
    <w:rsid w:val="00F6714A"/>
    <w:rsid w:val="00F677EE"/>
    <w:rsid w:val="00F67812"/>
    <w:rsid w:val="00F67A54"/>
    <w:rsid w:val="00F67A92"/>
    <w:rsid w:val="00F67BC0"/>
    <w:rsid w:val="00F700D4"/>
    <w:rsid w:val="00F701FE"/>
    <w:rsid w:val="00F70423"/>
    <w:rsid w:val="00F70713"/>
    <w:rsid w:val="00F7092D"/>
    <w:rsid w:val="00F70FA5"/>
    <w:rsid w:val="00F71242"/>
    <w:rsid w:val="00F714DC"/>
    <w:rsid w:val="00F71735"/>
    <w:rsid w:val="00F717A1"/>
    <w:rsid w:val="00F71900"/>
    <w:rsid w:val="00F71A5C"/>
    <w:rsid w:val="00F71B75"/>
    <w:rsid w:val="00F71C42"/>
    <w:rsid w:val="00F71F72"/>
    <w:rsid w:val="00F722D0"/>
    <w:rsid w:val="00F72886"/>
    <w:rsid w:val="00F729F9"/>
    <w:rsid w:val="00F72B0C"/>
    <w:rsid w:val="00F72F1E"/>
    <w:rsid w:val="00F72F9F"/>
    <w:rsid w:val="00F7314C"/>
    <w:rsid w:val="00F73272"/>
    <w:rsid w:val="00F7344B"/>
    <w:rsid w:val="00F73611"/>
    <w:rsid w:val="00F73637"/>
    <w:rsid w:val="00F737FF"/>
    <w:rsid w:val="00F73CDA"/>
    <w:rsid w:val="00F73D85"/>
    <w:rsid w:val="00F73DBF"/>
    <w:rsid w:val="00F7427C"/>
    <w:rsid w:val="00F7461E"/>
    <w:rsid w:val="00F74839"/>
    <w:rsid w:val="00F748D7"/>
    <w:rsid w:val="00F74AEF"/>
    <w:rsid w:val="00F74DAE"/>
    <w:rsid w:val="00F750EC"/>
    <w:rsid w:val="00F752D5"/>
    <w:rsid w:val="00F75307"/>
    <w:rsid w:val="00F75A71"/>
    <w:rsid w:val="00F7603B"/>
    <w:rsid w:val="00F7627C"/>
    <w:rsid w:val="00F76433"/>
    <w:rsid w:val="00F767B1"/>
    <w:rsid w:val="00F768FE"/>
    <w:rsid w:val="00F769A4"/>
    <w:rsid w:val="00F76CA3"/>
    <w:rsid w:val="00F76CBD"/>
    <w:rsid w:val="00F77116"/>
    <w:rsid w:val="00F7712E"/>
    <w:rsid w:val="00F77519"/>
    <w:rsid w:val="00F778DC"/>
    <w:rsid w:val="00F77D8D"/>
    <w:rsid w:val="00F77DB6"/>
    <w:rsid w:val="00F805F8"/>
    <w:rsid w:val="00F808EE"/>
    <w:rsid w:val="00F80F01"/>
    <w:rsid w:val="00F81111"/>
    <w:rsid w:val="00F8121E"/>
    <w:rsid w:val="00F8131A"/>
    <w:rsid w:val="00F814E4"/>
    <w:rsid w:val="00F81A9D"/>
    <w:rsid w:val="00F81AA0"/>
    <w:rsid w:val="00F81C31"/>
    <w:rsid w:val="00F82027"/>
    <w:rsid w:val="00F82866"/>
    <w:rsid w:val="00F829A1"/>
    <w:rsid w:val="00F82A45"/>
    <w:rsid w:val="00F82C13"/>
    <w:rsid w:val="00F82FF0"/>
    <w:rsid w:val="00F83121"/>
    <w:rsid w:val="00F83662"/>
    <w:rsid w:val="00F836F4"/>
    <w:rsid w:val="00F83F73"/>
    <w:rsid w:val="00F84A99"/>
    <w:rsid w:val="00F84F9F"/>
    <w:rsid w:val="00F85160"/>
    <w:rsid w:val="00F85364"/>
    <w:rsid w:val="00F85518"/>
    <w:rsid w:val="00F85597"/>
    <w:rsid w:val="00F8569A"/>
    <w:rsid w:val="00F857B2"/>
    <w:rsid w:val="00F864D4"/>
    <w:rsid w:val="00F867A3"/>
    <w:rsid w:val="00F86B2C"/>
    <w:rsid w:val="00F86C9C"/>
    <w:rsid w:val="00F871C6"/>
    <w:rsid w:val="00F8723F"/>
    <w:rsid w:val="00F87522"/>
    <w:rsid w:val="00F8789E"/>
    <w:rsid w:val="00F87B36"/>
    <w:rsid w:val="00F87D41"/>
    <w:rsid w:val="00F87FB9"/>
    <w:rsid w:val="00F902FA"/>
    <w:rsid w:val="00F905D1"/>
    <w:rsid w:val="00F90833"/>
    <w:rsid w:val="00F908F9"/>
    <w:rsid w:val="00F90929"/>
    <w:rsid w:val="00F90AD9"/>
    <w:rsid w:val="00F91196"/>
    <w:rsid w:val="00F916AB"/>
    <w:rsid w:val="00F91C4E"/>
    <w:rsid w:val="00F91EC4"/>
    <w:rsid w:val="00F91FEA"/>
    <w:rsid w:val="00F92345"/>
    <w:rsid w:val="00F92489"/>
    <w:rsid w:val="00F928E3"/>
    <w:rsid w:val="00F92C50"/>
    <w:rsid w:val="00F92E2B"/>
    <w:rsid w:val="00F92F75"/>
    <w:rsid w:val="00F93122"/>
    <w:rsid w:val="00F9325B"/>
    <w:rsid w:val="00F93391"/>
    <w:rsid w:val="00F9381A"/>
    <w:rsid w:val="00F938F3"/>
    <w:rsid w:val="00F93E24"/>
    <w:rsid w:val="00F93F63"/>
    <w:rsid w:val="00F9444E"/>
    <w:rsid w:val="00F946E5"/>
    <w:rsid w:val="00F946E7"/>
    <w:rsid w:val="00F947FB"/>
    <w:rsid w:val="00F94B69"/>
    <w:rsid w:val="00F94EF4"/>
    <w:rsid w:val="00F94FED"/>
    <w:rsid w:val="00F950EC"/>
    <w:rsid w:val="00F951AD"/>
    <w:rsid w:val="00F95423"/>
    <w:rsid w:val="00F95554"/>
    <w:rsid w:val="00F9558A"/>
    <w:rsid w:val="00F9560C"/>
    <w:rsid w:val="00F95831"/>
    <w:rsid w:val="00F95961"/>
    <w:rsid w:val="00F95AA8"/>
    <w:rsid w:val="00F95B83"/>
    <w:rsid w:val="00F95C66"/>
    <w:rsid w:val="00F95E1F"/>
    <w:rsid w:val="00F95FBD"/>
    <w:rsid w:val="00F96249"/>
    <w:rsid w:val="00F96511"/>
    <w:rsid w:val="00F96981"/>
    <w:rsid w:val="00F969F6"/>
    <w:rsid w:val="00F96B8F"/>
    <w:rsid w:val="00F96D47"/>
    <w:rsid w:val="00F973AD"/>
    <w:rsid w:val="00F9765B"/>
    <w:rsid w:val="00F9779C"/>
    <w:rsid w:val="00F97FE8"/>
    <w:rsid w:val="00FA025D"/>
    <w:rsid w:val="00FA0315"/>
    <w:rsid w:val="00FA0380"/>
    <w:rsid w:val="00FA053F"/>
    <w:rsid w:val="00FA0577"/>
    <w:rsid w:val="00FA088F"/>
    <w:rsid w:val="00FA0A1D"/>
    <w:rsid w:val="00FA0B16"/>
    <w:rsid w:val="00FA0C7A"/>
    <w:rsid w:val="00FA0D04"/>
    <w:rsid w:val="00FA185B"/>
    <w:rsid w:val="00FA1AD5"/>
    <w:rsid w:val="00FA1C5F"/>
    <w:rsid w:val="00FA207D"/>
    <w:rsid w:val="00FA2565"/>
    <w:rsid w:val="00FA2C70"/>
    <w:rsid w:val="00FA2CCE"/>
    <w:rsid w:val="00FA30A0"/>
    <w:rsid w:val="00FA3197"/>
    <w:rsid w:val="00FA3627"/>
    <w:rsid w:val="00FA3DD8"/>
    <w:rsid w:val="00FA4276"/>
    <w:rsid w:val="00FA429B"/>
    <w:rsid w:val="00FA42E0"/>
    <w:rsid w:val="00FA4488"/>
    <w:rsid w:val="00FA498A"/>
    <w:rsid w:val="00FA4D56"/>
    <w:rsid w:val="00FA4E4F"/>
    <w:rsid w:val="00FA53D0"/>
    <w:rsid w:val="00FA590A"/>
    <w:rsid w:val="00FA5A1A"/>
    <w:rsid w:val="00FA5B7A"/>
    <w:rsid w:val="00FA636C"/>
    <w:rsid w:val="00FA63D8"/>
    <w:rsid w:val="00FA64F2"/>
    <w:rsid w:val="00FA68C3"/>
    <w:rsid w:val="00FA6905"/>
    <w:rsid w:val="00FA69BE"/>
    <w:rsid w:val="00FA6D26"/>
    <w:rsid w:val="00FA7707"/>
    <w:rsid w:val="00FA78B4"/>
    <w:rsid w:val="00FA7FED"/>
    <w:rsid w:val="00FB0ADA"/>
    <w:rsid w:val="00FB0B00"/>
    <w:rsid w:val="00FB0F6A"/>
    <w:rsid w:val="00FB112C"/>
    <w:rsid w:val="00FB1D8B"/>
    <w:rsid w:val="00FB1F90"/>
    <w:rsid w:val="00FB216E"/>
    <w:rsid w:val="00FB2DF1"/>
    <w:rsid w:val="00FB2E0A"/>
    <w:rsid w:val="00FB2E65"/>
    <w:rsid w:val="00FB33A4"/>
    <w:rsid w:val="00FB3733"/>
    <w:rsid w:val="00FB38B3"/>
    <w:rsid w:val="00FB41F0"/>
    <w:rsid w:val="00FB41FF"/>
    <w:rsid w:val="00FB4241"/>
    <w:rsid w:val="00FB437B"/>
    <w:rsid w:val="00FB48F9"/>
    <w:rsid w:val="00FB4C6E"/>
    <w:rsid w:val="00FB5015"/>
    <w:rsid w:val="00FB531B"/>
    <w:rsid w:val="00FB54DC"/>
    <w:rsid w:val="00FB5CD9"/>
    <w:rsid w:val="00FB5D18"/>
    <w:rsid w:val="00FB5D21"/>
    <w:rsid w:val="00FB5DED"/>
    <w:rsid w:val="00FB689B"/>
    <w:rsid w:val="00FB6B36"/>
    <w:rsid w:val="00FB6C30"/>
    <w:rsid w:val="00FB6CEF"/>
    <w:rsid w:val="00FB7215"/>
    <w:rsid w:val="00FB72BF"/>
    <w:rsid w:val="00FB74BD"/>
    <w:rsid w:val="00FB77EC"/>
    <w:rsid w:val="00FC0209"/>
    <w:rsid w:val="00FC0229"/>
    <w:rsid w:val="00FC0298"/>
    <w:rsid w:val="00FC0501"/>
    <w:rsid w:val="00FC0865"/>
    <w:rsid w:val="00FC0A72"/>
    <w:rsid w:val="00FC1945"/>
    <w:rsid w:val="00FC19F3"/>
    <w:rsid w:val="00FC2649"/>
    <w:rsid w:val="00FC2D27"/>
    <w:rsid w:val="00FC2F83"/>
    <w:rsid w:val="00FC3488"/>
    <w:rsid w:val="00FC34B6"/>
    <w:rsid w:val="00FC368D"/>
    <w:rsid w:val="00FC3810"/>
    <w:rsid w:val="00FC3987"/>
    <w:rsid w:val="00FC3AC6"/>
    <w:rsid w:val="00FC45DD"/>
    <w:rsid w:val="00FC4B26"/>
    <w:rsid w:val="00FC4E7B"/>
    <w:rsid w:val="00FC4F1A"/>
    <w:rsid w:val="00FC4FDF"/>
    <w:rsid w:val="00FC5139"/>
    <w:rsid w:val="00FC582C"/>
    <w:rsid w:val="00FC5B09"/>
    <w:rsid w:val="00FC5B62"/>
    <w:rsid w:val="00FC5CA3"/>
    <w:rsid w:val="00FC5EC4"/>
    <w:rsid w:val="00FC6035"/>
    <w:rsid w:val="00FC60E9"/>
    <w:rsid w:val="00FC63B0"/>
    <w:rsid w:val="00FC6476"/>
    <w:rsid w:val="00FC6A84"/>
    <w:rsid w:val="00FC6C36"/>
    <w:rsid w:val="00FC6F04"/>
    <w:rsid w:val="00FC702B"/>
    <w:rsid w:val="00FC707D"/>
    <w:rsid w:val="00FC719D"/>
    <w:rsid w:val="00FC7493"/>
    <w:rsid w:val="00FC74AD"/>
    <w:rsid w:val="00FC752E"/>
    <w:rsid w:val="00FC783A"/>
    <w:rsid w:val="00FC7D9F"/>
    <w:rsid w:val="00FD0000"/>
    <w:rsid w:val="00FD0518"/>
    <w:rsid w:val="00FD05CB"/>
    <w:rsid w:val="00FD084D"/>
    <w:rsid w:val="00FD0948"/>
    <w:rsid w:val="00FD0977"/>
    <w:rsid w:val="00FD09AC"/>
    <w:rsid w:val="00FD09CE"/>
    <w:rsid w:val="00FD09ED"/>
    <w:rsid w:val="00FD0B27"/>
    <w:rsid w:val="00FD0E03"/>
    <w:rsid w:val="00FD0FFA"/>
    <w:rsid w:val="00FD13AD"/>
    <w:rsid w:val="00FD13FC"/>
    <w:rsid w:val="00FD14E6"/>
    <w:rsid w:val="00FD195C"/>
    <w:rsid w:val="00FD1D3E"/>
    <w:rsid w:val="00FD1EE2"/>
    <w:rsid w:val="00FD1FEB"/>
    <w:rsid w:val="00FD241C"/>
    <w:rsid w:val="00FD28F1"/>
    <w:rsid w:val="00FD29BB"/>
    <w:rsid w:val="00FD2C0C"/>
    <w:rsid w:val="00FD2D9C"/>
    <w:rsid w:val="00FD2EB9"/>
    <w:rsid w:val="00FD2F2E"/>
    <w:rsid w:val="00FD3147"/>
    <w:rsid w:val="00FD32AD"/>
    <w:rsid w:val="00FD3652"/>
    <w:rsid w:val="00FD39AD"/>
    <w:rsid w:val="00FD4060"/>
    <w:rsid w:val="00FD44BD"/>
    <w:rsid w:val="00FD559C"/>
    <w:rsid w:val="00FD5B2A"/>
    <w:rsid w:val="00FD5D85"/>
    <w:rsid w:val="00FD5DFF"/>
    <w:rsid w:val="00FD6916"/>
    <w:rsid w:val="00FD6CAE"/>
    <w:rsid w:val="00FD7825"/>
    <w:rsid w:val="00FD7837"/>
    <w:rsid w:val="00FD7878"/>
    <w:rsid w:val="00FD7933"/>
    <w:rsid w:val="00FD7CC0"/>
    <w:rsid w:val="00FD7E28"/>
    <w:rsid w:val="00FE0417"/>
    <w:rsid w:val="00FE0580"/>
    <w:rsid w:val="00FE08A1"/>
    <w:rsid w:val="00FE0996"/>
    <w:rsid w:val="00FE0A84"/>
    <w:rsid w:val="00FE0B53"/>
    <w:rsid w:val="00FE119F"/>
    <w:rsid w:val="00FE127F"/>
    <w:rsid w:val="00FE1340"/>
    <w:rsid w:val="00FE172D"/>
    <w:rsid w:val="00FE1A3A"/>
    <w:rsid w:val="00FE1C5C"/>
    <w:rsid w:val="00FE1EF2"/>
    <w:rsid w:val="00FE2074"/>
    <w:rsid w:val="00FE20D2"/>
    <w:rsid w:val="00FE29A8"/>
    <w:rsid w:val="00FE2B2E"/>
    <w:rsid w:val="00FE2B6B"/>
    <w:rsid w:val="00FE316A"/>
    <w:rsid w:val="00FE3775"/>
    <w:rsid w:val="00FE3BA1"/>
    <w:rsid w:val="00FE3EA7"/>
    <w:rsid w:val="00FE3F3C"/>
    <w:rsid w:val="00FE3FD5"/>
    <w:rsid w:val="00FE41C1"/>
    <w:rsid w:val="00FE43EC"/>
    <w:rsid w:val="00FE4476"/>
    <w:rsid w:val="00FE49BC"/>
    <w:rsid w:val="00FE4DD8"/>
    <w:rsid w:val="00FE4FE5"/>
    <w:rsid w:val="00FE50C8"/>
    <w:rsid w:val="00FE521A"/>
    <w:rsid w:val="00FE52ED"/>
    <w:rsid w:val="00FE537C"/>
    <w:rsid w:val="00FE5417"/>
    <w:rsid w:val="00FE5443"/>
    <w:rsid w:val="00FE560C"/>
    <w:rsid w:val="00FE563D"/>
    <w:rsid w:val="00FE582A"/>
    <w:rsid w:val="00FE5850"/>
    <w:rsid w:val="00FE59E3"/>
    <w:rsid w:val="00FE5ABC"/>
    <w:rsid w:val="00FE5DCB"/>
    <w:rsid w:val="00FE5F34"/>
    <w:rsid w:val="00FE6CD7"/>
    <w:rsid w:val="00FE6D19"/>
    <w:rsid w:val="00FE70BF"/>
    <w:rsid w:val="00FE7759"/>
    <w:rsid w:val="00FE78D2"/>
    <w:rsid w:val="00FE792D"/>
    <w:rsid w:val="00FE7ADE"/>
    <w:rsid w:val="00FF0205"/>
    <w:rsid w:val="00FF02EB"/>
    <w:rsid w:val="00FF071F"/>
    <w:rsid w:val="00FF0777"/>
    <w:rsid w:val="00FF09A6"/>
    <w:rsid w:val="00FF0DEF"/>
    <w:rsid w:val="00FF0FF5"/>
    <w:rsid w:val="00FF1732"/>
    <w:rsid w:val="00FF1895"/>
    <w:rsid w:val="00FF1A8A"/>
    <w:rsid w:val="00FF1BCB"/>
    <w:rsid w:val="00FF2627"/>
    <w:rsid w:val="00FF2744"/>
    <w:rsid w:val="00FF291D"/>
    <w:rsid w:val="00FF2B57"/>
    <w:rsid w:val="00FF2C89"/>
    <w:rsid w:val="00FF2EFB"/>
    <w:rsid w:val="00FF30C2"/>
    <w:rsid w:val="00FF356B"/>
    <w:rsid w:val="00FF3830"/>
    <w:rsid w:val="00FF3AC0"/>
    <w:rsid w:val="00FF3B66"/>
    <w:rsid w:val="00FF44BD"/>
    <w:rsid w:val="00FF4532"/>
    <w:rsid w:val="00FF481B"/>
    <w:rsid w:val="00FF4E57"/>
    <w:rsid w:val="00FF4F91"/>
    <w:rsid w:val="00FF52E1"/>
    <w:rsid w:val="00FF53BB"/>
    <w:rsid w:val="00FF5AA0"/>
    <w:rsid w:val="00FF5AB5"/>
    <w:rsid w:val="00FF5C90"/>
    <w:rsid w:val="00FF5FD6"/>
    <w:rsid w:val="00FF61EB"/>
    <w:rsid w:val="00FF6374"/>
    <w:rsid w:val="00FF653C"/>
    <w:rsid w:val="00FF66BC"/>
    <w:rsid w:val="00FF6784"/>
    <w:rsid w:val="00FF6E46"/>
    <w:rsid w:val="00FF6E9E"/>
    <w:rsid w:val="00FF7FF1"/>
    <w:rsid w:val="0101FD36"/>
    <w:rsid w:val="01036D99"/>
    <w:rsid w:val="012222F8"/>
    <w:rsid w:val="0128263F"/>
    <w:rsid w:val="015575C0"/>
    <w:rsid w:val="015B53CF"/>
    <w:rsid w:val="016D1D2E"/>
    <w:rsid w:val="01894D84"/>
    <w:rsid w:val="018C2AF2"/>
    <w:rsid w:val="019E96AB"/>
    <w:rsid w:val="01C8CA3A"/>
    <w:rsid w:val="01D35043"/>
    <w:rsid w:val="02031CFF"/>
    <w:rsid w:val="022322C2"/>
    <w:rsid w:val="0256229B"/>
    <w:rsid w:val="025F33A0"/>
    <w:rsid w:val="028E280B"/>
    <w:rsid w:val="029741D2"/>
    <w:rsid w:val="029EB8DB"/>
    <w:rsid w:val="02AC5C09"/>
    <w:rsid w:val="02B95147"/>
    <w:rsid w:val="02E307B7"/>
    <w:rsid w:val="02E9B4F2"/>
    <w:rsid w:val="0311F160"/>
    <w:rsid w:val="0314CA96"/>
    <w:rsid w:val="03559F7F"/>
    <w:rsid w:val="03627180"/>
    <w:rsid w:val="0383E8E1"/>
    <w:rsid w:val="0385C0E9"/>
    <w:rsid w:val="03A3B410"/>
    <w:rsid w:val="03AF8B75"/>
    <w:rsid w:val="03B1550C"/>
    <w:rsid w:val="03B251A1"/>
    <w:rsid w:val="03C094B2"/>
    <w:rsid w:val="03C7E2F5"/>
    <w:rsid w:val="03CCB215"/>
    <w:rsid w:val="03CCC995"/>
    <w:rsid w:val="03D5CE8B"/>
    <w:rsid w:val="03DD0EA3"/>
    <w:rsid w:val="03E57B77"/>
    <w:rsid w:val="040B5010"/>
    <w:rsid w:val="041DD422"/>
    <w:rsid w:val="043A1228"/>
    <w:rsid w:val="04445AFE"/>
    <w:rsid w:val="04651FAF"/>
    <w:rsid w:val="048CC6A1"/>
    <w:rsid w:val="0498FF06"/>
    <w:rsid w:val="04BBE181"/>
    <w:rsid w:val="04D5FDDA"/>
    <w:rsid w:val="04FFA496"/>
    <w:rsid w:val="05312508"/>
    <w:rsid w:val="0559D3EE"/>
    <w:rsid w:val="0569604C"/>
    <w:rsid w:val="057F9447"/>
    <w:rsid w:val="058263C1"/>
    <w:rsid w:val="05B51B1D"/>
    <w:rsid w:val="05C5D997"/>
    <w:rsid w:val="05D889A2"/>
    <w:rsid w:val="05FB6CC4"/>
    <w:rsid w:val="05FFD609"/>
    <w:rsid w:val="064182A4"/>
    <w:rsid w:val="0643A331"/>
    <w:rsid w:val="06527CF2"/>
    <w:rsid w:val="068C27E3"/>
    <w:rsid w:val="073D99D1"/>
    <w:rsid w:val="075102A9"/>
    <w:rsid w:val="0763BA6E"/>
    <w:rsid w:val="076C8C6B"/>
    <w:rsid w:val="07713992"/>
    <w:rsid w:val="07A7AEBF"/>
    <w:rsid w:val="07AF4AC5"/>
    <w:rsid w:val="07B310EE"/>
    <w:rsid w:val="07E0B5F3"/>
    <w:rsid w:val="08210069"/>
    <w:rsid w:val="0839544E"/>
    <w:rsid w:val="08421DFF"/>
    <w:rsid w:val="0893551D"/>
    <w:rsid w:val="0895B1CE"/>
    <w:rsid w:val="08C084E8"/>
    <w:rsid w:val="08D0C293"/>
    <w:rsid w:val="08E9A316"/>
    <w:rsid w:val="08ECD30A"/>
    <w:rsid w:val="090850A9"/>
    <w:rsid w:val="0948D3B1"/>
    <w:rsid w:val="09507F6C"/>
    <w:rsid w:val="0965196B"/>
    <w:rsid w:val="09843EEB"/>
    <w:rsid w:val="098DA0B0"/>
    <w:rsid w:val="09DAD097"/>
    <w:rsid w:val="0A4CAC76"/>
    <w:rsid w:val="0A5618AC"/>
    <w:rsid w:val="0A644041"/>
    <w:rsid w:val="0A67E94B"/>
    <w:rsid w:val="0A80C34A"/>
    <w:rsid w:val="0ACCDAEA"/>
    <w:rsid w:val="0AF08668"/>
    <w:rsid w:val="0B0BACA5"/>
    <w:rsid w:val="0B12C1F0"/>
    <w:rsid w:val="0B1D27A5"/>
    <w:rsid w:val="0B202FCF"/>
    <w:rsid w:val="0B377141"/>
    <w:rsid w:val="0B42E735"/>
    <w:rsid w:val="0B47406E"/>
    <w:rsid w:val="0B78E883"/>
    <w:rsid w:val="0BCA7A9A"/>
    <w:rsid w:val="0C000A83"/>
    <w:rsid w:val="0C1C427C"/>
    <w:rsid w:val="0C2EF2DA"/>
    <w:rsid w:val="0C634208"/>
    <w:rsid w:val="0C6A35DB"/>
    <w:rsid w:val="0C6F6E89"/>
    <w:rsid w:val="0C747C4F"/>
    <w:rsid w:val="0CD5C792"/>
    <w:rsid w:val="0D1C9AF2"/>
    <w:rsid w:val="0D7DCE66"/>
    <w:rsid w:val="0D7E865E"/>
    <w:rsid w:val="0D82B9A1"/>
    <w:rsid w:val="0D867A2C"/>
    <w:rsid w:val="0D898E0E"/>
    <w:rsid w:val="0DB8F0EC"/>
    <w:rsid w:val="0DD12AA2"/>
    <w:rsid w:val="0DDE668A"/>
    <w:rsid w:val="0E2EE8DA"/>
    <w:rsid w:val="0E547E48"/>
    <w:rsid w:val="0E61CB24"/>
    <w:rsid w:val="0E6AB14D"/>
    <w:rsid w:val="0E6E41A1"/>
    <w:rsid w:val="0E6F239C"/>
    <w:rsid w:val="0F02B2D4"/>
    <w:rsid w:val="0F54156C"/>
    <w:rsid w:val="0F57B5AA"/>
    <w:rsid w:val="0F6A6A43"/>
    <w:rsid w:val="0F807DED"/>
    <w:rsid w:val="0FDD4782"/>
    <w:rsid w:val="10251B84"/>
    <w:rsid w:val="1043DE35"/>
    <w:rsid w:val="104856E9"/>
    <w:rsid w:val="104EB7C8"/>
    <w:rsid w:val="105FF78F"/>
    <w:rsid w:val="10865153"/>
    <w:rsid w:val="109964C6"/>
    <w:rsid w:val="10A0D95F"/>
    <w:rsid w:val="10B6B0DB"/>
    <w:rsid w:val="10C2DC8E"/>
    <w:rsid w:val="10C6AC00"/>
    <w:rsid w:val="10CC15B8"/>
    <w:rsid w:val="10D462A6"/>
    <w:rsid w:val="1114FE51"/>
    <w:rsid w:val="111890A7"/>
    <w:rsid w:val="112E5DAA"/>
    <w:rsid w:val="1159C481"/>
    <w:rsid w:val="1164EA56"/>
    <w:rsid w:val="11958C9B"/>
    <w:rsid w:val="119FD9A7"/>
    <w:rsid w:val="11BD5460"/>
    <w:rsid w:val="11CBFB44"/>
    <w:rsid w:val="11DC8FD0"/>
    <w:rsid w:val="120E4B5C"/>
    <w:rsid w:val="1225B83D"/>
    <w:rsid w:val="12280529"/>
    <w:rsid w:val="124A50C1"/>
    <w:rsid w:val="1259D184"/>
    <w:rsid w:val="125BEDA8"/>
    <w:rsid w:val="1281B202"/>
    <w:rsid w:val="12B93BCF"/>
    <w:rsid w:val="12D47499"/>
    <w:rsid w:val="1324E970"/>
    <w:rsid w:val="132A4688"/>
    <w:rsid w:val="1332D462"/>
    <w:rsid w:val="133A40D1"/>
    <w:rsid w:val="136ED642"/>
    <w:rsid w:val="13733BE7"/>
    <w:rsid w:val="138A9464"/>
    <w:rsid w:val="13B2F061"/>
    <w:rsid w:val="13B36FBE"/>
    <w:rsid w:val="13C04445"/>
    <w:rsid w:val="14009C5B"/>
    <w:rsid w:val="140FA1FC"/>
    <w:rsid w:val="1444E567"/>
    <w:rsid w:val="147AD594"/>
    <w:rsid w:val="148CD829"/>
    <w:rsid w:val="14BAC5C7"/>
    <w:rsid w:val="14D5053B"/>
    <w:rsid w:val="14E52742"/>
    <w:rsid w:val="14F963CA"/>
    <w:rsid w:val="1501683A"/>
    <w:rsid w:val="1551406A"/>
    <w:rsid w:val="155A5F92"/>
    <w:rsid w:val="15BA82AF"/>
    <w:rsid w:val="15BCA1EB"/>
    <w:rsid w:val="15C68039"/>
    <w:rsid w:val="15D9D542"/>
    <w:rsid w:val="15E8EB8F"/>
    <w:rsid w:val="15EFDB78"/>
    <w:rsid w:val="15F33FAE"/>
    <w:rsid w:val="15F9A4CA"/>
    <w:rsid w:val="163BB51F"/>
    <w:rsid w:val="168C6EAE"/>
    <w:rsid w:val="16A104B6"/>
    <w:rsid w:val="16AAA456"/>
    <w:rsid w:val="16BBDC75"/>
    <w:rsid w:val="16DEF06F"/>
    <w:rsid w:val="16F670BE"/>
    <w:rsid w:val="172DD82A"/>
    <w:rsid w:val="172FAD87"/>
    <w:rsid w:val="17332C69"/>
    <w:rsid w:val="173D7803"/>
    <w:rsid w:val="1763E599"/>
    <w:rsid w:val="17A00B56"/>
    <w:rsid w:val="17A30108"/>
    <w:rsid w:val="17B4F1A3"/>
    <w:rsid w:val="17FF5F72"/>
    <w:rsid w:val="1802A528"/>
    <w:rsid w:val="18044501"/>
    <w:rsid w:val="181E2828"/>
    <w:rsid w:val="184DFF25"/>
    <w:rsid w:val="18568A82"/>
    <w:rsid w:val="186DFB72"/>
    <w:rsid w:val="18AED913"/>
    <w:rsid w:val="18B58EB3"/>
    <w:rsid w:val="18C43062"/>
    <w:rsid w:val="18CE94B6"/>
    <w:rsid w:val="190AE531"/>
    <w:rsid w:val="19156D85"/>
    <w:rsid w:val="19417983"/>
    <w:rsid w:val="19548384"/>
    <w:rsid w:val="195F8081"/>
    <w:rsid w:val="19637F6F"/>
    <w:rsid w:val="19769531"/>
    <w:rsid w:val="1977F3F2"/>
    <w:rsid w:val="19BD6351"/>
    <w:rsid w:val="19F98884"/>
    <w:rsid w:val="1A0D8284"/>
    <w:rsid w:val="1A2AA987"/>
    <w:rsid w:val="1A3749AC"/>
    <w:rsid w:val="1A376237"/>
    <w:rsid w:val="1A5F10EA"/>
    <w:rsid w:val="1A65E77A"/>
    <w:rsid w:val="1A6D37E8"/>
    <w:rsid w:val="1A6F09B9"/>
    <w:rsid w:val="1AA59936"/>
    <w:rsid w:val="1AAA0474"/>
    <w:rsid w:val="1AE64D38"/>
    <w:rsid w:val="1AEFD4E9"/>
    <w:rsid w:val="1B0CC129"/>
    <w:rsid w:val="1B13707A"/>
    <w:rsid w:val="1B1D3D8A"/>
    <w:rsid w:val="1B2519B5"/>
    <w:rsid w:val="1B2E10AF"/>
    <w:rsid w:val="1B4BC607"/>
    <w:rsid w:val="1B94BB29"/>
    <w:rsid w:val="1B992940"/>
    <w:rsid w:val="1B99BB3A"/>
    <w:rsid w:val="1BB9952F"/>
    <w:rsid w:val="1BC21932"/>
    <w:rsid w:val="1BF01E66"/>
    <w:rsid w:val="1C23CEEB"/>
    <w:rsid w:val="1C2C52EE"/>
    <w:rsid w:val="1C300BCC"/>
    <w:rsid w:val="1C3F9AE6"/>
    <w:rsid w:val="1C4ACE04"/>
    <w:rsid w:val="1C887246"/>
    <w:rsid w:val="1C90E794"/>
    <w:rsid w:val="1C9504A6"/>
    <w:rsid w:val="1CADD3CC"/>
    <w:rsid w:val="1D3C3D33"/>
    <w:rsid w:val="1D86788C"/>
    <w:rsid w:val="1D8B167F"/>
    <w:rsid w:val="1DE4C3F7"/>
    <w:rsid w:val="1E3E17AC"/>
    <w:rsid w:val="1E428E45"/>
    <w:rsid w:val="1E5A635A"/>
    <w:rsid w:val="1E688DA1"/>
    <w:rsid w:val="1EB69233"/>
    <w:rsid w:val="1ED892A5"/>
    <w:rsid w:val="1EDAB34E"/>
    <w:rsid w:val="1EEE9449"/>
    <w:rsid w:val="1F7EB82F"/>
    <w:rsid w:val="1FADDF66"/>
    <w:rsid w:val="1FC9A45C"/>
    <w:rsid w:val="1FDD2E42"/>
    <w:rsid w:val="1FEE392D"/>
    <w:rsid w:val="2044005E"/>
    <w:rsid w:val="2053CF80"/>
    <w:rsid w:val="205A1483"/>
    <w:rsid w:val="20724435"/>
    <w:rsid w:val="2075159A"/>
    <w:rsid w:val="20A4C00F"/>
    <w:rsid w:val="20BBC6D5"/>
    <w:rsid w:val="20E70156"/>
    <w:rsid w:val="20F80E93"/>
    <w:rsid w:val="21102780"/>
    <w:rsid w:val="211395D4"/>
    <w:rsid w:val="2123C889"/>
    <w:rsid w:val="219F1CC9"/>
    <w:rsid w:val="21F1BD35"/>
    <w:rsid w:val="21F41E7C"/>
    <w:rsid w:val="220C7C50"/>
    <w:rsid w:val="2215E9F7"/>
    <w:rsid w:val="2287691B"/>
    <w:rsid w:val="22C149CC"/>
    <w:rsid w:val="22C55A66"/>
    <w:rsid w:val="22CC86BF"/>
    <w:rsid w:val="22CD2799"/>
    <w:rsid w:val="22E65186"/>
    <w:rsid w:val="22E78E5A"/>
    <w:rsid w:val="2339F3C5"/>
    <w:rsid w:val="237170CE"/>
    <w:rsid w:val="2396773B"/>
    <w:rsid w:val="23A3D4EA"/>
    <w:rsid w:val="23FEEEF1"/>
    <w:rsid w:val="240B4351"/>
    <w:rsid w:val="24294255"/>
    <w:rsid w:val="246D627B"/>
    <w:rsid w:val="24753CA5"/>
    <w:rsid w:val="24763FAC"/>
    <w:rsid w:val="2479993B"/>
    <w:rsid w:val="247BC44A"/>
    <w:rsid w:val="248C9268"/>
    <w:rsid w:val="249F314A"/>
    <w:rsid w:val="24BC1F38"/>
    <w:rsid w:val="24D071AD"/>
    <w:rsid w:val="24E19562"/>
    <w:rsid w:val="24E26E17"/>
    <w:rsid w:val="251022A5"/>
    <w:rsid w:val="25158C39"/>
    <w:rsid w:val="25F7BD17"/>
    <w:rsid w:val="260EB699"/>
    <w:rsid w:val="261F7ECA"/>
    <w:rsid w:val="264F8E67"/>
    <w:rsid w:val="26507D30"/>
    <w:rsid w:val="2669FE6F"/>
    <w:rsid w:val="2683C439"/>
    <w:rsid w:val="2683E6BB"/>
    <w:rsid w:val="2686DC10"/>
    <w:rsid w:val="2697F717"/>
    <w:rsid w:val="26B39241"/>
    <w:rsid w:val="26BAD1F8"/>
    <w:rsid w:val="271C58E9"/>
    <w:rsid w:val="27275935"/>
    <w:rsid w:val="273AE496"/>
    <w:rsid w:val="2764EB2E"/>
    <w:rsid w:val="27755DE9"/>
    <w:rsid w:val="2782443D"/>
    <w:rsid w:val="27A2C462"/>
    <w:rsid w:val="27A6E7CB"/>
    <w:rsid w:val="27FD1198"/>
    <w:rsid w:val="28222DDA"/>
    <w:rsid w:val="284BB002"/>
    <w:rsid w:val="285E3CF9"/>
    <w:rsid w:val="2874BC09"/>
    <w:rsid w:val="289F6317"/>
    <w:rsid w:val="28A2C4F4"/>
    <w:rsid w:val="28B3C0E1"/>
    <w:rsid w:val="28B8401A"/>
    <w:rsid w:val="28E9C10E"/>
    <w:rsid w:val="28FD2039"/>
    <w:rsid w:val="28FE5C1F"/>
    <w:rsid w:val="28FF8B0F"/>
    <w:rsid w:val="290A5482"/>
    <w:rsid w:val="290C5B89"/>
    <w:rsid w:val="29268EA3"/>
    <w:rsid w:val="2934444D"/>
    <w:rsid w:val="294A34C5"/>
    <w:rsid w:val="2988F2E7"/>
    <w:rsid w:val="299A93BD"/>
    <w:rsid w:val="299AB166"/>
    <w:rsid w:val="29BD9AFE"/>
    <w:rsid w:val="29EC9062"/>
    <w:rsid w:val="29F6DE34"/>
    <w:rsid w:val="2A00BEBD"/>
    <w:rsid w:val="2A0C299D"/>
    <w:rsid w:val="2A39E050"/>
    <w:rsid w:val="2A3FA9B4"/>
    <w:rsid w:val="2A66FD48"/>
    <w:rsid w:val="2A766B46"/>
    <w:rsid w:val="2A7ED06D"/>
    <w:rsid w:val="2AD3330A"/>
    <w:rsid w:val="2ADC66B0"/>
    <w:rsid w:val="2AECAD34"/>
    <w:rsid w:val="2B0B2624"/>
    <w:rsid w:val="2B1EBE7F"/>
    <w:rsid w:val="2B3D85C0"/>
    <w:rsid w:val="2B560BF1"/>
    <w:rsid w:val="2B7663E2"/>
    <w:rsid w:val="2BC6F1C5"/>
    <w:rsid w:val="2BD773AE"/>
    <w:rsid w:val="2BFA2829"/>
    <w:rsid w:val="2C5A9ADB"/>
    <w:rsid w:val="2C61B0AA"/>
    <w:rsid w:val="2C6B9093"/>
    <w:rsid w:val="2C6CA6DB"/>
    <w:rsid w:val="2C7E41CC"/>
    <w:rsid w:val="2C8178C9"/>
    <w:rsid w:val="2C977722"/>
    <w:rsid w:val="2CC54F6A"/>
    <w:rsid w:val="2CCE37B4"/>
    <w:rsid w:val="2CE22EA4"/>
    <w:rsid w:val="2D11BBA6"/>
    <w:rsid w:val="2DD07A03"/>
    <w:rsid w:val="2DD59BD8"/>
    <w:rsid w:val="2DDE5693"/>
    <w:rsid w:val="2E17B174"/>
    <w:rsid w:val="2E4C1532"/>
    <w:rsid w:val="2E4D79FE"/>
    <w:rsid w:val="2E74B1A2"/>
    <w:rsid w:val="2EA1B28B"/>
    <w:rsid w:val="2EBEF416"/>
    <w:rsid w:val="2F3954C0"/>
    <w:rsid w:val="2F5AC8FA"/>
    <w:rsid w:val="2F64C2AE"/>
    <w:rsid w:val="2FBAED3A"/>
    <w:rsid w:val="2FF450D4"/>
    <w:rsid w:val="2FFB1F3F"/>
    <w:rsid w:val="3018F9E0"/>
    <w:rsid w:val="301B62AF"/>
    <w:rsid w:val="303121B3"/>
    <w:rsid w:val="305E2FC6"/>
    <w:rsid w:val="313ACB1C"/>
    <w:rsid w:val="313E39DD"/>
    <w:rsid w:val="315E0EC2"/>
    <w:rsid w:val="3190EBE3"/>
    <w:rsid w:val="3196DB7D"/>
    <w:rsid w:val="31B59D5C"/>
    <w:rsid w:val="31C0511B"/>
    <w:rsid w:val="31C181D9"/>
    <w:rsid w:val="31F082D4"/>
    <w:rsid w:val="31F68251"/>
    <w:rsid w:val="3206B671"/>
    <w:rsid w:val="3234083A"/>
    <w:rsid w:val="324DA59E"/>
    <w:rsid w:val="329B70E4"/>
    <w:rsid w:val="32C657AA"/>
    <w:rsid w:val="32D726AF"/>
    <w:rsid w:val="32D8AE5B"/>
    <w:rsid w:val="32EECB25"/>
    <w:rsid w:val="3309CEF1"/>
    <w:rsid w:val="33645DE1"/>
    <w:rsid w:val="336942A1"/>
    <w:rsid w:val="33695EC0"/>
    <w:rsid w:val="33756E21"/>
    <w:rsid w:val="33BF1164"/>
    <w:rsid w:val="33C447C5"/>
    <w:rsid w:val="33E1BB4A"/>
    <w:rsid w:val="33F0339A"/>
    <w:rsid w:val="340F3377"/>
    <w:rsid w:val="3418C482"/>
    <w:rsid w:val="341AD00E"/>
    <w:rsid w:val="342A2706"/>
    <w:rsid w:val="3434613B"/>
    <w:rsid w:val="3435569F"/>
    <w:rsid w:val="34504469"/>
    <w:rsid w:val="34728934"/>
    <w:rsid w:val="3494A4D3"/>
    <w:rsid w:val="34AC6240"/>
    <w:rsid w:val="34E6915E"/>
    <w:rsid w:val="353C53DF"/>
    <w:rsid w:val="353D170E"/>
    <w:rsid w:val="355F5C41"/>
    <w:rsid w:val="3584E84B"/>
    <w:rsid w:val="35986712"/>
    <w:rsid w:val="359B8F63"/>
    <w:rsid w:val="359EA472"/>
    <w:rsid w:val="35B44C80"/>
    <w:rsid w:val="35B919C6"/>
    <w:rsid w:val="35D12DBB"/>
    <w:rsid w:val="35D2DE8E"/>
    <w:rsid w:val="35D5FC91"/>
    <w:rsid w:val="35E1543A"/>
    <w:rsid w:val="3600A770"/>
    <w:rsid w:val="3621DF4B"/>
    <w:rsid w:val="36475011"/>
    <w:rsid w:val="3647B6D4"/>
    <w:rsid w:val="365B5EB1"/>
    <w:rsid w:val="36DACE3E"/>
    <w:rsid w:val="36EF89CC"/>
    <w:rsid w:val="37396286"/>
    <w:rsid w:val="37867CEC"/>
    <w:rsid w:val="37EC9557"/>
    <w:rsid w:val="37FC4A1E"/>
    <w:rsid w:val="3848C43B"/>
    <w:rsid w:val="38496BC6"/>
    <w:rsid w:val="3856773A"/>
    <w:rsid w:val="385BC1FB"/>
    <w:rsid w:val="38648A4D"/>
    <w:rsid w:val="386715A6"/>
    <w:rsid w:val="3867509F"/>
    <w:rsid w:val="3870251E"/>
    <w:rsid w:val="3875F623"/>
    <w:rsid w:val="38872F65"/>
    <w:rsid w:val="388D2199"/>
    <w:rsid w:val="38C746BD"/>
    <w:rsid w:val="38D43C38"/>
    <w:rsid w:val="38F903D1"/>
    <w:rsid w:val="390176B2"/>
    <w:rsid w:val="3925C018"/>
    <w:rsid w:val="3948856A"/>
    <w:rsid w:val="3978FC86"/>
    <w:rsid w:val="39861410"/>
    <w:rsid w:val="39A15CB9"/>
    <w:rsid w:val="39A8EBF9"/>
    <w:rsid w:val="39AAB5DD"/>
    <w:rsid w:val="39B8140F"/>
    <w:rsid w:val="39BCBC69"/>
    <w:rsid w:val="39C3FF42"/>
    <w:rsid w:val="39DAA1DF"/>
    <w:rsid w:val="39FD1F11"/>
    <w:rsid w:val="3A294BC1"/>
    <w:rsid w:val="3A49513A"/>
    <w:rsid w:val="3A53E855"/>
    <w:rsid w:val="3A8A7A62"/>
    <w:rsid w:val="3AA429D7"/>
    <w:rsid w:val="3AD2F7D9"/>
    <w:rsid w:val="3AF4F147"/>
    <w:rsid w:val="3B02683B"/>
    <w:rsid w:val="3B27460C"/>
    <w:rsid w:val="3B308200"/>
    <w:rsid w:val="3B419893"/>
    <w:rsid w:val="3B4A63EA"/>
    <w:rsid w:val="3B7CB456"/>
    <w:rsid w:val="3B89F013"/>
    <w:rsid w:val="3BC9948B"/>
    <w:rsid w:val="3BD91FDB"/>
    <w:rsid w:val="3BE55125"/>
    <w:rsid w:val="3BF4633A"/>
    <w:rsid w:val="3BFAD66F"/>
    <w:rsid w:val="3C0A8818"/>
    <w:rsid w:val="3C2E9CF0"/>
    <w:rsid w:val="3C46C4CC"/>
    <w:rsid w:val="3C47154F"/>
    <w:rsid w:val="3C4E7CDF"/>
    <w:rsid w:val="3C851082"/>
    <w:rsid w:val="3CA7A8CB"/>
    <w:rsid w:val="3D0F2E45"/>
    <w:rsid w:val="3D2997A3"/>
    <w:rsid w:val="3D35CE8F"/>
    <w:rsid w:val="3D6EEE72"/>
    <w:rsid w:val="3D77446B"/>
    <w:rsid w:val="3D965E01"/>
    <w:rsid w:val="3DAD0F58"/>
    <w:rsid w:val="3DCA81D4"/>
    <w:rsid w:val="3DCB5CAA"/>
    <w:rsid w:val="3DD290A3"/>
    <w:rsid w:val="3DFAA6DD"/>
    <w:rsid w:val="3E231C63"/>
    <w:rsid w:val="3E4B335B"/>
    <w:rsid w:val="3E6A66F6"/>
    <w:rsid w:val="3E6B5BA2"/>
    <w:rsid w:val="3E737377"/>
    <w:rsid w:val="3E7BD149"/>
    <w:rsid w:val="3E81E47D"/>
    <w:rsid w:val="3F31C2E4"/>
    <w:rsid w:val="3F58FEEA"/>
    <w:rsid w:val="3F768047"/>
    <w:rsid w:val="3FA3471B"/>
    <w:rsid w:val="3FA646CD"/>
    <w:rsid w:val="3FB8BE44"/>
    <w:rsid w:val="401F6202"/>
    <w:rsid w:val="405149D1"/>
    <w:rsid w:val="407A1873"/>
    <w:rsid w:val="408113D8"/>
    <w:rsid w:val="4097CFD2"/>
    <w:rsid w:val="40B09712"/>
    <w:rsid w:val="40CEB4A7"/>
    <w:rsid w:val="40D258A2"/>
    <w:rsid w:val="40E9CD18"/>
    <w:rsid w:val="40F4FF4D"/>
    <w:rsid w:val="40FAB14A"/>
    <w:rsid w:val="41050E64"/>
    <w:rsid w:val="410C9FD2"/>
    <w:rsid w:val="411700EF"/>
    <w:rsid w:val="411948CA"/>
    <w:rsid w:val="415090B7"/>
    <w:rsid w:val="4156F396"/>
    <w:rsid w:val="4193C9EC"/>
    <w:rsid w:val="41AE7D61"/>
    <w:rsid w:val="420EC32B"/>
    <w:rsid w:val="422EC1B9"/>
    <w:rsid w:val="4238D6C3"/>
    <w:rsid w:val="423FEED5"/>
    <w:rsid w:val="42487F5B"/>
    <w:rsid w:val="4255F748"/>
    <w:rsid w:val="42AA24C7"/>
    <w:rsid w:val="42AC12F0"/>
    <w:rsid w:val="42AD02BF"/>
    <w:rsid w:val="42C2856C"/>
    <w:rsid w:val="43373AF5"/>
    <w:rsid w:val="43467C9F"/>
    <w:rsid w:val="43467FF3"/>
    <w:rsid w:val="4355B4F1"/>
    <w:rsid w:val="43650AAA"/>
    <w:rsid w:val="439D5BF5"/>
    <w:rsid w:val="43AF297F"/>
    <w:rsid w:val="43CD6158"/>
    <w:rsid w:val="43D23E0B"/>
    <w:rsid w:val="43D87904"/>
    <w:rsid w:val="43DFEFB8"/>
    <w:rsid w:val="43EA6703"/>
    <w:rsid w:val="4403618E"/>
    <w:rsid w:val="440E8C3E"/>
    <w:rsid w:val="441DBF86"/>
    <w:rsid w:val="445B7301"/>
    <w:rsid w:val="445F6B38"/>
    <w:rsid w:val="44694FA8"/>
    <w:rsid w:val="44A5B19D"/>
    <w:rsid w:val="44B552D2"/>
    <w:rsid w:val="44B681C2"/>
    <w:rsid w:val="44C042B4"/>
    <w:rsid w:val="44CEA0C0"/>
    <w:rsid w:val="44D31122"/>
    <w:rsid w:val="44E24D00"/>
    <w:rsid w:val="44EB81EE"/>
    <w:rsid w:val="450EAEED"/>
    <w:rsid w:val="4549CB03"/>
    <w:rsid w:val="454B31E5"/>
    <w:rsid w:val="455DA110"/>
    <w:rsid w:val="457D5471"/>
    <w:rsid w:val="4580655C"/>
    <w:rsid w:val="4582AAA8"/>
    <w:rsid w:val="45B26E0A"/>
    <w:rsid w:val="45CDC11A"/>
    <w:rsid w:val="45EA1140"/>
    <w:rsid w:val="463741FD"/>
    <w:rsid w:val="465456A1"/>
    <w:rsid w:val="4657B25F"/>
    <w:rsid w:val="4661B3CF"/>
    <w:rsid w:val="4681B508"/>
    <w:rsid w:val="468EFA4C"/>
    <w:rsid w:val="46B0B362"/>
    <w:rsid w:val="46D9A257"/>
    <w:rsid w:val="46F3E1CB"/>
    <w:rsid w:val="46F5CF91"/>
    <w:rsid w:val="47084B5D"/>
    <w:rsid w:val="473E0DA4"/>
    <w:rsid w:val="47565EB0"/>
    <w:rsid w:val="475A1DCE"/>
    <w:rsid w:val="475DB4E1"/>
    <w:rsid w:val="47633887"/>
    <w:rsid w:val="47726CB7"/>
    <w:rsid w:val="477D3B5C"/>
    <w:rsid w:val="478EA6EF"/>
    <w:rsid w:val="47991BE5"/>
    <w:rsid w:val="479BE5A7"/>
    <w:rsid w:val="47B592DB"/>
    <w:rsid w:val="47E61C9B"/>
    <w:rsid w:val="47F70AB1"/>
    <w:rsid w:val="4804EB10"/>
    <w:rsid w:val="48419864"/>
    <w:rsid w:val="485D4F5A"/>
    <w:rsid w:val="485E5117"/>
    <w:rsid w:val="4872DE26"/>
    <w:rsid w:val="48785709"/>
    <w:rsid w:val="488118D9"/>
    <w:rsid w:val="488B71DE"/>
    <w:rsid w:val="488FAF21"/>
    <w:rsid w:val="489A8DD4"/>
    <w:rsid w:val="48A0885C"/>
    <w:rsid w:val="48AFE4D6"/>
    <w:rsid w:val="48D1DBFC"/>
    <w:rsid w:val="48D8C1B7"/>
    <w:rsid w:val="48ECA288"/>
    <w:rsid w:val="48F4B184"/>
    <w:rsid w:val="490EE0F4"/>
    <w:rsid w:val="492E4AEE"/>
    <w:rsid w:val="49413057"/>
    <w:rsid w:val="496187EF"/>
    <w:rsid w:val="49649045"/>
    <w:rsid w:val="497FC9D9"/>
    <w:rsid w:val="49878490"/>
    <w:rsid w:val="49B20A92"/>
    <w:rsid w:val="49BAD18F"/>
    <w:rsid w:val="49BF8B1B"/>
    <w:rsid w:val="49D877F5"/>
    <w:rsid w:val="49DAD224"/>
    <w:rsid w:val="49E15FD8"/>
    <w:rsid w:val="4A2CEEE6"/>
    <w:rsid w:val="4A4ED654"/>
    <w:rsid w:val="4A55811A"/>
    <w:rsid w:val="4A56A0CE"/>
    <w:rsid w:val="4A5DCB91"/>
    <w:rsid w:val="4A685A20"/>
    <w:rsid w:val="4A7D8751"/>
    <w:rsid w:val="4A8476DA"/>
    <w:rsid w:val="4A95E6A0"/>
    <w:rsid w:val="4AA52EA8"/>
    <w:rsid w:val="4AD3BFC1"/>
    <w:rsid w:val="4AF5FD12"/>
    <w:rsid w:val="4B46474B"/>
    <w:rsid w:val="4B541C8D"/>
    <w:rsid w:val="4B67E96B"/>
    <w:rsid w:val="4B7AC144"/>
    <w:rsid w:val="4BB36602"/>
    <w:rsid w:val="4BF03557"/>
    <w:rsid w:val="4C220496"/>
    <w:rsid w:val="4C2C5449"/>
    <w:rsid w:val="4C377C9A"/>
    <w:rsid w:val="4C446CE6"/>
    <w:rsid w:val="4C7351D3"/>
    <w:rsid w:val="4C7F2F95"/>
    <w:rsid w:val="4C8100D5"/>
    <w:rsid w:val="4C88DD00"/>
    <w:rsid w:val="4CAE5F97"/>
    <w:rsid w:val="4CB28B66"/>
    <w:rsid w:val="4CB3E7CC"/>
    <w:rsid w:val="4CC9A5D6"/>
    <w:rsid w:val="4CD13800"/>
    <w:rsid w:val="4CDB2EAA"/>
    <w:rsid w:val="4D0105E4"/>
    <w:rsid w:val="4D0CBBAD"/>
    <w:rsid w:val="4D12AEFE"/>
    <w:rsid w:val="4D38E56C"/>
    <w:rsid w:val="4D3A6B8B"/>
    <w:rsid w:val="4D7A4E1D"/>
    <w:rsid w:val="4DA07B09"/>
    <w:rsid w:val="4DABAE5C"/>
    <w:rsid w:val="4DC7CE60"/>
    <w:rsid w:val="4DD43550"/>
    <w:rsid w:val="4DF11942"/>
    <w:rsid w:val="4DF48BB0"/>
    <w:rsid w:val="4DFC2D33"/>
    <w:rsid w:val="4E09B0F6"/>
    <w:rsid w:val="4E2F7DBF"/>
    <w:rsid w:val="4E3160F2"/>
    <w:rsid w:val="4E4DB350"/>
    <w:rsid w:val="4E804B32"/>
    <w:rsid w:val="4E8A4D33"/>
    <w:rsid w:val="4E9377FF"/>
    <w:rsid w:val="4ECCEA35"/>
    <w:rsid w:val="4F0403B4"/>
    <w:rsid w:val="4F0866DF"/>
    <w:rsid w:val="4F1F77C2"/>
    <w:rsid w:val="4F25550D"/>
    <w:rsid w:val="4F2C730E"/>
    <w:rsid w:val="4F3BEFCF"/>
    <w:rsid w:val="4F3FEE90"/>
    <w:rsid w:val="4F43A29E"/>
    <w:rsid w:val="4F5B19C3"/>
    <w:rsid w:val="4F944F56"/>
    <w:rsid w:val="4FA8FA57"/>
    <w:rsid w:val="4FD5C245"/>
    <w:rsid w:val="4FF44A3A"/>
    <w:rsid w:val="500488F2"/>
    <w:rsid w:val="502B9526"/>
    <w:rsid w:val="502BA6AA"/>
    <w:rsid w:val="507A6EDA"/>
    <w:rsid w:val="50855B55"/>
    <w:rsid w:val="5094259C"/>
    <w:rsid w:val="50974B77"/>
    <w:rsid w:val="50C61F91"/>
    <w:rsid w:val="50CAD861"/>
    <w:rsid w:val="50F9F3FF"/>
    <w:rsid w:val="513C788B"/>
    <w:rsid w:val="514E1C39"/>
    <w:rsid w:val="51B18639"/>
    <w:rsid w:val="51B32151"/>
    <w:rsid w:val="51D36BA5"/>
    <w:rsid w:val="51E3AB40"/>
    <w:rsid w:val="51EC70FB"/>
    <w:rsid w:val="51EEA26B"/>
    <w:rsid w:val="5201302B"/>
    <w:rsid w:val="52126CAC"/>
    <w:rsid w:val="521282DD"/>
    <w:rsid w:val="522EA7EF"/>
    <w:rsid w:val="526B4CA9"/>
    <w:rsid w:val="526EC81E"/>
    <w:rsid w:val="52DED4B1"/>
    <w:rsid w:val="52E82C3C"/>
    <w:rsid w:val="530610B7"/>
    <w:rsid w:val="53079805"/>
    <w:rsid w:val="53170E73"/>
    <w:rsid w:val="534F3280"/>
    <w:rsid w:val="53854B7D"/>
    <w:rsid w:val="5397F28D"/>
    <w:rsid w:val="53AC8783"/>
    <w:rsid w:val="53BCB00D"/>
    <w:rsid w:val="53DB96EC"/>
    <w:rsid w:val="541A3B82"/>
    <w:rsid w:val="54320CE9"/>
    <w:rsid w:val="543EC99E"/>
    <w:rsid w:val="548325AE"/>
    <w:rsid w:val="54930EB9"/>
    <w:rsid w:val="5496F8BD"/>
    <w:rsid w:val="549A348F"/>
    <w:rsid w:val="54C4EBB4"/>
    <w:rsid w:val="54DEE71A"/>
    <w:rsid w:val="54ED0F2D"/>
    <w:rsid w:val="551273C8"/>
    <w:rsid w:val="5520B737"/>
    <w:rsid w:val="553701A2"/>
    <w:rsid w:val="553F44FC"/>
    <w:rsid w:val="55611268"/>
    <w:rsid w:val="556BD93F"/>
    <w:rsid w:val="559B05DF"/>
    <w:rsid w:val="55B92070"/>
    <w:rsid w:val="55DA0E1A"/>
    <w:rsid w:val="55E15065"/>
    <w:rsid w:val="562C0F2E"/>
    <w:rsid w:val="56392212"/>
    <w:rsid w:val="565F142D"/>
    <w:rsid w:val="56714F5D"/>
    <w:rsid w:val="56723259"/>
    <w:rsid w:val="56911BCA"/>
    <w:rsid w:val="56BF7FFB"/>
    <w:rsid w:val="56C9851D"/>
    <w:rsid w:val="56DBC8C3"/>
    <w:rsid w:val="56EBB12B"/>
    <w:rsid w:val="571CE53E"/>
    <w:rsid w:val="574A8B51"/>
    <w:rsid w:val="574BF569"/>
    <w:rsid w:val="575951B7"/>
    <w:rsid w:val="57675A98"/>
    <w:rsid w:val="576C54E4"/>
    <w:rsid w:val="57716487"/>
    <w:rsid w:val="578A7A01"/>
    <w:rsid w:val="579DE9F9"/>
    <w:rsid w:val="57B7B679"/>
    <w:rsid w:val="57C3FBFB"/>
    <w:rsid w:val="57F1A229"/>
    <w:rsid w:val="5854D9A0"/>
    <w:rsid w:val="58808ED4"/>
    <w:rsid w:val="58D90F0F"/>
    <w:rsid w:val="58DB25A5"/>
    <w:rsid w:val="58F57BF7"/>
    <w:rsid w:val="58F5E199"/>
    <w:rsid w:val="592201BE"/>
    <w:rsid w:val="5949B218"/>
    <w:rsid w:val="59693F96"/>
    <w:rsid w:val="59E3F75B"/>
    <w:rsid w:val="5A1A05AA"/>
    <w:rsid w:val="5A359078"/>
    <w:rsid w:val="5A57AD20"/>
    <w:rsid w:val="5AB30516"/>
    <w:rsid w:val="5AC28352"/>
    <w:rsid w:val="5AD7EA57"/>
    <w:rsid w:val="5B039D87"/>
    <w:rsid w:val="5B4DC90B"/>
    <w:rsid w:val="5B5940B9"/>
    <w:rsid w:val="5B64F143"/>
    <w:rsid w:val="5B71D010"/>
    <w:rsid w:val="5B728370"/>
    <w:rsid w:val="5BB3641A"/>
    <w:rsid w:val="5BCFFA87"/>
    <w:rsid w:val="5BE447CF"/>
    <w:rsid w:val="5BE58F16"/>
    <w:rsid w:val="5BF6E6EF"/>
    <w:rsid w:val="5C0F0449"/>
    <w:rsid w:val="5C3CA413"/>
    <w:rsid w:val="5C700FBE"/>
    <w:rsid w:val="5C8997AA"/>
    <w:rsid w:val="5CB2F7AD"/>
    <w:rsid w:val="5CBA1F0A"/>
    <w:rsid w:val="5CC5D829"/>
    <w:rsid w:val="5CD029BC"/>
    <w:rsid w:val="5CD331E9"/>
    <w:rsid w:val="5CD5DAF1"/>
    <w:rsid w:val="5CE32298"/>
    <w:rsid w:val="5D12242B"/>
    <w:rsid w:val="5D2CC846"/>
    <w:rsid w:val="5D48F1B6"/>
    <w:rsid w:val="5D704021"/>
    <w:rsid w:val="5D799B60"/>
    <w:rsid w:val="5DD408EF"/>
    <w:rsid w:val="5E30654A"/>
    <w:rsid w:val="5E388A58"/>
    <w:rsid w:val="5E5CAB46"/>
    <w:rsid w:val="5E60CDA4"/>
    <w:rsid w:val="5E6223F0"/>
    <w:rsid w:val="5E71A77E"/>
    <w:rsid w:val="5E851AB8"/>
    <w:rsid w:val="5E9CDE98"/>
    <w:rsid w:val="5EADB699"/>
    <w:rsid w:val="5EB0EE54"/>
    <w:rsid w:val="5EDE46B2"/>
    <w:rsid w:val="5EEC1301"/>
    <w:rsid w:val="5F8B8514"/>
    <w:rsid w:val="5F9A75D3"/>
    <w:rsid w:val="5FB16BB8"/>
    <w:rsid w:val="5FD08D8B"/>
    <w:rsid w:val="5FF54BFA"/>
    <w:rsid w:val="6038C19B"/>
    <w:rsid w:val="605FE3AB"/>
    <w:rsid w:val="606E8598"/>
    <w:rsid w:val="607B1632"/>
    <w:rsid w:val="60828993"/>
    <w:rsid w:val="6089DEA6"/>
    <w:rsid w:val="60AF6E83"/>
    <w:rsid w:val="60BACDFA"/>
    <w:rsid w:val="60C43BE6"/>
    <w:rsid w:val="60C9D90A"/>
    <w:rsid w:val="60DAACDC"/>
    <w:rsid w:val="60F057BD"/>
    <w:rsid w:val="610F8428"/>
    <w:rsid w:val="6142404A"/>
    <w:rsid w:val="614341FE"/>
    <w:rsid w:val="617F4900"/>
    <w:rsid w:val="6197075F"/>
    <w:rsid w:val="61A352CE"/>
    <w:rsid w:val="61A96841"/>
    <w:rsid w:val="61B17427"/>
    <w:rsid w:val="61B17A9C"/>
    <w:rsid w:val="61BCA43B"/>
    <w:rsid w:val="61D4F199"/>
    <w:rsid w:val="61D645C2"/>
    <w:rsid w:val="61D8A720"/>
    <w:rsid w:val="61E221B5"/>
    <w:rsid w:val="6218FD1F"/>
    <w:rsid w:val="621F11EF"/>
    <w:rsid w:val="6220D94A"/>
    <w:rsid w:val="6230C3BB"/>
    <w:rsid w:val="6235C681"/>
    <w:rsid w:val="623EAD59"/>
    <w:rsid w:val="62D437DA"/>
    <w:rsid w:val="63189D81"/>
    <w:rsid w:val="631EF3A1"/>
    <w:rsid w:val="63286851"/>
    <w:rsid w:val="6377904B"/>
    <w:rsid w:val="63926739"/>
    <w:rsid w:val="63B0ED6C"/>
    <w:rsid w:val="63BB47EA"/>
    <w:rsid w:val="63CA0EFE"/>
    <w:rsid w:val="63D2A784"/>
    <w:rsid w:val="63EF9B7A"/>
    <w:rsid w:val="63F0A7F9"/>
    <w:rsid w:val="6402DFEA"/>
    <w:rsid w:val="6403412A"/>
    <w:rsid w:val="6443E5A0"/>
    <w:rsid w:val="645DFAB0"/>
    <w:rsid w:val="646646D3"/>
    <w:rsid w:val="647F89A8"/>
    <w:rsid w:val="648DA273"/>
    <w:rsid w:val="649F627A"/>
    <w:rsid w:val="64A35514"/>
    <w:rsid w:val="64B385DE"/>
    <w:rsid w:val="651BB2D9"/>
    <w:rsid w:val="6521C28D"/>
    <w:rsid w:val="65229FDE"/>
    <w:rsid w:val="65608FA1"/>
    <w:rsid w:val="6574587C"/>
    <w:rsid w:val="657BA22A"/>
    <w:rsid w:val="6581C63D"/>
    <w:rsid w:val="65C7A1E8"/>
    <w:rsid w:val="65F1D335"/>
    <w:rsid w:val="65F6C794"/>
    <w:rsid w:val="6601C37F"/>
    <w:rsid w:val="66533DCB"/>
    <w:rsid w:val="6669F9D6"/>
    <w:rsid w:val="66B2EA3E"/>
    <w:rsid w:val="66B64D7D"/>
    <w:rsid w:val="66C6F53D"/>
    <w:rsid w:val="66C8AFA9"/>
    <w:rsid w:val="670B21E3"/>
    <w:rsid w:val="673D7FA1"/>
    <w:rsid w:val="677E990A"/>
    <w:rsid w:val="678631CF"/>
    <w:rsid w:val="67AC71B6"/>
    <w:rsid w:val="67C5E480"/>
    <w:rsid w:val="6814F404"/>
    <w:rsid w:val="6842CABD"/>
    <w:rsid w:val="6845206E"/>
    <w:rsid w:val="685D1126"/>
    <w:rsid w:val="688000F9"/>
    <w:rsid w:val="68ACA6C7"/>
    <w:rsid w:val="68D5ADC4"/>
    <w:rsid w:val="68E8EC6A"/>
    <w:rsid w:val="6916B596"/>
    <w:rsid w:val="6947212E"/>
    <w:rsid w:val="69659F9D"/>
    <w:rsid w:val="696C2BCA"/>
    <w:rsid w:val="6972BDE2"/>
    <w:rsid w:val="69747563"/>
    <w:rsid w:val="69754593"/>
    <w:rsid w:val="69855DA7"/>
    <w:rsid w:val="6987C1F7"/>
    <w:rsid w:val="6990CE7D"/>
    <w:rsid w:val="69A8C00D"/>
    <w:rsid w:val="69B2E3E1"/>
    <w:rsid w:val="69BE17B0"/>
    <w:rsid w:val="69C6E870"/>
    <w:rsid w:val="69F08482"/>
    <w:rsid w:val="6A263E3E"/>
    <w:rsid w:val="6A280362"/>
    <w:rsid w:val="6A5DEE34"/>
    <w:rsid w:val="6A9CD6F0"/>
    <w:rsid w:val="6A9D5521"/>
    <w:rsid w:val="6AAAA6C0"/>
    <w:rsid w:val="6ABBAEE1"/>
    <w:rsid w:val="6AE8F045"/>
    <w:rsid w:val="6B176C55"/>
    <w:rsid w:val="6B2D1A44"/>
    <w:rsid w:val="6B2D89D7"/>
    <w:rsid w:val="6B372762"/>
    <w:rsid w:val="6B3E8D3E"/>
    <w:rsid w:val="6B68CB93"/>
    <w:rsid w:val="6B7DDC93"/>
    <w:rsid w:val="6B802940"/>
    <w:rsid w:val="6B9B627F"/>
    <w:rsid w:val="6BB7A9BE"/>
    <w:rsid w:val="6BD58FFB"/>
    <w:rsid w:val="6BF0A96D"/>
    <w:rsid w:val="6BFE5BAB"/>
    <w:rsid w:val="6C0DD997"/>
    <w:rsid w:val="6C28B303"/>
    <w:rsid w:val="6C414596"/>
    <w:rsid w:val="6C58B4BA"/>
    <w:rsid w:val="6C9CD6E0"/>
    <w:rsid w:val="6CA89E77"/>
    <w:rsid w:val="6CABBD2D"/>
    <w:rsid w:val="6CAE0A61"/>
    <w:rsid w:val="6CAE226C"/>
    <w:rsid w:val="6CB2B0D1"/>
    <w:rsid w:val="6CB6C84B"/>
    <w:rsid w:val="6CB96202"/>
    <w:rsid w:val="6CEB4470"/>
    <w:rsid w:val="6D35E7D0"/>
    <w:rsid w:val="6D4A5608"/>
    <w:rsid w:val="6D84C34B"/>
    <w:rsid w:val="6DACD96E"/>
    <w:rsid w:val="6DB5FD61"/>
    <w:rsid w:val="6DEAD4D8"/>
    <w:rsid w:val="6DEE3AF7"/>
    <w:rsid w:val="6E4DAC51"/>
    <w:rsid w:val="6E51E48E"/>
    <w:rsid w:val="6E79857B"/>
    <w:rsid w:val="6EA0C181"/>
    <w:rsid w:val="6EAB3752"/>
    <w:rsid w:val="6ECFACA9"/>
    <w:rsid w:val="6EE83DFF"/>
    <w:rsid w:val="6F040459"/>
    <w:rsid w:val="6F131001"/>
    <w:rsid w:val="6F3CDBBD"/>
    <w:rsid w:val="6F407EBC"/>
    <w:rsid w:val="6F56F225"/>
    <w:rsid w:val="6F7AA34B"/>
    <w:rsid w:val="6F882839"/>
    <w:rsid w:val="6F9CCB0E"/>
    <w:rsid w:val="6F9D24DD"/>
    <w:rsid w:val="6FAA3A36"/>
    <w:rsid w:val="6FAB1C20"/>
    <w:rsid w:val="6FB85AE8"/>
    <w:rsid w:val="6FC5C1D0"/>
    <w:rsid w:val="6FFE142C"/>
    <w:rsid w:val="7007BEB3"/>
    <w:rsid w:val="70237370"/>
    <w:rsid w:val="703A3DEA"/>
    <w:rsid w:val="703B0D90"/>
    <w:rsid w:val="70517B6F"/>
    <w:rsid w:val="70544DE6"/>
    <w:rsid w:val="7064EFE2"/>
    <w:rsid w:val="70B64172"/>
    <w:rsid w:val="70BED776"/>
    <w:rsid w:val="70C2B077"/>
    <w:rsid w:val="70E1A4C9"/>
    <w:rsid w:val="71343AB9"/>
    <w:rsid w:val="71412B05"/>
    <w:rsid w:val="7142A858"/>
    <w:rsid w:val="71431B8D"/>
    <w:rsid w:val="716C32D1"/>
    <w:rsid w:val="7173DF6B"/>
    <w:rsid w:val="7187CE17"/>
    <w:rsid w:val="71916743"/>
    <w:rsid w:val="71A960F0"/>
    <w:rsid w:val="71B96C62"/>
    <w:rsid w:val="71BC1FAE"/>
    <w:rsid w:val="71BD2F21"/>
    <w:rsid w:val="71CB6B3C"/>
    <w:rsid w:val="71DD396E"/>
    <w:rsid w:val="72207261"/>
    <w:rsid w:val="726299D0"/>
    <w:rsid w:val="72A3AC14"/>
    <w:rsid w:val="72F4CAD0"/>
    <w:rsid w:val="72FF0715"/>
    <w:rsid w:val="7315B89C"/>
    <w:rsid w:val="731D5AC8"/>
    <w:rsid w:val="732533E2"/>
    <w:rsid w:val="733EA58C"/>
    <w:rsid w:val="73419AE4"/>
    <w:rsid w:val="7372C308"/>
    <w:rsid w:val="73B0CCCE"/>
    <w:rsid w:val="73C3A6D5"/>
    <w:rsid w:val="73C46585"/>
    <w:rsid w:val="73C8936A"/>
    <w:rsid w:val="743A42B2"/>
    <w:rsid w:val="7454BCE1"/>
    <w:rsid w:val="745A092C"/>
    <w:rsid w:val="748166A8"/>
    <w:rsid w:val="7489CF85"/>
    <w:rsid w:val="74AEED50"/>
    <w:rsid w:val="74D644A1"/>
    <w:rsid w:val="74DD1136"/>
    <w:rsid w:val="7543458E"/>
    <w:rsid w:val="75549D1D"/>
    <w:rsid w:val="759A5A59"/>
    <w:rsid w:val="75B67CDC"/>
    <w:rsid w:val="75BF6681"/>
    <w:rsid w:val="75D32EAC"/>
    <w:rsid w:val="75DA464C"/>
    <w:rsid w:val="7609F62C"/>
    <w:rsid w:val="76156143"/>
    <w:rsid w:val="763BD0BB"/>
    <w:rsid w:val="767C54AC"/>
    <w:rsid w:val="76879795"/>
    <w:rsid w:val="768A11D6"/>
    <w:rsid w:val="77179621"/>
    <w:rsid w:val="773BBECD"/>
    <w:rsid w:val="7761D717"/>
    <w:rsid w:val="77925A6A"/>
    <w:rsid w:val="77D2BE5B"/>
    <w:rsid w:val="77F4B00D"/>
    <w:rsid w:val="77FE35F7"/>
    <w:rsid w:val="780D7582"/>
    <w:rsid w:val="78129456"/>
    <w:rsid w:val="7814C8D6"/>
    <w:rsid w:val="782C748E"/>
    <w:rsid w:val="783CEC92"/>
    <w:rsid w:val="78621B43"/>
    <w:rsid w:val="7889F7A6"/>
    <w:rsid w:val="78996724"/>
    <w:rsid w:val="789B32EE"/>
    <w:rsid w:val="78C37799"/>
    <w:rsid w:val="78C66900"/>
    <w:rsid w:val="78F23653"/>
    <w:rsid w:val="7900C6EC"/>
    <w:rsid w:val="791B2F2D"/>
    <w:rsid w:val="7922FD13"/>
    <w:rsid w:val="792F0A7F"/>
    <w:rsid w:val="795C7BA2"/>
    <w:rsid w:val="79653F74"/>
    <w:rsid w:val="796A1F11"/>
    <w:rsid w:val="7972A440"/>
    <w:rsid w:val="797F1EC9"/>
    <w:rsid w:val="79CAA5DA"/>
    <w:rsid w:val="79D2A9A1"/>
    <w:rsid w:val="7A25247C"/>
    <w:rsid w:val="7A782386"/>
    <w:rsid w:val="7AD6DBEA"/>
    <w:rsid w:val="7B0FD536"/>
    <w:rsid w:val="7B529586"/>
    <w:rsid w:val="7B52CF85"/>
    <w:rsid w:val="7B6445F3"/>
    <w:rsid w:val="7B7AA66A"/>
    <w:rsid w:val="7BC701A0"/>
    <w:rsid w:val="7BD2B5BB"/>
    <w:rsid w:val="7BEF652C"/>
    <w:rsid w:val="7C45E785"/>
    <w:rsid w:val="7C626D0D"/>
    <w:rsid w:val="7C99B580"/>
    <w:rsid w:val="7CEBE1C1"/>
    <w:rsid w:val="7D00B305"/>
    <w:rsid w:val="7D1091CF"/>
    <w:rsid w:val="7D1EC591"/>
    <w:rsid w:val="7D2BF5A9"/>
    <w:rsid w:val="7D386B2C"/>
    <w:rsid w:val="7D5A2C0E"/>
    <w:rsid w:val="7D77E953"/>
    <w:rsid w:val="7D97BF99"/>
    <w:rsid w:val="7DA4C1F8"/>
    <w:rsid w:val="7DBECF20"/>
    <w:rsid w:val="7DEAF1D0"/>
    <w:rsid w:val="7E1D08BB"/>
    <w:rsid w:val="7E2A94B6"/>
    <w:rsid w:val="7E2F8723"/>
    <w:rsid w:val="7E3DA47D"/>
    <w:rsid w:val="7E47BD4C"/>
    <w:rsid w:val="7E7EA961"/>
    <w:rsid w:val="7E81ABF7"/>
    <w:rsid w:val="7E90579B"/>
    <w:rsid w:val="7E92CE74"/>
    <w:rsid w:val="7EA0BD3C"/>
    <w:rsid w:val="7EA85E01"/>
    <w:rsid w:val="7EBE2C5F"/>
    <w:rsid w:val="7EC6FB20"/>
    <w:rsid w:val="7ECE3CA8"/>
    <w:rsid w:val="7EE7C7C3"/>
    <w:rsid w:val="7EF8C994"/>
    <w:rsid w:val="7EFC681F"/>
    <w:rsid w:val="7F03BA98"/>
    <w:rsid w:val="7F05AA2E"/>
    <w:rsid w:val="7F0CC948"/>
    <w:rsid w:val="7F22E890"/>
    <w:rsid w:val="7F374774"/>
    <w:rsid w:val="7F37640A"/>
    <w:rsid w:val="7F40C42F"/>
    <w:rsid w:val="7F6853F3"/>
    <w:rsid w:val="7F72C4D2"/>
    <w:rsid w:val="7F762857"/>
    <w:rsid w:val="7F93575E"/>
    <w:rsid w:val="7F975AD1"/>
    <w:rsid w:val="7F9CD056"/>
    <w:rsid w:val="7FC03952"/>
    <w:rsid w:val="7FD3689B"/>
    <w:rsid w:val="7FE14842"/>
    <w:rsid w:val="7FEA06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E37E6"/>
  <w15:chartTrackingRefBased/>
  <w15:docId w15:val="{39628A57-D830-47BC-AEEB-6E90CE6D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uiPriority="1" w:qFormat="1"/>
    <w:lsdException w:name="List Bullet 2" w:uiPriority="1" w:qFormat="1"/>
    <w:lsdException w:name="List Bullet 3" w:uiPriority="1"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E2C"/>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Arial" w:hAnsi="Arial"/>
      <w:b/>
      <w:caps/>
      <w:sz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rFonts w:ascii="Arial" w:hAnsi="Arial"/>
      <w:b/>
      <w:sz w:val="28"/>
      <w:u w:val="single"/>
    </w:rPr>
  </w:style>
  <w:style w:type="paragraph" w:styleId="Heading6">
    <w:name w:val="heading 6"/>
    <w:basedOn w:val="Normal"/>
    <w:next w:val="Normal"/>
    <w:qFormat/>
    <w:pPr>
      <w:keepNext/>
      <w:outlineLvl w:val="5"/>
    </w:pPr>
    <w:rPr>
      <w:rFonts w:ascii="Arial" w:hAnsi="Arial"/>
      <w:b/>
      <w:sz w:val="28"/>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ind w:left="720"/>
      <w:jc w:val="both"/>
      <w:outlineLvl w:val="7"/>
    </w:pPr>
    <w:rPr>
      <w:sz w:val="24"/>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sz w:val="24"/>
    </w:rPr>
  </w:style>
  <w:style w:type="paragraph" w:styleId="BodyText2">
    <w:name w:val="Body Text 2"/>
    <w:basedOn w:val="Normal"/>
    <w:pPr>
      <w:jc w:val="both"/>
    </w:pPr>
    <w:rPr>
      <w:sz w:val="24"/>
    </w:rPr>
  </w:style>
  <w:style w:type="paragraph" w:styleId="BodyText3">
    <w:name w:val="Body Text 3"/>
    <w:basedOn w:val="Normal"/>
    <w:pPr>
      <w:jc w:val="both"/>
    </w:pPr>
    <w:rPr>
      <w:sz w:val="22"/>
    </w:rPr>
  </w:style>
  <w:style w:type="paragraph" w:styleId="BodyTextIndent">
    <w:name w:val="Body Text Indent"/>
    <w:basedOn w:val="Normal"/>
    <w:pPr>
      <w:ind w:left="720" w:hanging="720"/>
      <w:jc w:val="both"/>
    </w:pPr>
    <w:rPr>
      <w:sz w:val="24"/>
    </w:rPr>
  </w:style>
  <w:style w:type="paragraph" w:styleId="BalloonText">
    <w:name w:val="Balloon Text"/>
    <w:basedOn w:val="Normal"/>
    <w:semiHidden/>
    <w:rsid w:val="00A46C42"/>
    <w:rPr>
      <w:rFonts w:ascii="Tahoma" w:hAnsi="Tahoma" w:cs="Tahoma"/>
      <w:sz w:val="16"/>
      <w:szCs w:val="16"/>
    </w:rPr>
  </w:style>
  <w:style w:type="table" w:styleId="TableGrid">
    <w:name w:val="Table Grid"/>
    <w:basedOn w:val="TableNormal"/>
    <w:uiPriority w:val="39"/>
    <w:rsid w:val="004E1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2">
    <w:name w:val="wm2"/>
    <w:rsid w:val="007E0A75"/>
    <w:rPr>
      <w:rFonts w:ascii="Arial" w:hAnsi="Arial" w:cs="Arial" w:hint="default"/>
      <w:b/>
      <w:bCs/>
      <w:color w:val="000000"/>
      <w:sz w:val="20"/>
      <w:szCs w:val="20"/>
    </w:rPr>
  </w:style>
  <w:style w:type="character" w:customStyle="1" w:styleId="rmb2">
    <w:name w:val="rmb2"/>
    <w:rsid w:val="007E0A75"/>
    <w:rPr>
      <w:rFonts w:ascii="Arial" w:hAnsi="Arial" w:cs="Arial" w:hint="default"/>
      <w:b/>
      <w:bCs/>
      <w:color w:val="000000"/>
      <w:sz w:val="24"/>
      <w:szCs w:val="24"/>
    </w:rPr>
  </w:style>
  <w:style w:type="character" w:styleId="Hyperlink">
    <w:name w:val="Hyperlink"/>
    <w:rsid w:val="00C54527"/>
    <w:rPr>
      <w:color w:val="0000FF"/>
      <w:u w:val="single"/>
    </w:rPr>
  </w:style>
  <w:style w:type="character" w:styleId="FollowedHyperlink">
    <w:name w:val="FollowedHyperlink"/>
    <w:rsid w:val="00925F7F"/>
    <w:rPr>
      <w:color w:val="800080"/>
      <w:u w:val="single"/>
    </w:rPr>
  </w:style>
  <w:style w:type="paragraph" w:customStyle="1" w:styleId="Default">
    <w:name w:val="Default"/>
    <w:rsid w:val="008A691C"/>
    <w:pPr>
      <w:autoSpaceDE w:val="0"/>
      <w:autoSpaceDN w:val="0"/>
      <w:adjustRightInd w:val="0"/>
    </w:pPr>
    <w:rPr>
      <w:rFonts w:ascii="Verdana" w:eastAsia="SimSun" w:hAnsi="Verdana" w:cs="Verdana"/>
      <w:color w:val="000000"/>
      <w:sz w:val="24"/>
      <w:szCs w:val="24"/>
      <w:lang w:val="en-US" w:eastAsia="zh-CN"/>
    </w:rPr>
  </w:style>
  <w:style w:type="paragraph" w:customStyle="1" w:styleId="Bodytextnumbered">
    <w:name w:val="Body text (numbered)"/>
    <w:basedOn w:val="BodyText"/>
    <w:rsid w:val="00E03FC1"/>
    <w:pPr>
      <w:numPr>
        <w:numId w:val="3"/>
      </w:numPr>
      <w:spacing w:before="140" w:after="140"/>
    </w:pPr>
    <w:rPr>
      <w:rFonts w:ascii="Arial" w:hAnsi="Arial"/>
      <w:szCs w:val="24"/>
      <w:lang w:eastAsia="en-GB"/>
    </w:rPr>
  </w:style>
  <w:style w:type="paragraph" w:customStyle="1" w:styleId="Bullet1">
    <w:name w:val="Bullet 1"/>
    <w:basedOn w:val="Normal"/>
    <w:link w:val="Bullet1CharChar"/>
    <w:rsid w:val="00E03FC1"/>
    <w:pPr>
      <w:numPr>
        <w:numId w:val="2"/>
      </w:numPr>
      <w:spacing w:before="100"/>
    </w:pPr>
    <w:rPr>
      <w:rFonts w:ascii="Arial" w:hAnsi="Arial"/>
      <w:sz w:val="24"/>
      <w:szCs w:val="24"/>
      <w:lang w:eastAsia="en-GB"/>
    </w:rPr>
  </w:style>
  <w:style w:type="paragraph" w:styleId="FootnoteText">
    <w:name w:val="footnote text"/>
    <w:basedOn w:val="Normal"/>
    <w:semiHidden/>
    <w:rsid w:val="00E03FC1"/>
    <w:pPr>
      <w:tabs>
        <w:tab w:val="left" w:pos="170"/>
      </w:tabs>
      <w:ind w:left="170" w:hanging="170"/>
    </w:pPr>
    <w:rPr>
      <w:rFonts w:ascii="Arial" w:hAnsi="Arial"/>
      <w:sz w:val="18"/>
      <w:lang w:eastAsia="en-GB"/>
    </w:rPr>
  </w:style>
  <w:style w:type="character" w:styleId="FootnoteReference">
    <w:name w:val="footnote reference"/>
    <w:semiHidden/>
    <w:rsid w:val="00E03FC1"/>
    <w:rPr>
      <w:rFonts w:ascii="Arial" w:hAnsi="Arial"/>
      <w:b/>
      <w:color w:val="7AB800"/>
      <w:vertAlign w:val="superscript"/>
    </w:rPr>
  </w:style>
  <w:style w:type="character" w:styleId="CommentReference">
    <w:name w:val="annotation reference"/>
    <w:semiHidden/>
    <w:rsid w:val="00B16D74"/>
    <w:rPr>
      <w:sz w:val="16"/>
      <w:szCs w:val="16"/>
    </w:rPr>
  </w:style>
  <w:style w:type="paragraph" w:styleId="CommentText">
    <w:name w:val="annotation text"/>
    <w:basedOn w:val="Normal"/>
    <w:link w:val="CommentTextChar"/>
    <w:semiHidden/>
    <w:rsid w:val="00B16D74"/>
    <w:rPr>
      <w:rFonts w:eastAsia="SimSun"/>
      <w:lang w:eastAsia="zh-CN"/>
    </w:rPr>
  </w:style>
  <w:style w:type="paragraph" w:styleId="ListParagraph">
    <w:name w:val="List Paragraph"/>
    <w:basedOn w:val="Normal"/>
    <w:uiPriority w:val="34"/>
    <w:qFormat/>
    <w:rsid w:val="0096405B"/>
    <w:pPr>
      <w:ind w:left="720"/>
    </w:pPr>
    <w:rPr>
      <w:sz w:val="24"/>
    </w:rPr>
  </w:style>
  <w:style w:type="paragraph" w:styleId="NormalWeb">
    <w:name w:val="Normal (Web)"/>
    <w:basedOn w:val="Normal"/>
    <w:uiPriority w:val="99"/>
    <w:unhideWhenUsed/>
    <w:rsid w:val="0096405B"/>
    <w:pPr>
      <w:spacing w:after="150"/>
    </w:pPr>
    <w:rPr>
      <w:color w:val="333333"/>
      <w:sz w:val="24"/>
      <w:szCs w:val="24"/>
      <w:lang w:eastAsia="en-GB"/>
    </w:rPr>
  </w:style>
  <w:style w:type="paragraph" w:customStyle="1" w:styleId="BodyText1">
    <w:name w:val="Body Text1"/>
    <w:basedOn w:val="Normal"/>
    <w:link w:val="BodytextChar"/>
    <w:rsid w:val="00922D6C"/>
    <w:pPr>
      <w:spacing w:before="140" w:after="140"/>
      <w:ind w:left="397"/>
    </w:pPr>
    <w:rPr>
      <w:rFonts w:ascii="Arial" w:hAnsi="Arial"/>
      <w:sz w:val="24"/>
      <w:szCs w:val="24"/>
      <w:lang w:eastAsia="en-GB"/>
    </w:rPr>
  </w:style>
  <w:style w:type="character" w:customStyle="1" w:styleId="BodytextChar">
    <w:name w:val="Body text Char"/>
    <w:link w:val="BodyText1"/>
    <w:rsid w:val="00922D6C"/>
    <w:rPr>
      <w:rFonts w:ascii="Arial" w:hAnsi="Arial"/>
      <w:sz w:val="24"/>
      <w:szCs w:val="24"/>
      <w:lang w:val="en-GB" w:eastAsia="en-GB" w:bidi="ar-SA"/>
    </w:rPr>
  </w:style>
  <w:style w:type="character" w:customStyle="1" w:styleId="Bullet1CharChar">
    <w:name w:val="Bullet 1 Char Char"/>
    <w:link w:val="Bullet1"/>
    <w:rsid w:val="00922D6C"/>
    <w:rPr>
      <w:rFonts w:ascii="Arial" w:hAnsi="Arial"/>
      <w:sz w:val="24"/>
      <w:szCs w:val="24"/>
    </w:rPr>
  </w:style>
  <w:style w:type="paragraph" w:customStyle="1" w:styleId="inlinenormal">
    <w:name w:val="inlinenormal"/>
    <w:basedOn w:val="Normal"/>
    <w:rsid w:val="00BC3A7C"/>
    <w:pPr>
      <w:autoSpaceDN w:val="0"/>
      <w:spacing w:before="120" w:after="60" w:line="264" w:lineRule="auto"/>
    </w:pPr>
    <w:rPr>
      <w:rFonts w:ascii="Arial" w:hAnsi="Arial" w:cs="Arial"/>
      <w:sz w:val="24"/>
      <w:szCs w:val="24"/>
      <w:lang w:eastAsia="en-GB"/>
    </w:rPr>
  </w:style>
  <w:style w:type="character" w:styleId="Strong">
    <w:name w:val="Strong"/>
    <w:uiPriority w:val="22"/>
    <w:qFormat/>
    <w:rsid w:val="00BC3A7C"/>
    <w:rPr>
      <w:b/>
      <w:bCs/>
    </w:rPr>
  </w:style>
  <w:style w:type="character" w:styleId="Emphasis">
    <w:name w:val="Emphasis"/>
    <w:uiPriority w:val="20"/>
    <w:qFormat/>
    <w:rsid w:val="00BC3A7C"/>
    <w:rPr>
      <w:i/>
      <w:iCs/>
    </w:rPr>
  </w:style>
  <w:style w:type="paragraph" w:styleId="CommentSubject">
    <w:name w:val="annotation subject"/>
    <w:basedOn w:val="CommentText"/>
    <w:next w:val="CommentText"/>
    <w:semiHidden/>
    <w:rsid w:val="00B6295B"/>
    <w:rPr>
      <w:rFonts w:eastAsia="Times New Roman"/>
      <w:b/>
      <w:bCs/>
      <w:lang w:eastAsia="en-US"/>
    </w:rPr>
  </w:style>
  <w:style w:type="paragraph" w:styleId="EndnoteText">
    <w:name w:val="endnote text"/>
    <w:basedOn w:val="Normal"/>
    <w:semiHidden/>
    <w:rsid w:val="00B6295B"/>
  </w:style>
  <w:style w:type="character" w:styleId="EndnoteReference">
    <w:name w:val="endnote reference"/>
    <w:semiHidden/>
    <w:rsid w:val="00B6295B"/>
    <w:rPr>
      <w:vertAlign w:val="superscript"/>
    </w:rPr>
  </w:style>
  <w:style w:type="character" w:customStyle="1" w:styleId="FooterChar">
    <w:name w:val="Footer Char"/>
    <w:link w:val="Footer"/>
    <w:uiPriority w:val="99"/>
    <w:rsid w:val="00631B39"/>
    <w:rPr>
      <w:lang w:eastAsia="en-US"/>
    </w:rPr>
  </w:style>
  <w:style w:type="character" w:customStyle="1" w:styleId="HeaderChar">
    <w:name w:val="Header Char"/>
    <w:link w:val="Header"/>
    <w:rsid w:val="00CC4D93"/>
    <w:rPr>
      <w:lang w:eastAsia="en-US"/>
    </w:rPr>
  </w:style>
  <w:style w:type="paragraph" w:styleId="NoSpacing">
    <w:name w:val="No Spacing"/>
    <w:uiPriority w:val="1"/>
    <w:qFormat/>
    <w:rsid w:val="00DC79B4"/>
    <w:rPr>
      <w:rFonts w:ascii="Calibri" w:eastAsia="Calibri" w:hAnsi="Calibri"/>
      <w:sz w:val="22"/>
      <w:szCs w:val="22"/>
      <w:lang w:eastAsia="en-US"/>
    </w:rPr>
  </w:style>
  <w:style w:type="paragraph" w:styleId="PlainText">
    <w:name w:val="Plain Text"/>
    <w:basedOn w:val="Normal"/>
    <w:link w:val="PlainTextChar"/>
    <w:uiPriority w:val="99"/>
    <w:rsid w:val="00A83CB1"/>
    <w:rPr>
      <w:rFonts w:ascii="Courier New" w:hAnsi="Courier New" w:cs="Courier New"/>
      <w:lang w:eastAsia="en-GB"/>
    </w:rPr>
  </w:style>
  <w:style w:type="character" w:customStyle="1" w:styleId="PlainTextChar">
    <w:name w:val="Plain Text Char"/>
    <w:link w:val="PlainText"/>
    <w:uiPriority w:val="99"/>
    <w:rsid w:val="00A83CB1"/>
    <w:rPr>
      <w:rFonts w:ascii="Courier New" w:hAnsi="Courier New" w:cs="Courier New"/>
    </w:rPr>
  </w:style>
  <w:style w:type="character" w:customStyle="1" w:styleId="CommentTextChar">
    <w:name w:val="Comment Text Char"/>
    <w:link w:val="CommentText"/>
    <w:semiHidden/>
    <w:rsid w:val="00C51E54"/>
    <w:rPr>
      <w:rFonts w:eastAsia="SimSun"/>
      <w:lang w:eastAsia="zh-CN"/>
    </w:rPr>
  </w:style>
  <w:style w:type="character" w:customStyle="1" w:styleId="normaltextrun1">
    <w:name w:val="normaltextrun1"/>
    <w:rsid w:val="00BB0D9A"/>
  </w:style>
  <w:style w:type="character" w:customStyle="1" w:styleId="eop">
    <w:name w:val="eop"/>
    <w:rsid w:val="00BB0D9A"/>
  </w:style>
  <w:style w:type="character" w:customStyle="1" w:styleId="spellingerror">
    <w:name w:val="spellingerror"/>
    <w:rsid w:val="00BB0D9A"/>
  </w:style>
  <w:style w:type="character" w:styleId="UnresolvedMention">
    <w:name w:val="Unresolved Mention"/>
    <w:uiPriority w:val="99"/>
    <w:semiHidden/>
    <w:unhideWhenUsed/>
    <w:rsid w:val="00201DB2"/>
    <w:rPr>
      <w:color w:val="605E5C"/>
      <w:shd w:val="clear" w:color="auto" w:fill="E1DFDD"/>
    </w:rPr>
  </w:style>
  <w:style w:type="paragraph" w:customStyle="1" w:styleId="xmsonormal">
    <w:name w:val="x_msonormal"/>
    <w:basedOn w:val="Normal"/>
    <w:rsid w:val="00480239"/>
    <w:rPr>
      <w:rFonts w:ascii="Calibri" w:eastAsiaTheme="minorHAnsi" w:hAnsi="Calibri" w:cs="Calibri"/>
      <w:sz w:val="22"/>
      <w:szCs w:val="22"/>
      <w:lang w:eastAsia="en-GB"/>
    </w:rPr>
  </w:style>
  <w:style w:type="character" w:customStyle="1" w:styleId="contentpasted0">
    <w:name w:val="contentpasted0"/>
    <w:basedOn w:val="DefaultParagraphFont"/>
    <w:rsid w:val="00480239"/>
  </w:style>
  <w:style w:type="paragraph" w:customStyle="1" w:styleId="paragraph">
    <w:name w:val="paragraph"/>
    <w:basedOn w:val="Normal"/>
    <w:rsid w:val="00EB1ED8"/>
    <w:pPr>
      <w:spacing w:before="100" w:beforeAutospacing="1" w:after="100" w:afterAutospacing="1"/>
    </w:pPr>
    <w:rPr>
      <w:sz w:val="24"/>
      <w:szCs w:val="24"/>
      <w:lang w:eastAsia="en-GB"/>
    </w:rPr>
  </w:style>
  <w:style w:type="character" w:customStyle="1" w:styleId="normaltextrun">
    <w:name w:val="normaltextrun"/>
    <w:basedOn w:val="DefaultParagraphFont"/>
    <w:rsid w:val="00EB1ED8"/>
  </w:style>
  <w:style w:type="paragraph" w:styleId="ListBullet">
    <w:name w:val="List Bullet"/>
    <w:basedOn w:val="Normal"/>
    <w:uiPriority w:val="1"/>
    <w:unhideWhenUsed/>
    <w:qFormat/>
    <w:rsid w:val="0081013F"/>
    <w:pPr>
      <w:numPr>
        <w:numId w:val="41"/>
      </w:numPr>
      <w:spacing w:after="120" w:line="240" w:lineRule="atLeast"/>
    </w:pPr>
    <w:rPr>
      <w:rFonts w:ascii="Arial" w:hAnsi="Arial"/>
      <w:sz w:val="18"/>
      <w:szCs w:val="18"/>
    </w:rPr>
  </w:style>
  <w:style w:type="paragraph" w:styleId="ListBullet2">
    <w:name w:val="List Bullet 2"/>
    <w:basedOn w:val="Normal"/>
    <w:uiPriority w:val="1"/>
    <w:unhideWhenUsed/>
    <w:qFormat/>
    <w:rsid w:val="0081013F"/>
    <w:pPr>
      <w:numPr>
        <w:ilvl w:val="1"/>
        <w:numId w:val="41"/>
      </w:numPr>
      <w:spacing w:after="120" w:line="240" w:lineRule="atLeast"/>
    </w:pPr>
    <w:rPr>
      <w:rFonts w:ascii="Arial" w:hAnsi="Arial"/>
      <w:sz w:val="18"/>
      <w:szCs w:val="18"/>
    </w:rPr>
  </w:style>
  <w:style w:type="paragraph" w:styleId="ListBullet3">
    <w:name w:val="List Bullet 3"/>
    <w:basedOn w:val="Normal"/>
    <w:uiPriority w:val="1"/>
    <w:unhideWhenUsed/>
    <w:qFormat/>
    <w:rsid w:val="0081013F"/>
    <w:pPr>
      <w:numPr>
        <w:ilvl w:val="2"/>
        <w:numId w:val="41"/>
      </w:numPr>
      <w:spacing w:after="120" w:line="240" w:lineRule="atLeast"/>
      <w:contextualSpacing/>
    </w:pPr>
    <w:rPr>
      <w:rFonts w:ascii="Arial" w:hAnsi="Arial"/>
      <w:sz w:val="18"/>
      <w:szCs w:val="18"/>
    </w:rPr>
  </w:style>
  <w:style w:type="numbering" w:customStyle="1" w:styleId="GTListBullet">
    <w:name w:val="GT List Bullet"/>
    <w:uiPriority w:val="99"/>
    <w:rsid w:val="0081013F"/>
    <w:pPr>
      <w:numPr>
        <w:numId w:val="42"/>
      </w:numPr>
    </w:pPr>
  </w:style>
  <w:style w:type="character" w:styleId="Mention">
    <w:name w:val="Mention"/>
    <w:basedOn w:val="DefaultParagraphFont"/>
    <w:uiPriority w:val="99"/>
    <w:unhideWhenUsed/>
    <w:rsid w:val="0053527B"/>
    <w:rPr>
      <w:color w:val="2B579A"/>
      <w:shd w:val="clear" w:color="auto" w:fill="E1DFDD"/>
    </w:rPr>
  </w:style>
  <w:style w:type="paragraph" w:customStyle="1" w:styleId="ydp932367c8yiv3506723627msonormal">
    <w:name w:val="ydp932367c8yiv3506723627msonormal"/>
    <w:basedOn w:val="Normal"/>
    <w:uiPriority w:val="99"/>
    <w:semiHidden/>
    <w:rsid w:val="002A7A9B"/>
    <w:pPr>
      <w:spacing w:before="100" w:beforeAutospacing="1" w:after="100" w:afterAutospacing="1"/>
    </w:pPr>
    <w:rPr>
      <w:rFonts w:ascii="Calibri" w:eastAsiaTheme="minorHAnsi" w:hAnsi="Calibri" w:cs="Calibri"/>
      <w:sz w:val="22"/>
      <w:szCs w:val="22"/>
      <w:lang w:eastAsia="en-GB"/>
    </w:rPr>
  </w:style>
  <w:style w:type="table" w:customStyle="1" w:styleId="TableGrid1">
    <w:name w:val="Table Grid1"/>
    <w:basedOn w:val="TableNormal"/>
    <w:uiPriority w:val="39"/>
    <w:rsid w:val="005B3B5B"/>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5171">
      <w:bodyDiv w:val="1"/>
      <w:marLeft w:val="0"/>
      <w:marRight w:val="0"/>
      <w:marTop w:val="0"/>
      <w:marBottom w:val="0"/>
      <w:divBdr>
        <w:top w:val="none" w:sz="0" w:space="0" w:color="auto"/>
        <w:left w:val="none" w:sz="0" w:space="0" w:color="auto"/>
        <w:bottom w:val="none" w:sz="0" w:space="0" w:color="auto"/>
        <w:right w:val="none" w:sz="0" w:space="0" w:color="auto"/>
      </w:divBdr>
    </w:div>
    <w:div w:id="174855360">
      <w:bodyDiv w:val="1"/>
      <w:marLeft w:val="0"/>
      <w:marRight w:val="0"/>
      <w:marTop w:val="0"/>
      <w:marBottom w:val="0"/>
      <w:divBdr>
        <w:top w:val="none" w:sz="0" w:space="0" w:color="auto"/>
        <w:left w:val="none" w:sz="0" w:space="0" w:color="auto"/>
        <w:bottom w:val="none" w:sz="0" w:space="0" w:color="auto"/>
        <w:right w:val="none" w:sz="0" w:space="0" w:color="auto"/>
      </w:divBdr>
    </w:div>
    <w:div w:id="197134531">
      <w:bodyDiv w:val="1"/>
      <w:marLeft w:val="0"/>
      <w:marRight w:val="0"/>
      <w:marTop w:val="0"/>
      <w:marBottom w:val="0"/>
      <w:divBdr>
        <w:top w:val="none" w:sz="0" w:space="0" w:color="auto"/>
        <w:left w:val="none" w:sz="0" w:space="0" w:color="auto"/>
        <w:bottom w:val="none" w:sz="0" w:space="0" w:color="auto"/>
        <w:right w:val="none" w:sz="0" w:space="0" w:color="auto"/>
      </w:divBdr>
    </w:div>
    <w:div w:id="245462587">
      <w:bodyDiv w:val="1"/>
      <w:marLeft w:val="0"/>
      <w:marRight w:val="0"/>
      <w:marTop w:val="0"/>
      <w:marBottom w:val="0"/>
      <w:divBdr>
        <w:top w:val="none" w:sz="0" w:space="0" w:color="auto"/>
        <w:left w:val="none" w:sz="0" w:space="0" w:color="auto"/>
        <w:bottom w:val="none" w:sz="0" w:space="0" w:color="auto"/>
        <w:right w:val="none" w:sz="0" w:space="0" w:color="auto"/>
      </w:divBdr>
    </w:div>
    <w:div w:id="261840591">
      <w:bodyDiv w:val="1"/>
      <w:marLeft w:val="0"/>
      <w:marRight w:val="0"/>
      <w:marTop w:val="0"/>
      <w:marBottom w:val="0"/>
      <w:divBdr>
        <w:top w:val="none" w:sz="0" w:space="0" w:color="auto"/>
        <w:left w:val="none" w:sz="0" w:space="0" w:color="auto"/>
        <w:bottom w:val="none" w:sz="0" w:space="0" w:color="auto"/>
        <w:right w:val="none" w:sz="0" w:space="0" w:color="auto"/>
      </w:divBdr>
      <w:divsChild>
        <w:div w:id="12346873">
          <w:marLeft w:val="0"/>
          <w:marRight w:val="0"/>
          <w:marTop w:val="0"/>
          <w:marBottom w:val="0"/>
          <w:divBdr>
            <w:top w:val="none" w:sz="0" w:space="0" w:color="auto"/>
            <w:left w:val="none" w:sz="0" w:space="0" w:color="auto"/>
            <w:bottom w:val="none" w:sz="0" w:space="0" w:color="auto"/>
            <w:right w:val="none" w:sz="0" w:space="0" w:color="auto"/>
          </w:divBdr>
        </w:div>
        <w:div w:id="15423411">
          <w:marLeft w:val="0"/>
          <w:marRight w:val="0"/>
          <w:marTop w:val="0"/>
          <w:marBottom w:val="0"/>
          <w:divBdr>
            <w:top w:val="none" w:sz="0" w:space="0" w:color="auto"/>
            <w:left w:val="none" w:sz="0" w:space="0" w:color="auto"/>
            <w:bottom w:val="none" w:sz="0" w:space="0" w:color="auto"/>
            <w:right w:val="none" w:sz="0" w:space="0" w:color="auto"/>
          </w:divBdr>
        </w:div>
        <w:div w:id="26028084">
          <w:marLeft w:val="0"/>
          <w:marRight w:val="0"/>
          <w:marTop w:val="0"/>
          <w:marBottom w:val="0"/>
          <w:divBdr>
            <w:top w:val="none" w:sz="0" w:space="0" w:color="auto"/>
            <w:left w:val="none" w:sz="0" w:space="0" w:color="auto"/>
            <w:bottom w:val="none" w:sz="0" w:space="0" w:color="auto"/>
            <w:right w:val="none" w:sz="0" w:space="0" w:color="auto"/>
          </w:divBdr>
        </w:div>
        <w:div w:id="72163359">
          <w:marLeft w:val="0"/>
          <w:marRight w:val="0"/>
          <w:marTop w:val="0"/>
          <w:marBottom w:val="0"/>
          <w:divBdr>
            <w:top w:val="none" w:sz="0" w:space="0" w:color="auto"/>
            <w:left w:val="none" w:sz="0" w:space="0" w:color="auto"/>
            <w:bottom w:val="none" w:sz="0" w:space="0" w:color="auto"/>
            <w:right w:val="none" w:sz="0" w:space="0" w:color="auto"/>
          </w:divBdr>
          <w:divsChild>
            <w:div w:id="487944661">
              <w:marLeft w:val="0"/>
              <w:marRight w:val="0"/>
              <w:marTop w:val="0"/>
              <w:marBottom w:val="0"/>
              <w:divBdr>
                <w:top w:val="none" w:sz="0" w:space="0" w:color="auto"/>
                <w:left w:val="none" w:sz="0" w:space="0" w:color="auto"/>
                <w:bottom w:val="none" w:sz="0" w:space="0" w:color="auto"/>
                <w:right w:val="none" w:sz="0" w:space="0" w:color="auto"/>
              </w:divBdr>
            </w:div>
            <w:div w:id="765032169">
              <w:marLeft w:val="0"/>
              <w:marRight w:val="0"/>
              <w:marTop w:val="0"/>
              <w:marBottom w:val="0"/>
              <w:divBdr>
                <w:top w:val="none" w:sz="0" w:space="0" w:color="auto"/>
                <w:left w:val="none" w:sz="0" w:space="0" w:color="auto"/>
                <w:bottom w:val="none" w:sz="0" w:space="0" w:color="auto"/>
                <w:right w:val="none" w:sz="0" w:space="0" w:color="auto"/>
              </w:divBdr>
            </w:div>
            <w:div w:id="1718122765">
              <w:marLeft w:val="0"/>
              <w:marRight w:val="0"/>
              <w:marTop w:val="0"/>
              <w:marBottom w:val="0"/>
              <w:divBdr>
                <w:top w:val="none" w:sz="0" w:space="0" w:color="auto"/>
                <w:left w:val="none" w:sz="0" w:space="0" w:color="auto"/>
                <w:bottom w:val="none" w:sz="0" w:space="0" w:color="auto"/>
                <w:right w:val="none" w:sz="0" w:space="0" w:color="auto"/>
              </w:divBdr>
            </w:div>
            <w:div w:id="1879316129">
              <w:marLeft w:val="0"/>
              <w:marRight w:val="0"/>
              <w:marTop w:val="0"/>
              <w:marBottom w:val="0"/>
              <w:divBdr>
                <w:top w:val="none" w:sz="0" w:space="0" w:color="auto"/>
                <w:left w:val="none" w:sz="0" w:space="0" w:color="auto"/>
                <w:bottom w:val="none" w:sz="0" w:space="0" w:color="auto"/>
                <w:right w:val="none" w:sz="0" w:space="0" w:color="auto"/>
              </w:divBdr>
            </w:div>
          </w:divsChild>
        </w:div>
        <w:div w:id="171653975">
          <w:marLeft w:val="0"/>
          <w:marRight w:val="0"/>
          <w:marTop w:val="0"/>
          <w:marBottom w:val="0"/>
          <w:divBdr>
            <w:top w:val="none" w:sz="0" w:space="0" w:color="auto"/>
            <w:left w:val="none" w:sz="0" w:space="0" w:color="auto"/>
            <w:bottom w:val="none" w:sz="0" w:space="0" w:color="auto"/>
            <w:right w:val="none" w:sz="0" w:space="0" w:color="auto"/>
          </w:divBdr>
        </w:div>
        <w:div w:id="220021772">
          <w:marLeft w:val="0"/>
          <w:marRight w:val="0"/>
          <w:marTop w:val="0"/>
          <w:marBottom w:val="0"/>
          <w:divBdr>
            <w:top w:val="none" w:sz="0" w:space="0" w:color="auto"/>
            <w:left w:val="none" w:sz="0" w:space="0" w:color="auto"/>
            <w:bottom w:val="none" w:sz="0" w:space="0" w:color="auto"/>
            <w:right w:val="none" w:sz="0" w:space="0" w:color="auto"/>
          </w:divBdr>
        </w:div>
        <w:div w:id="222178776">
          <w:marLeft w:val="0"/>
          <w:marRight w:val="0"/>
          <w:marTop w:val="0"/>
          <w:marBottom w:val="0"/>
          <w:divBdr>
            <w:top w:val="none" w:sz="0" w:space="0" w:color="auto"/>
            <w:left w:val="none" w:sz="0" w:space="0" w:color="auto"/>
            <w:bottom w:val="none" w:sz="0" w:space="0" w:color="auto"/>
            <w:right w:val="none" w:sz="0" w:space="0" w:color="auto"/>
          </w:divBdr>
        </w:div>
        <w:div w:id="240481407">
          <w:marLeft w:val="0"/>
          <w:marRight w:val="0"/>
          <w:marTop w:val="0"/>
          <w:marBottom w:val="0"/>
          <w:divBdr>
            <w:top w:val="none" w:sz="0" w:space="0" w:color="auto"/>
            <w:left w:val="none" w:sz="0" w:space="0" w:color="auto"/>
            <w:bottom w:val="none" w:sz="0" w:space="0" w:color="auto"/>
            <w:right w:val="none" w:sz="0" w:space="0" w:color="auto"/>
          </w:divBdr>
        </w:div>
        <w:div w:id="253826743">
          <w:marLeft w:val="0"/>
          <w:marRight w:val="0"/>
          <w:marTop w:val="0"/>
          <w:marBottom w:val="0"/>
          <w:divBdr>
            <w:top w:val="none" w:sz="0" w:space="0" w:color="auto"/>
            <w:left w:val="none" w:sz="0" w:space="0" w:color="auto"/>
            <w:bottom w:val="none" w:sz="0" w:space="0" w:color="auto"/>
            <w:right w:val="none" w:sz="0" w:space="0" w:color="auto"/>
          </w:divBdr>
        </w:div>
        <w:div w:id="264189523">
          <w:marLeft w:val="0"/>
          <w:marRight w:val="0"/>
          <w:marTop w:val="0"/>
          <w:marBottom w:val="0"/>
          <w:divBdr>
            <w:top w:val="none" w:sz="0" w:space="0" w:color="auto"/>
            <w:left w:val="none" w:sz="0" w:space="0" w:color="auto"/>
            <w:bottom w:val="none" w:sz="0" w:space="0" w:color="auto"/>
            <w:right w:val="none" w:sz="0" w:space="0" w:color="auto"/>
          </w:divBdr>
        </w:div>
        <w:div w:id="284704745">
          <w:marLeft w:val="0"/>
          <w:marRight w:val="0"/>
          <w:marTop w:val="0"/>
          <w:marBottom w:val="0"/>
          <w:divBdr>
            <w:top w:val="none" w:sz="0" w:space="0" w:color="auto"/>
            <w:left w:val="none" w:sz="0" w:space="0" w:color="auto"/>
            <w:bottom w:val="none" w:sz="0" w:space="0" w:color="auto"/>
            <w:right w:val="none" w:sz="0" w:space="0" w:color="auto"/>
          </w:divBdr>
        </w:div>
        <w:div w:id="319044066">
          <w:marLeft w:val="0"/>
          <w:marRight w:val="0"/>
          <w:marTop w:val="0"/>
          <w:marBottom w:val="0"/>
          <w:divBdr>
            <w:top w:val="none" w:sz="0" w:space="0" w:color="auto"/>
            <w:left w:val="none" w:sz="0" w:space="0" w:color="auto"/>
            <w:bottom w:val="none" w:sz="0" w:space="0" w:color="auto"/>
            <w:right w:val="none" w:sz="0" w:space="0" w:color="auto"/>
          </w:divBdr>
        </w:div>
        <w:div w:id="357892405">
          <w:marLeft w:val="0"/>
          <w:marRight w:val="0"/>
          <w:marTop w:val="0"/>
          <w:marBottom w:val="0"/>
          <w:divBdr>
            <w:top w:val="none" w:sz="0" w:space="0" w:color="auto"/>
            <w:left w:val="none" w:sz="0" w:space="0" w:color="auto"/>
            <w:bottom w:val="none" w:sz="0" w:space="0" w:color="auto"/>
            <w:right w:val="none" w:sz="0" w:space="0" w:color="auto"/>
          </w:divBdr>
        </w:div>
        <w:div w:id="371225547">
          <w:marLeft w:val="0"/>
          <w:marRight w:val="0"/>
          <w:marTop w:val="0"/>
          <w:marBottom w:val="0"/>
          <w:divBdr>
            <w:top w:val="none" w:sz="0" w:space="0" w:color="auto"/>
            <w:left w:val="none" w:sz="0" w:space="0" w:color="auto"/>
            <w:bottom w:val="none" w:sz="0" w:space="0" w:color="auto"/>
            <w:right w:val="none" w:sz="0" w:space="0" w:color="auto"/>
          </w:divBdr>
          <w:divsChild>
            <w:div w:id="1425028927">
              <w:marLeft w:val="0"/>
              <w:marRight w:val="0"/>
              <w:marTop w:val="0"/>
              <w:marBottom w:val="0"/>
              <w:divBdr>
                <w:top w:val="none" w:sz="0" w:space="0" w:color="auto"/>
                <w:left w:val="none" w:sz="0" w:space="0" w:color="auto"/>
                <w:bottom w:val="none" w:sz="0" w:space="0" w:color="auto"/>
                <w:right w:val="none" w:sz="0" w:space="0" w:color="auto"/>
              </w:divBdr>
            </w:div>
          </w:divsChild>
        </w:div>
        <w:div w:id="389234758">
          <w:marLeft w:val="0"/>
          <w:marRight w:val="0"/>
          <w:marTop w:val="0"/>
          <w:marBottom w:val="0"/>
          <w:divBdr>
            <w:top w:val="none" w:sz="0" w:space="0" w:color="auto"/>
            <w:left w:val="none" w:sz="0" w:space="0" w:color="auto"/>
            <w:bottom w:val="none" w:sz="0" w:space="0" w:color="auto"/>
            <w:right w:val="none" w:sz="0" w:space="0" w:color="auto"/>
          </w:divBdr>
        </w:div>
        <w:div w:id="406851002">
          <w:marLeft w:val="0"/>
          <w:marRight w:val="0"/>
          <w:marTop w:val="0"/>
          <w:marBottom w:val="0"/>
          <w:divBdr>
            <w:top w:val="none" w:sz="0" w:space="0" w:color="auto"/>
            <w:left w:val="none" w:sz="0" w:space="0" w:color="auto"/>
            <w:bottom w:val="none" w:sz="0" w:space="0" w:color="auto"/>
            <w:right w:val="none" w:sz="0" w:space="0" w:color="auto"/>
          </w:divBdr>
          <w:divsChild>
            <w:div w:id="498547373">
              <w:marLeft w:val="0"/>
              <w:marRight w:val="0"/>
              <w:marTop w:val="0"/>
              <w:marBottom w:val="0"/>
              <w:divBdr>
                <w:top w:val="none" w:sz="0" w:space="0" w:color="auto"/>
                <w:left w:val="none" w:sz="0" w:space="0" w:color="auto"/>
                <w:bottom w:val="none" w:sz="0" w:space="0" w:color="auto"/>
                <w:right w:val="none" w:sz="0" w:space="0" w:color="auto"/>
              </w:divBdr>
            </w:div>
          </w:divsChild>
        </w:div>
        <w:div w:id="443620682">
          <w:marLeft w:val="0"/>
          <w:marRight w:val="0"/>
          <w:marTop w:val="0"/>
          <w:marBottom w:val="0"/>
          <w:divBdr>
            <w:top w:val="none" w:sz="0" w:space="0" w:color="auto"/>
            <w:left w:val="none" w:sz="0" w:space="0" w:color="auto"/>
            <w:bottom w:val="none" w:sz="0" w:space="0" w:color="auto"/>
            <w:right w:val="none" w:sz="0" w:space="0" w:color="auto"/>
          </w:divBdr>
        </w:div>
        <w:div w:id="520819851">
          <w:marLeft w:val="0"/>
          <w:marRight w:val="0"/>
          <w:marTop w:val="0"/>
          <w:marBottom w:val="0"/>
          <w:divBdr>
            <w:top w:val="none" w:sz="0" w:space="0" w:color="auto"/>
            <w:left w:val="none" w:sz="0" w:space="0" w:color="auto"/>
            <w:bottom w:val="none" w:sz="0" w:space="0" w:color="auto"/>
            <w:right w:val="none" w:sz="0" w:space="0" w:color="auto"/>
          </w:divBdr>
        </w:div>
        <w:div w:id="558050828">
          <w:marLeft w:val="0"/>
          <w:marRight w:val="0"/>
          <w:marTop w:val="0"/>
          <w:marBottom w:val="0"/>
          <w:divBdr>
            <w:top w:val="none" w:sz="0" w:space="0" w:color="auto"/>
            <w:left w:val="none" w:sz="0" w:space="0" w:color="auto"/>
            <w:bottom w:val="none" w:sz="0" w:space="0" w:color="auto"/>
            <w:right w:val="none" w:sz="0" w:space="0" w:color="auto"/>
          </w:divBdr>
        </w:div>
        <w:div w:id="558251080">
          <w:marLeft w:val="0"/>
          <w:marRight w:val="0"/>
          <w:marTop w:val="0"/>
          <w:marBottom w:val="0"/>
          <w:divBdr>
            <w:top w:val="none" w:sz="0" w:space="0" w:color="auto"/>
            <w:left w:val="none" w:sz="0" w:space="0" w:color="auto"/>
            <w:bottom w:val="none" w:sz="0" w:space="0" w:color="auto"/>
            <w:right w:val="none" w:sz="0" w:space="0" w:color="auto"/>
          </w:divBdr>
        </w:div>
        <w:div w:id="576015859">
          <w:marLeft w:val="0"/>
          <w:marRight w:val="0"/>
          <w:marTop w:val="0"/>
          <w:marBottom w:val="0"/>
          <w:divBdr>
            <w:top w:val="none" w:sz="0" w:space="0" w:color="auto"/>
            <w:left w:val="none" w:sz="0" w:space="0" w:color="auto"/>
            <w:bottom w:val="none" w:sz="0" w:space="0" w:color="auto"/>
            <w:right w:val="none" w:sz="0" w:space="0" w:color="auto"/>
          </w:divBdr>
          <w:divsChild>
            <w:div w:id="1025443484">
              <w:marLeft w:val="0"/>
              <w:marRight w:val="0"/>
              <w:marTop w:val="0"/>
              <w:marBottom w:val="0"/>
              <w:divBdr>
                <w:top w:val="none" w:sz="0" w:space="0" w:color="auto"/>
                <w:left w:val="none" w:sz="0" w:space="0" w:color="auto"/>
                <w:bottom w:val="none" w:sz="0" w:space="0" w:color="auto"/>
                <w:right w:val="none" w:sz="0" w:space="0" w:color="auto"/>
              </w:divBdr>
            </w:div>
          </w:divsChild>
        </w:div>
        <w:div w:id="582111859">
          <w:marLeft w:val="0"/>
          <w:marRight w:val="0"/>
          <w:marTop w:val="0"/>
          <w:marBottom w:val="0"/>
          <w:divBdr>
            <w:top w:val="none" w:sz="0" w:space="0" w:color="auto"/>
            <w:left w:val="none" w:sz="0" w:space="0" w:color="auto"/>
            <w:bottom w:val="none" w:sz="0" w:space="0" w:color="auto"/>
            <w:right w:val="none" w:sz="0" w:space="0" w:color="auto"/>
          </w:divBdr>
        </w:div>
        <w:div w:id="583733315">
          <w:marLeft w:val="0"/>
          <w:marRight w:val="0"/>
          <w:marTop w:val="0"/>
          <w:marBottom w:val="0"/>
          <w:divBdr>
            <w:top w:val="none" w:sz="0" w:space="0" w:color="auto"/>
            <w:left w:val="none" w:sz="0" w:space="0" w:color="auto"/>
            <w:bottom w:val="none" w:sz="0" w:space="0" w:color="auto"/>
            <w:right w:val="none" w:sz="0" w:space="0" w:color="auto"/>
          </w:divBdr>
        </w:div>
        <w:div w:id="595141483">
          <w:marLeft w:val="0"/>
          <w:marRight w:val="0"/>
          <w:marTop w:val="0"/>
          <w:marBottom w:val="0"/>
          <w:divBdr>
            <w:top w:val="none" w:sz="0" w:space="0" w:color="auto"/>
            <w:left w:val="none" w:sz="0" w:space="0" w:color="auto"/>
            <w:bottom w:val="none" w:sz="0" w:space="0" w:color="auto"/>
            <w:right w:val="none" w:sz="0" w:space="0" w:color="auto"/>
          </w:divBdr>
        </w:div>
        <w:div w:id="612517926">
          <w:marLeft w:val="0"/>
          <w:marRight w:val="0"/>
          <w:marTop w:val="0"/>
          <w:marBottom w:val="0"/>
          <w:divBdr>
            <w:top w:val="none" w:sz="0" w:space="0" w:color="auto"/>
            <w:left w:val="none" w:sz="0" w:space="0" w:color="auto"/>
            <w:bottom w:val="none" w:sz="0" w:space="0" w:color="auto"/>
            <w:right w:val="none" w:sz="0" w:space="0" w:color="auto"/>
          </w:divBdr>
        </w:div>
        <w:div w:id="628819908">
          <w:marLeft w:val="0"/>
          <w:marRight w:val="0"/>
          <w:marTop w:val="0"/>
          <w:marBottom w:val="0"/>
          <w:divBdr>
            <w:top w:val="none" w:sz="0" w:space="0" w:color="auto"/>
            <w:left w:val="none" w:sz="0" w:space="0" w:color="auto"/>
            <w:bottom w:val="none" w:sz="0" w:space="0" w:color="auto"/>
            <w:right w:val="none" w:sz="0" w:space="0" w:color="auto"/>
          </w:divBdr>
        </w:div>
        <w:div w:id="636179506">
          <w:marLeft w:val="0"/>
          <w:marRight w:val="0"/>
          <w:marTop w:val="0"/>
          <w:marBottom w:val="0"/>
          <w:divBdr>
            <w:top w:val="none" w:sz="0" w:space="0" w:color="auto"/>
            <w:left w:val="none" w:sz="0" w:space="0" w:color="auto"/>
            <w:bottom w:val="none" w:sz="0" w:space="0" w:color="auto"/>
            <w:right w:val="none" w:sz="0" w:space="0" w:color="auto"/>
          </w:divBdr>
        </w:div>
        <w:div w:id="639925004">
          <w:marLeft w:val="0"/>
          <w:marRight w:val="0"/>
          <w:marTop w:val="0"/>
          <w:marBottom w:val="0"/>
          <w:divBdr>
            <w:top w:val="none" w:sz="0" w:space="0" w:color="auto"/>
            <w:left w:val="none" w:sz="0" w:space="0" w:color="auto"/>
            <w:bottom w:val="none" w:sz="0" w:space="0" w:color="auto"/>
            <w:right w:val="none" w:sz="0" w:space="0" w:color="auto"/>
          </w:divBdr>
        </w:div>
        <w:div w:id="647782351">
          <w:marLeft w:val="0"/>
          <w:marRight w:val="0"/>
          <w:marTop w:val="0"/>
          <w:marBottom w:val="0"/>
          <w:divBdr>
            <w:top w:val="none" w:sz="0" w:space="0" w:color="auto"/>
            <w:left w:val="none" w:sz="0" w:space="0" w:color="auto"/>
            <w:bottom w:val="none" w:sz="0" w:space="0" w:color="auto"/>
            <w:right w:val="none" w:sz="0" w:space="0" w:color="auto"/>
          </w:divBdr>
        </w:div>
        <w:div w:id="678393056">
          <w:marLeft w:val="0"/>
          <w:marRight w:val="0"/>
          <w:marTop w:val="0"/>
          <w:marBottom w:val="0"/>
          <w:divBdr>
            <w:top w:val="none" w:sz="0" w:space="0" w:color="auto"/>
            <w:left w:val="none" w:sz="0" w:space="0" w:color="auto"/>
            <w:bottom w:val="none" w:sz="0" w:space="0" w:color="auto"/>
            <w:right w:val="none" w:sz="0" w:space="0" w:color="auto"/>
          </w:divBdr>
        </w:div>
        <w:div w:id="715276565">
          <w:marLeft w:val="0"/>
          <w:marRight w:val="0"/>
          <w:marTop w:val="0"/>
          <w:marBottom w:val="0"/>
          <w:divBdr>
            <w:top w:val="none" w:sz="0" w:space="0" w:color="auto"/>
            <w:left w:val="none" w:sz="0" w:space="0" w:color="auto"/>
            <w:bottom w:val="none" w:sz="0" w:space="0" w:color="auto"/>
            <w:right w:val="none" w:sz="0" w:space="0" w:color="auto"/>
          </w:divBdr>
        </w:div>
        <w:div w:id="737558770">
          <w:marLeft w:val="0"/>
          <w:marRight w:val="0"/>
          <w:marTop w:val="0"/>
          <w:marBottom w:val="0"/>
          <w:divBdr>
            <w:top w:val="none" w:sz="0" w:space="0" w:color="auto"/>
            <w:left w:val="none" w:sz="0" w:space="0" w:color="auto"/>
            <w:bottom w:val="none" w:sz="0" w:space="0" w:color="auto"/>
            <w:right w:val="none" w:sz="0" w:space="0" w:color="auto"/>
          </w:divBdr>
          <w:divsChild>
            <w:div w:id="236671294">
              <w:marLeft w:val="0"/>
              <w:marRight w:val="0"/>
              <w:marTop w:val="0"/>
              <w:marBottom w:val="0"/>
              <w:divBdr>
                <w:top w:val="none" w:sz="0" w:space="0" w:color="auto"/>
                <w:left w:val="none" w:sz="0" w:space="0" w:color="auto"/>
                <w:bottom w:val="none" w:sz="0" w:space="0" w:color="auto"/>
                <w:right w:val="none" w:sz="0" w:space="0" w:color="auto"/>
              </w:divBdr>
            </w:div>
            <w:div w:id="317730536">
              <w:marLeft w:val="0"/>
              <w:marRight w:val="0"/>
              <w:marTop w:val="0"/>
              <w:marBottom w:val="0"/>
              <w:divBdr>
                <w:top w:val="none" w:sz="0" w:space="0" w:color="auto"/>
                <w:left w:val="none" w:sz="0" w:space="0" w:color="auto"/>
                <w:bottom w:val="none" w:sz="0" w:space="0" w:color="auto"/>
                <w:right w:val="none" w:sz="0" w:space="0" w:color="auto"/>
              </w:divBdr>
            </w:div>
            <w:div w:id="387724293">
              <w:marLeft w:val="0"/>
              <w:marRight w:val="0"/>
              <w:marTop w:val="0"/>
              <w:marBottom w:val="0"/>
              <w:divBdr>
                <w:top w:val="none" w:sz="0" w:space="0" w:color="auto"/>
                <w:left w:val="none" w:sz="0" w:space="0" w:color="auto"/>
                <w:bottom w:val="none" w:sz="0" w:space="0" w:color="auto"/>
                <w:right w:val="none" w:sz="0" w:space="0" w:color="auto"/>
              </w:divBdr>
            </w:div>
            <w:div w:id="463423906">
              <w:marLeft w:val="0"/>
              <w:marRight w:val="0"/>
              <w:marTop w:val="0"/>
              <w:marBottom w:val="0"/>
              <w:divBdr>
                <w:top w:val="none" w:sz="0" w:space="0" w:color="auto"/>
                <w:left w:val="none" w:sz="0" w:space="0" w:color="auto"/>
                <w:bottom w:val="none" w:sz="0" w:space="0" w:color="auto"/>
                <w:right w:val="none" w:sz="0" w:space="0" w:color="auto"/>
              </w:divBdr>
            </w:div>
            <w:div w:id="1942763788">
              <w:marLeft w:val="0"/>
              <w:marRight w:val="0"/>
              <w:marTop w:val="0"/>
              <w:marBottom w:val="0"/>
              <w:divBdr>
                <w:top w:val="none" w:sz="0" w:space="0" w:color="auto"/>
                <w:left w:val="none" w:sz="0" w:space="0" w:color="auto"/>
                <w:bottom w:val="none" w:sz="0" w:space="0" w:color="auto"/>
                <w:right w:val="none" w:sz="0" w:space="0" w:color="auto"/>
              </w:divBdr>
            </w:div>
          </w:divsChild>
        </w:div>
        <w:div w:id="749087361">
          <w:marLeft w:val="0"/>
          <w:marRight w:val="0"/>
          <w:marTop w:val="0"/>
          <w:marBottom w:val="0"/>
          <w:divBdr>
            <w:top w:val="none" w:sz="0" w:space="0" w:color="auto"/>
            <w:left w:val="none" w:sz="0" w:space="0" w:color="auto"/>
            <w:bottom w:val="none" w:sz="0" w:space="0" w:color="auto"/>
            <w:right w:val="none" w:sz="0" w:space="0" w:color="auto"/>
          </w:divBdr>
        </w:div>
        <w:div w:id="759912439">
          <w:marLeft w:val="0"/>
          <w:marRight w:val="0"/>
          <w:marTop w:val="0"/>
          <w:marBottom w:val="0"/>
          <w:divBdr>
            <w:top w:val="none" w:sz="0" w:space="0" w:color="auto"/>
            <w:left w:val="none" w:sz="0" w:space="0" w:color="auto"/>
            <w:bottom w:val="none" w:sz="0" w:space="0" w:color="auto"/>
            <w:right w:val="none" w:sz="0" w:space="0" w:color="auto"/>
          </w:divBdr>
        </w:div>
        <w:div w:id="763264117">
          <w:marLeft w:val="0"/>
          <w:marRight w:val="0"/>
          <w:marTop w:val="0"/>
          <w:marBottom w:val="0"/>
          <w:divBdr>
            <w:top w:val="none" w:sz="0" w:space="0" w:color="auto"/>
            <w:left w:val="none" w:sz="0" w:space="0" w:color="auto"/>
            <w:bottom w:val="none" w:sz="0" w:space="0" w:color="auto"/>
            <w:right w:val="none" w:sz="0" w:space="0" w:color="auto"/>
          </w:divBdr>
          <w:divsChild>
            <w:div w:id="359207048">
              <w:marLeft w:val="0"/>
              <w:marRight w:val="0"/>
              <w:marTop w:val="0"/>
              <w:marBottom w:val="0"/>
              <w:divBdr>
                <w:top w:val="none" w:sz="0" w:space="0" w:color="auto"/>
                <w:left w:val="none" w:sz="0" w:space="0" w:color="auto"/>
                <w:bottom w:val="none" w:sz="0" w:space="0" w:color="auto"/>
                <w:right w:val="none" w:sz="0" w:space="0" w:color="auto"/>
              </w:divBdr>
            </w:div>
            <w:div w:id="943221985">
              <w:marLeft w:val="0"/>
              <w:marRight w:val="0"/>
              <w:marTop w:val="0"/>
              <w:marBottom w:val="0"/>
              <w:divBdr>
                <w:top w:val="none" w:sz="0" w:space="0" w:color="auto"/>
                <w:left w:val="none" w:sz="0" w:space="0" w:color="auto"/>
                <w:bottom w:val="none" w:sz="0" w:space="0" w:color="auto"/>
                <w:right w:val="none" w:sz="0" w:space="0" w:color="auto"/>
              </w:divBdr>
            </w:div>
            <w:div w:id="1103068422">
              <w:marLeft w:val="0"/>
              <w:marRight w:val="0"/>
              <w:marTop w:val="0"/>
              <w:marBottom w:val="0"/>
              <w:divBdr>
                <w:top w:val="none" w:sz="0" w:space="0" w:color="auto"/>
                <w:left w:val="none" w:sz="0" w:space="0" w:color="auto"/>
                <w:bottom w:val="none" w:sz="0" w:space="0" w:color="auto"/>
                <w:right w:val="none" w:sz="0" w:space="0" w:color="auto"/>
              </w:divBdr>
            </w:div>
            <w:div w:id="1782257268">
              <w:marLeft w:val="0"/>
              <w:marRight w:val="0"/>
              <w:marTop w:val="0"/>
              <w:marBottom w:val="0"/>
              <w:divBdr>
                <w:top w:val="none" w:sz="0" w:space="0" w:color="auto"/>
                <w:left w:val="none" w:sz="0" w:space="0" w:color="auto"/>
                <w:bottom w:val="none" w:sz="0" w:space="0" w:color="auto"/>
                <w:right w:val="none" w:sz="0" w:space="0" w:color="auto"/>
              </w:divBdr>
            </w:div>
            <w:div w:id="1791583440">
              <w:marLeft w:val="0"/>
              <w:marRight w:val="0"/>
              <w:marTop w:val="0"/>
              <w:marBottom w:val="0"/>
              <w:divBdr>
                <w:top w:val="none" w:sz="0" w:space="0" w:color="auto"/>
                <w:left w:val="none" w:sz="0" w:space="0" w:color="auto"/>
                <w:bottom w:val="none" w:sz="0" w:space="0" w:color="auto"/>
                <w:right w:val="none" w:sz="0" w:space="0" w:color="auto"/>
              </w:divBdr>
            </w:div>
          </w:divsChild>
        </w:div>
        <w:div w:id="870528715">
          <w:marLeft w:val="0"/>
          <w:marRight w:val="0"/>
          <w:marTop w:val="0"/>
          <w:marBottom w:val="0"/>
          <w:divBdr>
            <w:top w:val="none" w:sz="0" w:space="0" w:color="auto"/>
            <w:left w:val="none" w:sz="0" w:space="0" w:color="auto"/>
            <w:bottom w:val="none" w:sz="0" w:space="0" w:color="auto"/>
            <w:right w:val="none" w:sz="0" w:space="0" w:color="auto"/>
          </w:divBdr>
        </w:div>
        <w:div w:id="877670311">
          <w:marLeft w:val="0"/>
          <w:marRight w:val="0"/>
          <w:marTop w:val="0"/>
          <w:marBottom w:val="0"/>
          <w:divBdr>
            <w:top w:val="none" w:sz="0" w:space="0" w:color="auto"/>
            <w:left w:val="none" w:sz="0" w:space="0" w:color="auto"/>
            <w:bottom w:val="none" w:sz="0" w:space="0" w:color="auto"/>
            <w:right w:val="none" w:sz="0" w:space="0" w:color="auto"/>
          </w:divBdr>
        </w:div>
        <w:div w:id="900873271">
          <w:marLeft w:val="0"/>
          <w:marRight w:val="0"/>
          <w:marTop w:val="0"/>
          <w:marBottom w:val="0"/>
          <w:divBdr>
            <w:top w:val="none" w:sz="0" w:space="0" w:color="auto"/>
            <w:left w:val="none" w:sz="0" w:space="0" w:color="auto"/>
            <w:bottom w:val="none" w:sz="0" w:space="0" w:color="auto"/>
            <w:right w:val="none" w:sz="0" w:space="0" w:color="auto"/>
          </w:divBdr>
        </w:div>
        <w:div w:id="904879379">
          <w:marLeft w:val="0"/>
          <w:marRight w:val="0"/>
          <w:marTop w:val="0"/>
          <w:marBottom w:val="0"/>
          <w:divBdr>
            <w:top w:val="none" w:sz="0" w:space="0" w:color="auto"/>
            <w:left w:val="none" w:sz="0" w:space="0" w:color="auto"/>
            <w:bottom w:val="none" w:sz="0" w:space="0" w:color="auto"/>
            <w:right w:val="none" w:sz="0" w:space="0" w:color="auto"/>
          </w:divBdr>
        </w:div>
        <w:div w:id="912353905">
          <w:marLeft w:val="0"/>
          <w:marRight w:val="0"/>
          <w:marTop w:val="0"/>
          <w:marBottom w:val="0"/>
          <w:divBdr>
            <w:top w:val="none" w:sz="0" w:space="0" w:color="auto"/>
            <w:left w:val="none" w:sz="0" w:space="0" w:color="auto"/>
            <w:bottom w:val="none" w:sz="0" w:space="0" w:color="auto"/>
            <w:right w:val="none" w:sz="0" w:space="0" w:color="auto"/>
          </w:divBdr>
        </w:div>
        <w:div w:id="922447822">
          <w:marLeft w:val="0"/>
          <w:marRight w:val="0"/>
          <w:marTop w:val="0"/>
          <w:marBottom w:val="0"/>
          <w:divBdr>
            <w:top w:val="none" w:sz="0" w:space="0" w:color="auto"/>
            <w:left w:val="none" w:sz="0" w:space="0" w:color="auto"/>
            <w:bottom w:val="none" w:sz="0" w:space="0" w:color="auto"/>
            <w:right w:val="none" w:sz="0" w:space="0" w:color="auto"/>
          </w:divBdr>
        </w:div>
        <w:div w:id="935329796">
          <w:marLeft w:val="0"/>
          <w:marRight w:val="0"/>
          <w:marTop w:val="0"/>
          <w:marBottom w:val="0"/>
          <w:divBdr>
            <w:top w:val="none" w:sz="0" w:space="0" w:color="auto"/>
            <w:left w:val="none" w:sz="0" w:space="0" w:color="auto"/>
            <w:bottom w:val="none" w:sz="0" w:space="0" w:color="auto"/>
            <w:right w:val="none" w:sz="0" w:space="0" w:color="auto"/>
          </w:divBdr>
        </w:div>
        <w:div w:id="937954278">
          <w:marLeft w:val="0"/>
          <w:marRight w:val="0"/>
          <w:marTop w:val="0"/>
          <w:marBottom w:val="0"/>
          <w:divBdr>
            <w:top w:val="none" w:sz="0" w:space="0" w:color="auto"/>
            <w:left w:val="none" w:sz="0" w:space="0" w:color="auto"/>
            <w:bottom w:val="none" w:sz="0" w:space="0" w:color="auto"/>
            <w:right w:val="none" w:sz="0" w:space="0" w:color="auto"/>
          </w:divBdr>
        </w:div>
        <w:div w:id="965886949">
          <w:marLeft w:val="0"/>
          <w:marRight w:val="0"/>
          <w:marTop w:val="0"/>
          <w:marBottom w:val="0"/>
          <w:divBdr>
            <w:top w:val="none" w:sz="0" w:space="0" w:color="auto"/>
            <w:left w:val="none" w:sz="0" w:space="0" w:color="auto"/>
            <w:bottom w:val="none" w:sz="0" w:space="0" w:color="auto"/>
            <w:right w:val="none" w:sz="0" w:space="0" w:color="auto"/>
          </w:divBdr>
          <w:divsChild>
            <w:div w:id="7366958">
              <w:marLeft w:val="0"/>
              <w:marRight w:val="0"/>
              <w:marTop w:val="0"/>
              <w:marBottom w:val="0"/>
              <w:divBdr>
                <w:top w:val="none" w:sz="0" w:space="0" w:color="auto"/>
                <w:left w:val="none" w:sz="0" w:space="0" w:color="auto"/>
                <w:bottom w:val="none" w:sz="0" w:space="0" w:color="auto"/>
                <w:right w:val="none" w:sz="0" w:space="0" w:color="auto"/>
              </w:divBdr>
            </w:div>
            <w:div w:id="789326414">
              <w:marLeft w:val="0"/>
              <w:marRight w:val="0"/>
              <w:marTop w:val="0"/>
              <w:marBottom w:val="0"/>
              <w:divBdr>
                <w:top w:val="none" w:sz="0" w:space="0" w:color="auto"/>
                <w:left w:val="none" w:sz="0" w:space="0" w:color="auto"/>
                <w:bottom w:val="none" w:sz="0" w:space="0" w:color="auto"/>
                <w:right w:val="none" w:sz="0" w:space="0" w:color="auto"/>
              </w:divBdr>
            </w:div>
          </w:divsChild>
        </w:div>
        <w:div w:id="1005473996">
          <w:marLeft w:val="0"/>
          <w:marRight w:val="0"/>
          <w:marTop w:val="0"/>
          <w:marBottom w:val="0"/>
          <w:divBdr>
            <w:top w:val="none" w:sz="0" w:space="0" w:color="auto"/>
            <w:left w:val="none" w:sz="0" w:space="0" w:color="auto"/>
            <w:bottom w:val="none" w:sz="0" w:space="0" w:color="auto"/>
            <w:right w:val="none" w:sz="0" w:space="0" w:color="auto"/>
          </w:divBdr>
        </w:div>
        <w:div w:id="1014500691">
          <w:marLeft w:val="0"/>
          <w:marRight w:val="0"/>
          <w:marTop w:val="0"/>
          <w:marBottom w:val="0"/>
          <w:divBdr>
            <w:top w:val="none" w:sz="0" w:space="0" w:color="auto"/>
            <w:left w:val="none" w:sz="0" w:space="0" w:color="auto"/>
            <w:bottom w:val="none" w:sz="0" w:space="0" w:color="auto"/>
            <w:right w:val="none" w:sz="0" w:space="0" w:color="auto"/>
          </w:divBdr>
        </w:div>
        <w:div w:id="1017078198">
          <w:marLeft w:val="0"/>
          <w:marRight w:val="0"/>
          <w:marTop w:val="0"/>
          <w:marBottom w:val="0"/>
          <w:divBdr>
            <w:top w:val="none" w:sz="0" w:space="0" w:color="auto"/>
            <w:left w:val="none" w:sz="0" w:space="0" w:color="auto"/>
            <w:bottom w:val="none" w:sz="0" w:space="0" w:color="auto"/>
            <w:right w:val="none" w:sz="0" w:space="0" w:color="auto"/>
          </w:divBdr>
        </w:div>
        <w:div w:id="1021589452">
          <w:marLeft w:val="0"/>
          <w:marRight w:val="0"/>
          <w:marTop w:val="0"/>
          <w:marBottom w:val="0"/>
          <w:divBdr>
            <w:top w:val="none" w:sz="0" w:space="0" w:color="auto"/>
            <w:left w:val="none" w:sz="0" w:space="0" w:color="auto"/>
            <w:bottom w:val="none" w:sz="0" w:space="0" w:color="auto"/>
            <w:right w:val="none" w:sz="0" w:space="0" w:color="auto"/>
          </w:divBdr>
        </w:div>
        <w:div w:id="1064259407">
          <w:marLeft w:val="0"/>
          <w:marRight w:val="0"/>
          <w:marTop w:val="0"/>
          <w:marBottom w:val="0"/>
          <w:divBdr>
            <w:top w:val="none" w:sz="0" w:space="0" w:color="auto"/>
            <w:left w:val="none" w:sz="0" w:space="0" w:color="auto"/>
            <w:bottom w:val="none" w:sz="0" w:space="0" w:color="auto"/>
            <w:right w:val="none" w:sz="0" w:space="0" w:color="auto"/>
          </w:divBdr>
        </w:div>
        <w:div w:id="1100221333">
          <w:marLeft w:val="0"/>
          <w:marRight w:val="0"/>
          <w:marTop w:val="0"/>
          <w:marBottom w:val="0"/>
          <w:divBdr>
            <w:top w:val="none" w:sz="0" w:space="0" w:color="auto"/>
            <w:left w:val="none" w:sz="0" w:space="0" w:color="auto"/>
            <w:bottom w:val="none" w:sz="0" w:space="0" w:color="auto"/>
            <w:right w:val="none" w:sz="0" w:space="0" w:color="auto"/>
          </w:divBdr>
        </w:div>
        <w:div w:id="1149664264">
          <w:marLeft w:val="0"/>
          <w:marRight w:val="0"/>
          <w:marTop w:val="0"/>
          <w:marBottom w:val="0"/>
          <w:divBdr>
            <w:top w:val="none" w:sz="0" w:space="0" w:color="auto"/>
            <w:left w:val="none" w:sz="0" w:space="0" w:color="auto"/>
            <w:bottom w:val="none" w:sz="0" w:space="0" w:color="auto"/>
            <w:right w:val="none" w:sz="0" w:space="0" w:color="auto"/>
          </w:divBdr>
        </w:div>
        <w:div w:id="1152525944">
          <w:marLeft w:val="0"/>
          <w:marRight w:val="0"/>
          <w:marTop w:val="0"/>
          <w:marBottom w:val="0"/>
          <w:divBdr>
            <w:top w:val="none" w:sz="0" w:space="0" w:color="auto"/>
            <w:left w:val="none" w:sz="0" w:space="0" w:color="auto"/>
            <w:bottom w:val="none" w:sz="0" w:space="0" w:color="auto"/>
            <w:right w:val="none" w:sz="0" w:space="0" w:color="auto"/>
          </w:divBdr>
        </w:div>
        <w:div w:id="1192106616">
          <w:marLeft w:val="0"/>
          <w:marRight w:val="0"/>
          <w:marTop w:val="0"/>
          <w:marBottom w:val="0"/>
          <w:divBdr>
            <w:top w:val="none" w:sz="0" w:space="0" w:color="auto"/>
            <w:left w:val="none" w:sz="0" w:space="0" w:color="auto"/>
            <w:bottom w:val="none" w:sz="0" w:space="0" w:color="auto"/>
            <w:right w:val="none" w:sz="0" w:space="0" w:color="auto"/>
          </w:divBdr>
          <w:divsChild>
            <w:div w:id="712390899">
              <w:marLeft w:val="0"/>
              <w:marRight w:val="0"/>
              <w:marTop w:val="0"/>
              <w:marBottom w:val="0"/>
              <w:divBdr>
                <w:top w:val="none" w:sz="0" w:space="0" w:color="auto"/>
                <w:left w:val="none" w:sz="0" w:space="0" w:color="auto"/>
                <w:bottom w:val="none" w:sz="0" w:space="0" w:color="auto"/>
                <w:right w:val="none" w:sz="0" w:space="0" w:color="auto"/>
              </w:divBdr>
            </w:div>
            <w:div w:id="1527986832">
              <w:marLeft w:val="0"/>
              <w:marRight w:val="0"/>
              <w:marTop w:val="0"/>
              <w:marBottom w:val="0"/>
              <w:divBdr>
                <w:top w:val="none" w:sz="0" w:space="0" w:color="auto"/>
                <w:left w:val="none" w:sz="0" w:space="0" w:color="auto"/>
                <w:bottom w:val="none" w:sz="0" w:space="0" w:color="auto"/>
                <w:right w:val="none" w:sz="0" w:space="0" w:color="auto"/>
              </w:divBdr>
            </w:div>
            <w:div w:id="1838299853">
              <w:marLeft w:val="0"/>
              <w:marRight w:val="0"/>
              <w:marTop w:val="0"/>
              <w:marBottom w:val="0"/>
              <w:divBdr>
                <w:top w:val="none" w:sz="0" w:space="0" w:color="auto"/>
                <w:left w:val="none" w:sz="0" w:space="0" w:color="auto"/>
                <w:bottom w:val="none" w:sz="0" w:space="0" w:color="auto"/>
                <w:right w:val="none" w:sz="0" w:space="0" w:color="auto"/>
              </w:divBdr>
            </w:div>
          </w:divsChild>
        </w:div>
        <w:div w:id="1200895962">
          <w:marLeft w:val="0"/>
          <w:marRight w:val="0"/>
          <w:marTop w:val="0"/>
          <w:marBottom w:val="0"/>
          <w:divBdr>
            <w:top w:val="none" w:sz="0" w:space="0" w:color="auto"/>
            <w:left w:val="none" w:sz="0" w:space="0" w:color="auto"/>
            <w:bottom w:val="none" w:sz="0" w:space="0" w:color="auto"/>
            <w:right w:val="none" w:sz="0" w:space="0" w:color="auto"/>
          </w:divBdr>
        </w:div>
        <w:div w:id="1264338866">
          <w:marLeft w:val="0"/>
          <w:marRight w:val="0"/>
          <w:marTop w:val="0"/>
          <w:marBottom w:val="0"/>
          <w:divBdr>
            <w:top w:val="none" w:sz="0" w:space="0" w:color="auto"/>
            <w:left w:val="none" w:sz="0" w:space="0" w:color="auto"/>
            <w:bottom w:val="none" w:sz="0" w:space="0" w:color="auto"/>
            <w:right w:val="none" w:sz="0" w:space="0" w:color="auto"/>
          </w:divBdr>
        </w:div>
        <w:div w:id="1312834160">
          <w:marLeft w:val="0"/>
          <w:marRight w:val="0"/>
          <w:marTop w:val="0"/>
          <w:marBottom w:val="0"/>
          <w:divBdr>
            <w:top w:val="none" w:sz="0" w:space="0" w:color="auto"/>
            <w:left w:val="none" w:sz="0" w:space="0" w:color="auto"/>
            <w:bottom w:val="none" w:sz="0" w:space="0" w:color="auto"/>
            <w:right w:val="none" w:sz="0" w:space="0" w:color="auto"/>
          </w:divBdr>
        </w:div>
        <w:div w:id="1371106232">
          <w:marLeft w:val="0"/>
          <w:marRight w:val="0"/>
          <w:marTop w:val="0"/>
          <w:marBottom w:val="0"/>
          <w:divBdr>
            <w:top w:val="none" w:sz="0" w:space="0" w:color="auto"/>
            <w:left w:val="none" w:sz="0" w:space="0" w:color="auto"/>
            <w:bottom w:val="none" w:sz="0" w:space="0" w:color="auto"/>
            <w:right w:val="none" w:sz="0" w:space="0" w:color="auto"/>
          </w:divBdr>
          <w:divsChild>
            <w:div w:id="741483566">
              <w:marLeft w:val="0"/>
              <w:marRight w:val="0"/>
              <w:marTop w:val="0"/>
              <w:marBottom w:val="0"/>
              <w:divBdr>
                <w:top w:val="none" w:sz="0" w:space="0" w:color="auto"/>
                <w:left w:val="none" w:sz="0" w:space="0" w:color="auto"/>
                <w:bottom w:val="none" w:sz="0" w:space="0" w:color="auto"/>
                <w:right w:val="none" w:sz="0" w:space="0" w:color="auto"/>
              </w:divBdr>
            </w:div>
            <w:div w:id="1796824468">
              <w:marLeft w:val="0"/>
              <w:marRight w:val="0"/>
              <w:marTop w:val="0"/>
              <w:marBottom w:val="0"/>
              <w:divBdr>
                <w:top w:val="none" w:sz="0" w:space="0" w:color="auto"/>
                <w:left w:val="none" w:sz="0" w:space="0" w:color="auto"/>
                <w:bottom w:val="none" w:sz="0" w:space="0" w:color="auto"/>
                <w:right w:val="none" w:sz="0" w:space="0" w:color="auto"/>
              </w:divBdr>
            </w:div>
            <w:div w:id="2024161336">
              <w:marLeft w:val="0"/>
              <w:marRight w:val="0"/>
              <w:marTop w:val="0"/>
              <w:marBottom w:val="0"/>
              <w:divBdr>
                <w:top w:val="none" w:sz="0" w:space="0" w:color="auto"/>
                <w:left w:val="none" w:sz="0" w:space="0" w:color="auto"/>
                <w:bottom w:val="none" w:sz="0" w:space="0" w:color="auto"/>
                <w:right w:val="none" w:sz="0" w:space="0" w:color="auto"/>
              </w:divBdr>
            </w:div>
          </w:divsChild>
        </w:div>
        <w:div w:id="1397048315">
          <w:marLeft w:val="0"/>
          <w:marRight w:val="0"/>
          <w:marTop w:val="0"/>
          <w:marBottom w:val="0"/>
          <w:divBdr>
            <w:top w:val="none" w:sz="0" w:space="0" w:color="auto"/>
            <w:left w:val="none" w:sz="0" w:space="0" w:color="auto"/>
            <w:bottom w:val="none" w:sz="0" w:space="0" w:color="auto"/>
            <w:right w:val="none" w:sz="0" w:space="0" w:color="auto"/>
          </w:divBdr>
        </w:div>
        <w:div w:id="1413045077">
          <w:marLeft w:val="0"/>
          <w:marRight w:val="0"/>
          <w:marTop w:val="0"/>
          <w:marBottom w:val="0"/>
          <w:divBdr>
            <w:top w:val="none" w:sz="0" w:space="0" w:color="auto"/>
            <w:left w:val="none" w:sz="0" w:space="0" w:color="auto"/>
            <w:bottom w:val="none" w:sz="0" w:space="0" w:color="auto"/>
            <w:right w:val="none" w:sz="0" w:space="0" w:color="auto"/>
          </w:divBdr>
        </w:div>
        <w:div w:id="1424494917">
          <w:marLeft w:val="0"/>
          <w:marRight w:val="0"/>
          <w:marTop w:val="0"/>
          <w:marBottom w:val="0"/>
          <w:divBdr>
            <w:top w:val="none" w:sz="0" w:space="0" w:color="auto"/>
            <w:left w:val="none" w:sz="0" w:space="0" w:color="auto"/>
            <w:bottom w:val="none" w:sz="0" w:space="0" w:color="auto"/>
            <w:right w:val="none" w:sz="0" w:space="0" w:color="auto"/>
          </w:divBdr>
        </w:div>
        <w:div w:id="1429689778">
          <w:marLeft w:val="0"/>
          <w:marRight w:val="0"/>
          <w:marTop w:val="0"/>
          <w:marBottom w:val="0"/>
          <w:divBdr>
            <w:top w:val="none" w:sz="0" w:space="0" w:color="auto"/>
            <w:left w:val="none" w:sz="0" w:space="0" w:color="auto"/>
            <w:bottom w:val="none" w:sz="0" w:space="0" w:color="auto"/>
            <w:right w:val="none" w:sz="0" w:space="0" w:color="auto"/>
          </w:divBdr>
        </w:div>
        <w:div w:id="1437745980">
          <w:marLeft w:val="0"/>
          <w:marRight w:val="0"/>
          <w:marTop w:val="0"/>
          <w:marBottom w:val="0"/>
          <w:divBdr>
            <w:top w:val="none" w:sz="0" w:space="0" w:color="auto"/>
            <w:left w:val="none" w:sz="0" w:space="0" w:color="auto"/>
            <w:bottom w:val="none" w:sz="0" w:space="0" w:color="auto"/>
            <w:right w:val="none" w:sz="0" w:space="0" w:color="auto"/>
          </w:divBdr>
          <w:divsChild>
            <w:div w:id="569778924">
              <w:marLeft w:val="0"/>
              <w:marRight w:val="0"/>
              <w:marTop w:val="0"/>
              <w:marBottom w:val="0"/>
              <w:divBdr>
                <w:top w:val="none" w:sz="0" w:space="0" w:color="auto"/>
                <w:left w:val="none" w:sz="0" w:space="0" w:color="auto"/>
                <w:bottom w:val="none" w:sz="0" w:space="0" w:color="auto"/>
                <w:right w:val="none" w:sz="0" w:space="0" w:color="auto"/>
              </w:divBdr>
            </w:div>
            <w:div w:id="1268927334">
              <w:marLeft w:val="0"/>
              <w:marRight w:val="0"/>
              <w:marTop w:val="0"/>
              <w:marBottom w:val="0"/>
              <w:divBdr>
                <w:top w:val="none" w:sz="0" w:space="0" w:color="auto"/>
                <w:left w:val="none" w:sz="0" w:space="0" w:color="auto"/>
                <w:bottom w:val="none" w:sz="0" w:space="0" w:color="auto"/>
                <w:right w:val="none" w:sz="0" w:space="0" w:color="auto"/>
              </w:divBdr>
            </w:div>
            <w:div w:id="1403257084">
              <w:marLeft w:val="0"/>
              <w:marRight w:val="0"/>
              <w:marTop w:val="0"/>
              <w:marBottom w:val="0"/>
              <w:divBdr>
                <w:top w:val="none" w:sz="0" w:space="0" w:color="auto"/>
                <w:left w:val="none" w:sz="0" w:space="0" w:color="auto"/>
                <w:bottom w:val="none" w:sz="0" w:space="0" w:color="auto"/>
                <w:right w:val="none" w:sz="0" w:space="0" w:color="auto"/>
              </w:divBdr>
            </w:div>
            <w:div w:id="1892035063">
              <w:marLeft w:val="0"/>
              <w:marRight w:val="0"/>
              <w:marTop w:val="0"/>
              <w:marBottom w:val="0"/>
              <w:divBdr>
                <w:top w:val="none" w:sz="0" w:space="0" w:color="auto"/>
                <w:left w:val="none" w:sz="0" w:space="0" w:color="auto"/>
                <w:bottom w:val="none" w:sz="0" w:space="0" w:color="auto"/>
                <w:right w:val="none" w:sz="0" w:space="0" w:color="auto"/>
              </w:divBdr>
            </w:div>
            <w:div w:id="2043359337">
              <w:marLeft w:val="0"/>
              <w:marRight w:val="0"/>
              <w:marTop w:val="0"/>
              <w:marBottom w:val="0"/>
              <w:divBdr>
                <w:top w:val="none" w:sz="0" w:space="0" w:color="auto"/>
                <w:left w:val="none" w:sz="0" w:space="0" w:color="auto"/>
                <w:bottom w:val="none" w:sz="0" w:space="0" w:color="auto"/>
                <w:right w:val="none" w:sz="0" w:space="0" w:color="auto"/>
              </w:divBdr>
            </w:div>
          </w:divsChild>
        </w:div>
        <w:div w:id="1455513655">
          <w:marLeft w:val="0"/>
          <w:marRight w:val="0"/>
          <w:marTop w:val="0"/>
          <w:marBottom w:val="0"/>
          <w:divBdr>
            <w:top w:val="none" w:sz="0" w:space="0" w:color="auto"/>
            <w:left w:val="none" w:sz="0" w:space="0" w:color="auto"/>
            <w:bottom w:val="none" w:sz="0" w:space="0" w:color="auto"/>
            <w:right w:val="none" w:sz="0" w:space="0" w:color="auto"/>
          </w:divBdr>
        </w:div>
        <w:div w:id="1479347732">
          <w:marLeft w:val="0"/>
          <w:marRight w:val="0"/>
          <w:marTop w:val="0"/>
          <w:marBottom w:val="0"/>
          <w:divBdr>
            <w:top w:val="none" w:sz="0" w:space="0" w:color="auto"/>
            <w:left w:val="none" w:sz="0" w:space="0" w:color="auto"/>
            <w:bottom w:val="none" w:sz="0" w:space="0" w:color="auto"/>
            <w:right w:val="none" w:sz="0" w:space="0" w:color="auto"/>
          </w:divBdr>
        </w:div>
        <w:div w:id="1492910543">
          <w:marLeft w:val="0"/>
          <w:marRight w:val="0"/>
          <w:marTop w:val="0"/>
          <w:marBottom w:val="0"/>
          <w:divBdr>
            <w:top w:val="none" w:sz="0" w:space="0" w:color="auto"/>
            <w:left w:val="none" w:sz="0" w:space="0" w:color="auto"/>
            <w:bottom w:val="none" w:sz="0" w:space="0" w:color="auto"/>
            <w:right w:val="none" w:sz="0" w:space="0" w:color="auto"/>
          </w:divBdr>
        </w:div>
        <w:div w:id="1502308490">
          <w:marLeft w:val="0"/>
          <w:marRight w:val="0"/>
          <w:marTop w:val="0"/>
          <w:marBottom w:val="0"/>
          <w:divBdr>
            <w:top w:val="none" w:sz="0" w:space="0" w:color="auto"/>
            <w:left w:val="none" w:sz="0" w:space="0" w:color="auto"/>
            <w:bottom w:val="none" w:sz="0" w:space="0" w:color="auto"/>
            <w:right w:val="none" w:sz="0" w:space="0" w:color="auto"/>
          </w:divBdr>
        </w:div>
        <w:div w:id="1538158297">
          <w:marLeft w:val="0"/>
          <w:marRight w:val="0"/>
          <w:marTop w:val="0"/>
          <w:marBottom w:val="0"/>
          <w:divBdr>
            <w:top w:val="none" w:sz="0" w:space="0" w:color="auto"/>
            <w:left w:val="none" w:sz="0" w:space="0" w:color="auto"/>
            <w:bottom w:val="none" w:sz="0" w:space="0" w:color="auto"/>
            <w:right w:val="none" w:sz="0" w:space="0" w:color="auto"/>
          </w:divBdr>
        </w:div>
        <w:div w:id="1557010122">
          <w:marLeft w:val="0"/>
          <w:marRight w:val="0"/>
          <w:marTop w:val="0"/>
          <w:marBottom w:val="0"/>
          <w:divBdr>
            <w:top w:val="none" w:sz="0" w:space="0" w:color="auto"/>
            <w:left w:val="none" w:sz="0" w:space="0" w:color="auto"/>
            <w:bottom w:val="none" w:sz="0" w:space="0" w:color="auto"/>
            <w:right w:val="none" w:sz="0" w:space="0" w:color="auto"/>
          </w:divBdr>
        </w:div>
        <w:div w:id="1561791889">
          <w:marLeft w:val="0"/>
          <w:marRight w:val="0"/>
          <w:marTop w:val="0"/>
          <w:marBottom w:val="0"/>
          <w:divBdr>
            <w:top w:val="none" w:sz="0" w:space="0" w:color="auto"/>
            <w:left w:val="none" w:sz="0" w:space="0" w:color="auto"/>
            <w:bottom w:val="none" w:sz="0" w:space="0" w:color="auto"/>
            <w:right w:val="none" w:sz="0" w:space="0" w:color="auto"/>
          </w:divBdr>
          <w:divsChild>
            <w:div w:id="95445888">
              <w:marLeft w:val="0"/>
              <w:marRight w:val="0"/>
              <w:marTop w:val="0"/>
              <w:marBottom w:val="0"/>
              <w:divBdr>
                <w:top w:val="none" w:sz="0" w:space="0" w:color="auto"/>
                <w:left w:val="none" w:sz="0" w:space="0" w:color="auto"/>
                <w:bottom w:val="none" w:sz="0" w:space="0" w:color="auto"/>
                <w:right w:val="none" w:sz="0" w:space="0" w:color="auto"/>
              </w:divBdr>
            </w:div>
            <w:div w:id="181751389">
              <w:marLeft w:val="0"/>
              <w:marRight w:val="0"/>
              <w:marTop w:val="0"/>
              <w:marBottom w:val="0"/>
              <w:divBdr>
                <w:top w:val="none" w:sz="0" w:space="0" w:color="auto"/>
                <w:left w:val="none" w:sz="0" w:space="0" w:color="auto"/>
                <w:bottom w:val="none" w:sz="0" w:space="0" w:color="auto"/>
                <w:right w:val="none" w:sz="0" w:space="0" w:color="auto"/>
              </w:divBdr>
            </w:div>
            <w:div w:id="925114414">
              <w:marLeft w:val="0"/>
              <w:marRight w:val="0"/>
              <w:marTop w:val="0"/>
              <w:marBottom w:val="0"/>
              <w:divBdr>
                <w:top w:val="none" w:sz="0" w:space="0" w:color="auto"/>
                <w:left w:val="none" w:sz="0" w:space="0" w:color="auto"/>
                <w:bottom w:val="none" w:sz="0" w:space="0" w:color="auto"/>
                <w:right w:val="none" w:sz="0" w:space="0" w:color="auto"/>
              </w:divBdr>
            </w:div>
          </w:divsChild>
        </w:div>
        <w:div w:id="1576085413">
          <w:marLeft w:val="0"/>
          <w:marRight w:val="0"/>
          <w:marTop w:val="0"/>
          <w:marBottom w:val="0"/>
          <w:divBdr>
            <w:top w:val="none" w:sz="0" w:space="0" w:color="auto"/>
            <w:left w:val="none" w:sz="0" w:space="0" w:color="auto"/>
            <w:bottom w:val="none" w:sz="0" w:space="0" w:color="auto"/>
            <w:right w:val="none" w:sz="0" w:space="0" w:color="auto"/>
          </w:divBdr>
        </w:div>
        <w:div w:id="1588925484">
          <w:marLeft w:val="0"/>
          <w:marRight w:val="0"/>
          <w:marTop w:val="0"/>
          <w:marBottom w:val="0"/>
          <w:divBdr>
            <w:top w:val="none" w:sz="0" w:space="0" w:color="auto"/>
            <w:left w:val="none" w:sz="0" w:space="0" w:color="auto"/>
            <w:bottom w:val="none" w:sz="0" w:space="0" w:color="auto"/>
            <w:right w:val="none" w:sz="0" w:space="0" w:color="auto"/>
          </w:divBdr>
        </w:div>
        <w:div w:id="1591162813">
          <w:marLeft w:val="0"/>
          <w:marRight w:val="0"/>
          <w:marTop w:val="0"/>
          <w:marBottom w:val="0"/>
          <w:divBdr>
            <w:top w:val="none" w:sz="0" w:space="0" w:color="auto"/>
            <w:left w:val="none" w:sz="0" w:space="0" w:color="auto"/>
            <w:bottom w:val="none" w:sz="0" w:space="0" w:color="auto"/>
            <w:right w:val="none" w:sz="0" w:space="0" w:color="auto"/>
          </w:divBdr>
          <w:divsChild>
            <w:div w:id="688869300">
              <w:marLeft w:val="0"/>
              <w:marRight w:val="0"/>
              <w:marTop w:val="0"/>
              <w:marBottom w:val="0"/>
              <w:divBdr>
                <w:top w:val="none" w:sz="0" w:space="0" w:color="auto"/>
                <w:left w:val="none" w:sz="0" w:space="0" w:color="auto"/>
                <w:bottom w:val="none" w:sz="0" w:space="0" w:color="auto"/>
                <w:right w:val="none" w:sz="0" w:space="0" w:color="auto"/>
              </w:divBdr>
            </w:div>
            <w:div w:id="2062516191">
              <w:marLeft w:val="0"/>
              <w:marRight w:val="0"/>
              <w:marTop w:val="0"/>
              <w:marBottom w:val="0"/>
              <w:divBdr>
                <w:top w:val="none" w:sz="0" w:space="0" w:color="auto"/>
                <w:left w:val="none" w:sz="0" w:space="0" w:color="auto"/>
                <w:bottom w:val="none" w:sz="0" w:space="0" w:color="auto"/>
                <w:right w:val="none" w:sz="0" w:space="0" w:color="auto"/>
              </w:divBdr>
            </w:div>
          </w:divsChild>
        </w:div>
        <w:div w:id="1605922035">
          <w:marLeft w:val="0"/>
          <w:marRight w:val="0"/>
          <w:marTop w:val="0"/>
          <w:marBottom w:val="0"/>
          <w:divBdr>
            <w:top w:val="none" w:sz="0" w:space="0" w:color="auto"/>
            <w:left w:val="none" w:sz="0" w:space="0" w:color="auto"/>
            <w:bottom w:val="none" w:sz="0" w:space="0" w:color="auto"/>
            <w:right w:val="none" w:sz="0" w:space="0" w:color="auto"/>
          </w:divBdr>
        </w:div>
        <w:div w:id="1633948288">
          <w:marLeft w:val="0"/>
          <w:marRight w:val="0"/>
          <w:marTop w:val="0"/>
          <w:marBottom w:val="0"/>
          <w:divBdr>
            <w:top w:val="none" w:sz="0" w:space="0" w:color="auto"/>
            <w:left w:val="none" w:sz="0" w:space="0" w:color="auto"/>
            <w:bottom w:val="none" w:sz="0" w:space="0" w:color="auto"/>
            <w:right w:val="none" w:sz="0" w:space="0" w:color="auto"/>
          </w:divBdr>
        </w:div>
        <w:div w:id="1699548877">
          <w:marLeft w:val="0"/>
          <w:marRight w:val="0"/>
          <w:marTop w:val="0"/>
          <w:marBottom w:val="0"/>
          <w:divBdr>
            <w:top w:val="none" w:sz="0" w:space="0" w:color="auto"/>
            <w:left w:val="none" w:sz="0" w:space="0" w:color="auto"/>
            <w:bottom w:val="none" w:sz="0" w:space="0" w:color="auto"/>
            <w:right w:val="none" w:sz="0" w:space="0" w:color="auto"/>
          </w:divBdr>
        </w:div>
        <w:div w:id="1724206990">
          <w:marLeft w:val="0"/>
          <w:marRight w:val="0"/>
          <w:marTop w:val="0"/>
          <w:marBottom w:val="0"/>
          <w:divBdr>
            <w:top w:val="none" w:sz="0" w:space="0" w:color="auto"/>
            <w:left w:val="none" w:sz="0" w:space="0" w:color="auto"/>
            <w:bottom w:val="none" w:sz="0" w:space="0" w:color="auto"/>
            <w:right w:val="none" w:sz="0" w:space="0" w:color="auto"/>
          </w:divBdr>
        </w:div>
        <w:div w:id="1743284763">
          <w:marLeft w:val="0"/>
          <w:marRight w:val="0"/>
          <w:marTop w:val="0"/>
          <w:marBottom w:val="0"/>
          <w:divBdr>
            <w:top w:val="none" w:sz="0" w:space="0" w:color="auto"/>
            <w:left w:val="none" w:sz="0" w:space="0" w:color="auto"/>
            <w:bottom w:val="none" w:sz="0" w:space="0" w:color="auto"/>
            <w:right w:val="none" w:sz="0" w:space="0" w:color="auto"/>
          </w:divBdr>
        </w:div>
        <w:div w:id="1765958324">
          <w:marLeft w:val="0"/>
          <w:marRight w:val="0"/>
          <w:marTop w:val="0"/>
          <w:marBottom w:val="0"/>
          <w:divBdr>
            <w:top w:val="none" w:sz="0" w:space="0" w:color="auto"/>
            <w:left w:val="none" w:sz="0" w:space="0" w:color="auto"/>
            <w:bottom w:val="none" w:sz="0" w:space="0" w:color="auto"/>
            <w:right w:val="none" w:sz="0" w:space="0" w:color="auto"/>
          </w:divBdr>
          <w:divsChild>
            <w:div w:id="192423356">
              <w:marLeft w:val="0"/>
              <w:marRight w:val="0"/>
              <w:marTop w:val="0"/>
              <w:marBottom w:val="0"/>
              <w:divBdr>
                <w:top w:val="none" w:sz="0" w:space="0" w:color="auto"/>
                <w:left w:val="none" w:sz="0" w:space="0" w:color="auto"/>
                <w:bottom w:val="none" w:sz="0" w:space="0" w:color="auto"/>
                <w:right w:val="none" w:sz="0" w:space="0" w:color="auto"/>
              </w:divBdr>
            </w:div>
            <w:div w:id="903373851">
              <w:marLeft w:val="0"/>
              <w:marRight w:val="0"/>
              <w:marTop w:val="0"/>
              <w:marBottom w:val="0"/>
              <w:divBdr>
                <w:top w:val="none" w:sz="0" w:space="0" w:color="auto"/>
                <w:left w:val="none" w:sz="0" w:space="0" w:color="auto"/>
                <w:bottom w:val="none" w:sz="0" w:space="0" w:color="auto"/>
                <w:right w:val="none" w:sz="0" w:space="0" w:color="auto"/>
              </w:divBdr>
            </w:div>
            <w:div w:id="998003396">
              <w:marLeft w:val="0"/>
              <w:marRight w:val="0"/>
              <w:marTop w:val="0"/>
              <w:marBottom w:val="0"/>
              <w:divBdr>
                <w:top w:val="none" w:sz="0" w:space="0" w:color="auto"/>
                <w:left w:val="none" w:sz="0" w:space="0" w:color="auto"/>
                <w:bottom w:val="none" w:sz="0" w:space="0" w:color="auto"/>
                <w:right w:val="none" w:sz="0" w:space="0" w:color="auto"/>
              </w:divBdr>
            </w:div>
            <w:div w:id="1172839345">
              <w:marLeft w:val="0"/>
              <w:marRight w:val="0"/>
              <w:marTop w:val="0"/>
              <w:marBottom w:val="0"/>
              <w:divBdr>
                <w:top w:val="none" w:sz="0" w:space="0" w:color="auto"/>
                <w:left w:val="none" w:sz="0" w:space="0" w:color="auto"/>
                <w:bottom w:val="none" w:sz="0" w:space="0" w:color="auto"/>
                <w:right w:val="none" w:sz="0" w:space="0" w:color="auto"/>
              </w:divBdr>
            </w:div>
          </w:divsChild>
        </w:div>
        <w:div w:id="1788700552">
          <w:marLeft w:val="0"/>
          <w:marRight w:val="0"/>
          <w:marTop w:val="0"/>
          <w:marBottom w:val="0"/>
          <w:divBdr>
            <w:top w:val="none" w:sz="0" w:space="0" w:color="auto"/>
            <w:left w:val="none" w:sz="0" w:space="0" w:color="auto"/>
            <w:bottom w:val="none" w:sz="0" w:space="0" w:color="auto"/>
            <w:right w:val="none" w:sz="0" w:space="0" w:color="auto"/>
          </w:divBdr>
          <w:divsChild>
            <w:div w:id="124860262">
              <w:marLeft w:val="0"/>
              <w:marRight w:val="0"/>
              <w:marTop w:val="0"/>
              <w:marBottom w:val="0"/>
              <w:divBdr>
                <w:top w:val="none" w:sz="0" w:space="0" w:color="auto"/>
                <w:left w:val="none" w:sz="0" w:space="0" w:color="auto"/>
                <w:bottom w:val="none" w:sz="0" w:space="0" w:color="auto"/>
                <w:right w:val="none" w:sz="0" w:space="0" w:color="auto"/>
              </w:divBdr>
            </w:div>
            <w:div w:id="484011797">
              <w:marLeft w:val="0"/>
              <w:marRight w:val="0"/>
              <w:marTop w:val="0"/>
              <w:marBottom w:val="0"/>
              <w:divBdr>
                <w:top w:val="none" w:sz="0" w:space="0" w:color="auto"/>
                <w:left w:val="none" w:sz="0" w:space="0" w:color="auto"/>
                <w:bottom w:val="none" w:sz="0" w:space="0" w:color="auto"/>
                <w:right w:val="none" w:sz="0" w:space="0" w:color="auto"/>
              </w:divBdr>
            </w:div>
            <w:div w:id="1563444201">
              <w:marLeft w:val="0"/>
              <w:marRight w:val="0"/>
              <w:marTop w:val="0"/>
              <w:marBottom w:val="0"/>
              <w:divBdr>
                <w:top w:val="none" w:sz="0" w:space="0" w:color="auto"/>
                <w:left w:val="none" w:sz="0" w:space="0" w:color="auto"/>
                <w:bottom w:val="none" w:sz="0" w:space="0" w:color="auto"/>
                <w:right w:val="none" w:sz="0" w:space="0" w:color="auto"/>
              </w:divBdr>
            </w:div>
          </w:divsChild>
        </w:div>
        <w:div w:id="1874921753">
          <w:marLeft w:val="0"/>
          <w:marRight w:val="0"/>
          <w:marTop w:val="0"/>
          <w:marBottom w:val="0"/>
          <w:divBdr>
            <w:top w:val="none" w:sz="0" w:space="0" w:color="auto"/>
            <w:left w:val="none" w:sz="0" w:space="0" w:color="auto"/>
            <w:bottom w:val="none" w:sz="0" w:space="0" w:color="auto"/>
            <w:right w:val="none" w:sz="0" w:space="0" w:color="auto"/>
          </w:divBdr>
        </w:div>
        <w:div w:id="1884175745">
          <w:marLeft w:val="0"/>
          <w:marRight w:val="0"/>
          <w:marTop w:val="0"/>
          <w:marBottom w:val="0"/>
          <w:divBdr>
            <w:top w:val="none" w:sz="0" w:space="0" w:color="auto"/>
            <w:left w:val="none" w:sz="0" w:space="0" w:color="auto"/>
            <w:bottom w:val="none" w:sz="0" w:space="0" w:color="auto"/>
            <w:right w:val="none" w:sz="0" w:space="0" w:color="auto"/>
          </w:divBdr>
          <w:divsChild>
            <w:div w:id="1446581843">
              <w:marLeft w:val="0"/>
              <w:marRight w:val="0"/>
              <w:marTop w:val="30"/>
              <w:marBottom w:val="30"/>
              <w:divBdr>
                <w:top w:val="none" w:sz="0" w:space="0" w:color="auto"/>
                <w:left w:val="none" w:sz="0" w:space="0" w:color="auto"/>
                <w:bottom w:val="none" w:sz="0" w:space="0" w:color="auto"/>
                <w:right w:val="none" w:sz="0" w:space="0" w:color="auto"/>
              </w:divBdr>
              <w:divsChild>
                <w:div w:id="18816617">
                  <w:marLeft w:val="0"/>
                  <w:marRight w:val="0"/>
                  <w:marTop w:val="0"/>
                  <w:marBottom w:val="0"/>
                  <w:divBdr>
                    <w:top w:val="none" w:sz="0" w:space="0" w:color="auto"/>
                    <w:left w:val="none" w:sz="0" w:space="0" w:color="auto"/>
                    <w:bottom w:val="none" w:sz="0" w:space="0" w:color="auto"/>
                    <w:right w:val="none" w:sz="0" w:space="0" w:color="auto"/>
                  </w:divBdr>
                  <w:divsChild>
                    <w:div w:id="51393119">
                      <w:marLeft w:val="0"/>
                      <w:marRight w:val="0"/>
                      <w:marTop w:val="0"/>
                      <w:marBottom w:val="0"/>
                      <w:divBdr>
                        <w:top w:val="none" w:sz="0" w:space="0" w:color="auto"/>
                        <w:left w:val="none" w:sz="0" w:space="0" w:color="auto"/>
                        <w:bottom w:val="none" w:sz="0" w:space="0" w:color="auto"/>
                        <w:right w:val="none" w:sz="0" w:space="0" w:color="auto"/>
                      </w:divBdr>
                    </w:div>
                  </w:divsChild>
                </w:div>
                <w:div w:id="109277080">
                  <w:marLeft w:val="0"/>
                  <w:marRight w:val="0"/>
                  <w:marTop w:val="0"/>
                  <w:marBottom w:val="0"/>
                  <w:divBdr>
                    <w:top w:val="none" w:sz="0" w:space="0" w:color="auto"/>
                    <w:left w:val="none" w:sz="0" w:space="0" w:color="auto"/>
                    <w:bottom w:val="none" w:sz="0" w:space="0" w:color="auto"/>
                    <w:right w:val="none" w:sz="0" w:space="0" w:color="auto"/>
                  </w:divBdr>
                  <w:divsChild>
                    <w:div w:id="1308629237">
                      <w:marLeft w:val="0"/>
                      <w:marRight w:val="0"/>
                      <w:marTop w:val="0"/>
                      <w:marBottom w:val="0"/>
                      <w:divBdr>
                        <w:top w:val="none" w:sz="0" w:space="0" w:color="auto"/>
                        <w:left w:val="none" w:sz="0" w:space="0" w:color="auto"/>
                        <w:bottom w:val="none" w:sz="0" w:space="0" w:color="auto"/>
                        <w:right w:val="none" w:sz="0" w:space="0" w:color="auto"/>
                      </w:divBdr>
                    </w:div>
                  </w:divsChild>
                </w:div>
                <w:div w:id="115175669">
                  <w:marLeft w:val="0"/>
                  <w:marRight w:val="0"/>
                  <w:marTop w:val="0"/>
                  <w:marBottom w:val="0"/>
                  <w:divBdr>
                    <w:top w:val="none" w:sz="0" w:space="0" w:color="auto"/>
                    <w:left w:val="none" w:sz="0" w:space="0" w:color="auto"/>
                    <w:bottom w:val="none" w:sz="0" w:space="0" w:color="auto"/>
                    <w:right w:val="none" w:sz="0" w:space="0" w:color="auto"/>
                  </w:divBdr>
                  <w:divsChild>
                    <w:div w:id="969476811">
                      <w:marLeft w:val="0"/>
                      <w:marRight w:val="0"/>
                      <w:marTop w:val="0"/>
                      <w:marBottom w:val="0"/>
                      <w:divBdr>
                        <w:top w:val="none" w:sz="0" w:space="0" w:color="auto"/>
                        <w:left w:val="none" w:sz="0" w:space="0" w:color="auto"/>
                        <w:bottom w:val="none" w:sz="0" w:space="0" w:color="auto"/>
                        <w:right w:val="none" w:sz="0" w:space="0" w:color="auto"/>
                      </w:divBdr>
                    </w:div>
                  </w:divsChild>
                </w:div>
                <w:div w:id="309794578">
                  <w:marLeft w:val="0"/>
                  <w:marRight w:val="0"/>
                  <w:marTop w:val="0"/>
                  <w:marBottom w:val="0"/>
                  <w:divBdr>
                    <w:top w:val="none" w:sz="0" w:space="0" w:color="auto"/>
                    <w:left w:val="none" w:sz="0" w:space="0" w:color="auto"/>
                    <w:bottom w:val="none" w:sz="0" w:space="0" w:color="auto"/>
                    <w:right w:val="none" w:sz="0" w:space="0" w:color="auto"/>
                  </w:divBdr>
                  <w:divsChild>
                    <w:div w:id="884219963">
                      <w:marLeft w:val="0"/>
                      <w:marRight w:val="0"/>
                      <w:marTop w:val="0"/>
                      <w:marBottom w:val="0"/>
                      <w:divBdr>
                        <w:top w:val="none" w:sz="0" w:space="0" w:color="auto"/>
                        <w:left w:val="none" w:sz="0" w:space="0" w:color="auto"/>
                        <w:bottom w:val="none" w:sz="0" w:space="0" w:color="auto"/>
                        <w:right w:val="none" w:sz="0" w:space="0" w:color="auto"/>
                      </w:divBdr>
                    </w:div>
                  </w:divsChild>
                </w:div>
                <w:div w:id="354814442">
                  <w:marLeft w:val="0"/>
                  <w:marRight w:val="0"/>
                  <w:marTop w:val="0"/>
                  <w:marBottom w:val="0"/>
                  <w:divBdr>
                    <w:top w:val="none" w:sz="0" w:space="0" w:color="auto"/>
                    <w:left w:val="none" w:sz="0" w:space="0" w:color="auto"/>
                    <w:bottom w:val="none" w:sz="0" w:space="0" w:color="auto"/>
                    <w:right w:val="none" w:sz="0" w:space="0" w:color="auto"/>
                  </w:divBdr>
                  <w:divsChild>
                    <w:div w:id="586353659">
                      <w:marLeft w:val="0"/>
                      <w:marRight w:val="0"/>
                      <w:marTop w:val="0"/>
                      <w:marBottom w:val="0"/>
                      <w:divBdr>
                        <w:top w:val="none" w:sz="0" w:space="0" w:color="auto"/>
                        <w:left w:val="none" w:sz="0" w:space="0" w:color="auto"/>
                        <w:bottom w:val="none" w:sz="0" w:space="0" w:color="auto"/>
                        <w:right w:val="none" w:sz="0" w:space="0" w:color="auto"/>
                      </w:divBdr>
                    </w:div>
                  </w:divsChild>
                </w:div>
                <w:div w:id="472672439">
                  <w:marLeft w:val="0"/>
                  <w:marRight w:val="0"/>
                  <w:marTop w:val="0"/>
                  <w:marBottom w:val="0"/>
                  <w:divBdr>
                    <w:top w:val="none" w:sz="0" w:space="0" w:color="auto"/>
                    <w:left w:val="none" w:sz="0" w:space="0" w:color="auto"/>
                    <w:bottom w:val="none" w:sz="0" w:space="0" w:color="auto"/>
                    <w:right w:val="none" w:sz="0" w:space="0" w:color="auto"/>
                  </w:divBdr>
                  <w:divsChild>
                    <w:div w:id="164632225">
                      <w:marLeft w:val="0"/>
                      <w:marRight w:val="0"/>
                      <w:marTop w:val="0"/>
                      <w:marBottom w:val="0"/>
                      <w:divBdr>
                        <w:top w:val="none" w:sz="0" w:space="0" w:color="auto"/>
                        <w:left w:val="none" w:sz="0" w:space="0" w:color="auto"/>
                        <w:bottom w:val="none" w:sz="0" w:space="0" w:color="auto"/>
                        <w:right w:val="none" w:sz="0" w:space="0" w:color="auto"/>
                      </w:divBdr>
                    </w:div>
                  </w:divsChild>
                </w:div>
                <w:div w:id="506870249">
                  <w:marLeft w:val="0"/>
                  <w:marRight w:val="0"/>
                  <w:marTop w:val="0"/>
                  <w:marBottom w:val="0"/>
                  <w:divBdr>
                    <w:top w:val="none" w:sz="0" w:space="0" w:color="auto"/>
                    <w:left w:val="none" w:sz="0" w:space="0" w:color="auto"/>
                    <w:bottom w:val="none" w:sz="0" w:space="0" w:color="auto"/>
                    <w:right w:val="none" w:sz="0" w:space="0" w:color="auto"/>
                  </w:divBdr>
                  <w:divsChild>
                    <w:div w:id="284969024">
                      <w:marLeft w:val="0"/>
                      <w:marRight w:val="0"/>
                      <w:marTop w:val="0"/>
                      <w:marBottom w:val="0"/>
                      <w:divBdr>
                        <w:top w:val="none" w:sz="0" w:space="0" w:color="auto"/>
                        <w:left w:val="none" w:sz="0" w:space="0" w:color="auto"/>
                        <w:bottom w:val="none" w:sz="0" w:space="0" w:color="auto"/>
                        <w:right w:val="none" w:sz="0" w:space="0" w:color="auto"/>
                      </w:divBdr>
                    </w:div>
                    <w:div w:id="1746489934">
                      <w:marLeft w:val="0"/>
                      <w:marRight w:val="0"/>
                      <w:marTop w:val="0"/>
                      <w:marBottom w:val="0"/>
                      <w:divBdr>
                        <w:top w:val="none" w:sz="0" w:space="0" w:color="auto"/>
                        <w:left w:val="none" w:sz="0" w:space="0" w:color="auto"/>
                        <w:bottom w:val="none" w:sz="0" w:space="0" w:color="auto"/>
                        <w:right w:val="none" w:sz="0" w:space="0" w:color="auto"/>
                      </w:divBdr>
                    </w:div>
                  </w:divsChild>
                </w:div>
                <w:div w:id="517426378">
                  <w:marLeft w:val="0"/>
                  <w:marRight w:val="0"/>
                  <w:marTop w:val="0"/>
                  <w:marBottom w:val="0"/>
                  <w:divBdr>
                    <w:top w:val="none" w:sz="0" w:space="0" w:color="auto"/>
                    <w:left w:val="none" w:sz="0" w:space="0" w:color="auto"/>
                    <w:bottom w:val="none" w:sz="0" w:space="0" w:color="auto"/>
                    <w:right w:val="none" w:sz="0" w:space="0" w:color="auto"/>
                  </w:divBdr>
                  <w:divsChild>
                    <w:div w:id="1363166223">
                      <w:marLeft w:val="0"/>
                      <w:marRight w:val="0"/>
                      <w:marTop w:val="0"/>
                      <w:marBottom w:val="0"/>
                      <w:divBdr>
                        <w:top w:val="none" w:sz="0" w:space="0" w:color="auto"/>
                        <w:left w:val="none" w:sz="0" w:space="0" w:color="auto"/>
                        <w:bottom w:val="none" w:sz="0" w:space="0" w:color="auto"/>
                        <w:right w:val="none" w:sz="0" w:space="0" w:color="auto"/>
                      </w:divBdr>
                    </w:div>
                  </w:divsChild>
                </w:div>
                <w:div w:id="1537234218">
                  <w:marLeft w:val="0"/>
                  <w:marRight w:val="0"/>
                  <w:marTop w:val="0"/>
                  <w:marBottom w:val="0"/>
                  <w:divBdr>
                    <w:top w:val="none" w:sz="0" w:space="0" w:color="auto"/>
                    <w:left w:val="none" w:sz="0" w:space="0" w:color="auto"/>
                    <w:bottom w:val="none" w:sz="0" w:space="0" w:color="auto"/>
                    <w:right w:val="none" w:sz="0" w:space="0" w:color="auto"/>
                  </w:divBdr>
                  <w:divsChild>
                    <w:div w:id="17025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1060">
          <w:marLeft w:val="0"/>
          <w:marRight w:val="0"/>
          <w:marTop w:val="0"/>
          <w:marBottom w:val="0"/>
          <w:divBdr>
            <w:top w:val="none" w:sz="0" w:space="0" w:color="auto"/>
            <w:left w:val="none" w:sz="0" w:space="0" w:color="auto"/>
            <w:bottom w:val="none" w:sz="0" w:space="0" w:color="auto"/>
            <w:right w:val="none" w:sz="0" w:space="0" w:color="auto"/>
          </w:divBdr>
        </w:div>
        <w:div w:id="1891837796">
          <w:marLeft w:val="0"/>
          <w:marRight w:val="0"/>
          <w:marTop w:val="0"/>
          <w:marBottom w:val="0"/>
          <w:divBdr>
            <w:top w:val="none" w:sz="0" w:space="0" w:color="auto"/>
            <w:left w:val="none" w:sz="0" w:space="0" w:color="auto"/>
            <w:bottom w:val="none" w:sz="0" w:space="0" w:color="auto"/>
            <w:right w:val="none" w:sz="0" w:space="0" w:color="auto"/>
          </w:divBdr>
          <w:divsChild>
            <w:div w:id="113212910">
              <w:marLeft w:val="0"/>
              <w:marRight w:val="0"/>
              <w:marTop w:val="0"/>
              <w:marBottom w:val="0"/>
              <w:divBdr>
                <w:top w:val="none" w:sz="0" w:space="0" w:color="auto"/>
                <w:left w:val="none" w:sz="0" w:space="0" w:color="auto"/>
                <w:bottom w:val="none" w:sz="0" w:space="0" w:color="auto"/>
                <w:right w:val="none" w:sz="0" w:space="0" w:color="auto"/>
              </w:divBdr>
            </w:div>
            <w:div w:id="297145562">
              <w:marLeft w:val="0"/>
              <w:marRight w:val="0"/>
              <w:marTop w:val="0"/>
              <w:marBottom w:val="0"/>
              <w:divBdr>
                <w:top w:val="none" w:sz="0" w:space="0" w:color="auto"/>
                <w:left w:val="none" w:sz="0" w:space="0" w:color="auto"/>
                <w:bottom w:val="none" w:sz="0" w:space="0" w:color="auto"/>
                <w:right w:val="none" w:sz="0" w:space="0" w:color="auto"/>
              </w:divBdr>
            </w:div>
            <w:div w:id="575017955">
              <w:marLeft w:val="0"/>
              <w:marRight w:val="0"/>
              <w:marTop w:val="0"/>
              <w:marBottom w:val="0"/>
              <w:divBdr>
                <w:top w:val="none" w:sz="0" w:space="0" w:color="auto"/>
                <w:left w:val="none" w:sz="0" w:space="0" w:color="auto"/>
                <w:bottom w:val="none" w:sz="0" w:space="0" w:color="auto"/>
                <w:right w:val="none" w:sz="0" w:space="0" w:color="auto"/>
              </w:divBdr>
            </w:div>
            <w:div w:id="1203904263">
              <w:marLeft w:val="0"/>
              <w:marRight w:val="0"/>
              <w:marTop w:val="0"/>
              <w:marBottom w:val="0"/>
              <w:divBdr>
                <w:top w:val="none" w:sz="0" w:space="0" w:color="auto"/>
                <w:left w:val="none" w:sz="0" w:space="0" w:color="auto"/>
                <w:bottom w:val="none" w:sz="0" w:space="0" w:color="auto"/>
                <w:right w:val="none" w:sz="0" w:space="0" w:color="auto"/>
              </w:divBdr>
            </w:div>
            <w:div w:id="1249928900">
              <w:marLeft w:val="0"/>
              <w:marRight w:val="0"/>
              <w:marTop w:val="0"/>
              <w:marBottom w:val="0"/>
              <w:divBdr>
                <w:top w:val="none" w:sz="0" w:space="0" w:color="auto"/>
                <w:left w:val="none" w:sz="0" w:space="0" w:color="auto"/>
                <w:bottom w:val="none" w:sz="0" w:space="0" w:color="auto"/>
                <w:right w:val="none" w:sz="0" w:space="0" w:color="auto"/>
              </w:divBdr>
            </w:div>
          </w:divsChild>
        </w:div>
        <w:div w:id="2001734402">
          <w:marLeft w:val="0"/>
          <w:marRight w:val="0"/>
          <w:marTop w:val="0"/>
          <w:marBottom w:val="0"/>
          <w:divBdr>
            <w:top w:val="none" w:sz="0" w:space="0" w:color="auto"/>
            <w:left w:val="none" w:sz="0" w:space="0" w:color="auto"/>
            <w:bottom w:val="none" w:sz="0" w:space="0" w:color="auto"/>
            <w:right w:val="none" w:sz="0" w:space="0" w:color="auto"/>
          </w:divBdr>
          <w:divsChild>
            <w:div w:id="59866077">
              <w:marLeft w:val="0"/>
              <w:marRight w:val="0"/>
              <w:marTop w:val="0"/>
              <w:marBottom w:val="0"/>
              <w:divBdr>
                <w:top w:val="none" w:sz="0" w:space="0" w:color="auto"/>
                <w:left w:val="none" w:sz="0" w:space="0" w:color="auto"/>
                <w:bottom w:val="none" w:sz="0" w:space="0" w:color="auto"/>
                <w:right w:val="none" w:sz="0" w:space="0" w:color="auto"/>
              </w:divBdr>
            </w:div>
          </w:divsChild>
        </w:div>
        <w:div w:id="2022276213">
          <w:marLeft w:val="0"/>
          <w:marRight w:val="0"/>
          <w:marTop w:val="0"/>
          <w:marBottom w:val="0"/>
          <w:divBdr>
            <w:top w:val="none" w:sz="0" w:space="0" w:color="auto"/>
            <w:left w:val="none" w:sz="0" w:space="0" w:color="auto"/>
            <w:bottom w:val="none" w:sz="0" w:space="0" w:color="auto"/>
            <w:right w:val="none" w:sz="0" w:space="0" w:color="auto"/>
          </w:divBdr>
        </w:div>
        <w:div w:id="2025128214">
          <w:marLeft w:val="0"/>
          <w:marRight w:val="0"/>
          <w:marTop w:val="0"/>
          <w:marBottom w:val="0"/>
          <w:divBdr>
            <w:top w:val="none" w:sz="0" w:space="0" w:color="auto"/>
            <w:left w:val="none" w:sz="0" w:space="0" w:color="auto"/>
            <w:bottom w:val="none" w:sz="0" w:space="0" w:color="auto"/>
            <w:right w:val="none" w:sz="0" w:space="0" w:color="auto"/>
          </w:divBdr>
        </w:div>
        <w:div w:id="2039890609">
          <w:marLeft w:val="0"/>
          <w:marRight w:val="0"/>
          <w:marTop w:val="0"/>
          <w:marBottom w:val="0"/>
          <w:divBdr>
            <w:top w:val="none" w:sz="0" w:space="0" w:color="auto"/>
            <w:left w:val="none" w:sz="0" w:space="0" w:color="auto"/>
            <w:bottom w:val="none" w:sz="0" w:space="0" w:color="auto"/>
            <w:right w:val="none" w:sz="0" w:space="0" w:color="auto"/>
          </w:divBdr>
        </w:div>
        <w:div w:id="2066754374">
          <w:marLeft w:val="0"/>
          <w:marRight w:val="0"/>
          <w:marTop w:val="0"/>
          <w:marBottom w:val="0"/>
          <w:divBdr>
            <w:top w:val="none" w:sz="0" w:space="0" w:color="auto"/>
            <w:left w:val="none" w:sz="0" w:space="0" w:color="auto"/>
            <w:bottom w:val="none" w:sz="0" w:space="0" w:color="auto"/>
            <w:right w:val="none" w:sz="0" w:space="0" w:color="auto"/>
          </w:divBdr>
        </w:div>
      </w:divsChild>
    </w:div>
    <w:div w:id="287049172">
      <w:bodyDiv w:val="1"/>
      <w:marLeft w:val="0"/>
      <w:marRight w:val="0"/>
      <w:marTop w:val="0"/>
      <w:marBottom w:val="0"/>
      <w:divBdr>
        <w:top w:val="none" w:sz="0" w:space="0" w:color="auto"/>
        <w:left w:val="none" w:sz="0" w:space="0" w:color="auto"/>
        <w:bottom w:val="none" w:sz="0" w:space="0" w:color="auto"/>
        <w:right w:val="none" w:sz="0" w:space="0" w:color="auto"/>
      </w:divBdr>
      <w:divsChild>
        <w:div w:id="57948764">
          <w:marLeft w:val="0"/>
          <w:marRight w:val="0"/>
          <w:marTop w:val="0"/>
          <w:marBottom w:val="0"/>
          <w:divBdr>
            <w:top w:val="none" w:sz="0" w:space="0" w:color="auto"/>
            <w:left w:val="none" w:sz="0" w:space="0" w:color="auto"/>
            <w:bottom w:val="none" w:sz="0" w:space="0" w:color="auto"/>
            <w:right w:val="none" w:sz="0" w:space="0" w:color="auto"/>
          </w:divBdr>
        </w:div>
        <w:div w:id="128597205">
          <w:marLeft w:val="0"/>
          <w:marRight w:val="0"/>
          <w:marTop w:val="0"/>
          <w:marBottom w:val="0"/>
          <w:divBdr>
            <w:top w:val="none" w:sz="0" w:space="0" w:color="auto"/>
            <w:left w:val="none" w:sz="0" w:space="0" w:color="auto"/>
            <w:bottom w:val="none" w:sz="0" w:space="0" w:color="auto"/>
            <w:right w:val="none" w:sz="0" w:space="0" w:color="auto"/>
          </w:divBdr>
        </w:div>
        <w:div w:id="144205178">
          <w:marLeft w:val="0"/>
          <w:marRight w:val="0"/>
          <w:marTop w:val="0"/>
          <w:marBottom w:val="0"/>
          <w:divBdr>
            <w:top w:val="none" w:sz="0" w:space="0" w:color="auto"/>
            <w:left w:val="none" w:sz="0" w:space="0" w:color="auto"/>
            <w:bottom w:val="none" w:sz="0" w:space="0" w:color="auto"/>
            <w:right w:val="none" w:sz="0" w:space="0" w:color="auto"/>
          </w:divBdr>
        </w:div>
        <w:div w:id="146014272">
          <w:marLeft w:val="0"/>
          <w:marRight w:val="0"/>
          <w:marTop w:val="0"/>
          <w:marBottom w:val="0"/>
          <w:divBdr>
            <w:top w:val="none" w:sz="0" w:space="0" w:color="auto"/>
            <w:left w:val="none" w:sz="0" w:space="0" w:color="auto"/>
            <w:bottom w:val="none" w:sz="0" w:space="0" w:color="auto"/>
            <w:right w:val="none" w:sz="0" w:space="0" w:color="auto"/>
          </w:divBdr>
        </w:div>
        <w:div w:id="164830298">
          <w:marLeft w:val="0"/>
          <w:marRight w:val="0"/>
          <w:marTop w:val="0"/>
          <w:marBottom w:val="0"/>
          <w:divBdr>
            <w:top w:val="none" w:sz="0" w:space="0" w:color="auto"/>
            <w:left w:val="none" w:sz="0" w:space="0" w:color="auto"/>
            <w:bottom w:val="none" w:sz="0" w:space="0" w:color="auto"/>
            <w:right w:val="none" w:sz="0" w:space="0" w:color="auto"/>
          </w:divBdr>
        </w:div>
        <w:div w:id="165286160">
          <w:marLeft w:val="0"/>
          <w:marRight w:val="0"/>
          <w:marTop w:val="0"/>
          <w:marBottom w:val="0"/>
          <w:divBdr>
            <w:top w:val="none" w:sz="0" w:space="0" w:color="auto"/>
            <w:left w:val="none" w:sz="0" w:space="0" w:color="auto"/>
            <w:bottom w:val="none" w:sz="0" w:space="0" w:color="auto"/>
            <w:right w:val="none" w:sz="0" w:space="0" w:color="auto"/>
          </w:divBdr>
        </w:div>
        <w:div w:id="177163978">
          <w:marLeft w:val="0"/>
          <w:marRight w:val="0"/>
          <w:marTop w:val="0"/>
          <w:marBottom w:val="0"/>
          <w:divBdr>
            <w:top w:val="none" w:sz="0" w:space="0" w:color="auto"/>
            <w:left w:val="none" w:sz="0" w:space="0" w:color="auto"/>
            <w:bottom w:val="none" w:sz="0" w:space="0" w:color="auto"/>
            <w:right w:val="none" w:sz="0" w:space="0" w:color="auto"/>
          </w:divBdr>
        </w:div>
        <w:div w:id="222914075">
          <w:marLeft w:val="0"/>
          <w:marRight w:val="0"/>
          <w:marTop w:val="0"/>
          <w:marBottom w:val="0"/>
          <w:divBdr>
            <w:top w:val="none" w:sz="0" w:space="0" w:color="auto"/>
            <w:left w:val="none" w:sz="0" w:space="0" w:color="auto"/>
            <w:bottom w:val="none" w:sz="0" w:space="0" w:color="auto"/>
            <w:right w:val="none" w:sz="0" w:space="0" w:color="auto"/>
          </w:divBdr>
        </w:div>
        <w:div w:id="264465201">
          <w:marLeft w:val="0"/>
          <w:marRight w:val="0"/>
          <w:marTop w:val="0"/>
          <w:marBottom w:val="0"/>
          <w:divBdr>
            <w:top w:val="none" w:sz="0" w:space="0" w:color="auto"/>
            <w:left w:val="none" w:sz="0" w:space="0" w:color="auto"/>
            <w:bottom w:val="none" w:sz="0" w:space="0" w:color="auto"/>
            <w:right w:val="none" w:sz="0" w:space="0" w:color="auto"/>
          </w:divBdr>
        </w:div>
        <w:div w:id="281574113">
          <w:marLeft w:val="0"/>
          <w:marRight w:val="0"/>
          <w:marTop w:val="0"/>
          <w:marBottom w:val="0"/>
          <w:divBdr>
            <w:top w:val="none" w:sz="0" w:space="0" w:color="auto"/>
            <w:left w:val="none" w:sz="0" w:space="0" w:color="auto"/>
            <w:bottom w:val="none" w:sz="0" w:space="0" w:color="auto"/>
            <w:right w:val="none" w:sz="0" w:space="0" w:color="auto"/>
          </w:divBdr>
        </w:div>
        <w:div w:id="310645736">
          <w:marLeft w:val="0"/>
          <w:marRight w:val="0"/>
          <w:marTop w:val="0"/>
          <w:marBottom w:val="0"/>
          <w:divBdr>
            <w:top w:val="none" w:sz="0" w:space="0" w:color="auto"/>
            <w:left w:val="none" w:sz="0" w:space="0" w:color="auto"/>
            <w:bottom w:val="none" w:sz="0" w:space="0" w:color="auto"/>
            <w:right w:val="none" w:sz="0" w:space="0" w:color="auto"/>
          </w:divBdr>
        </w:div>
        <w:div w:id="313414250">
          <w:marLeft w:val="0"/>
          <w:marRight w:val="0"/>
          <w:marTop w:val="0"/>
          <w:marBottom w:val="0"/>
          <w:divBdr>
            <w:top w:val="none" w:sz="0" w:space="0" w:color="auto"/>
            <w:left w:val="none" w:sz="0" w:space="0" w:color="auto"/>
            <w:bottom w:val="none" w:sz="0" w:space="0" w:color="auto"/>
            <w:right w:val="none" w:sz="0" w:space="0" w:color="auto"/>
          </w:divBdr>
        </w:div>
        <w:div w:id="356850186">
          <w:marLeft w:val="0"/>
          <w:marRight w:val="0"/>
          <w:marTop w:val="0"/>
          <w:marBottom w:val="0"/>
          <w:divBdr>
            <w:top w:val="none" w:sz="0" w:space="0" w:color="auto"/>
            <w:left w:val="none" w:sz="0" w:space="0" w:color="auto"/>
            <w:bottom w:val="none" w:sz="0" w:space="0" w:color="auto"/>
            <w:right w:val="none" w:sz="0" w:space="0" w:color="auto"/>
          </w:divBdr>
        </w:div>
        <w:div w:id="358237249">
          <w:marLeft w:val="0"/>
          <w:marRight w:val="0"/>
          <w:marTop w:val="0"/>
          <w:marBottom w:val="0"/>
          <w:divBdr>
            <w:top w:val="none" w:sz="0" w:space="0" w:color="auto"/>
            <w:left w:val="none" w:sz="0" w:space="0" w:color="auto"/>
            <w:bottom w:val="none" w:sz="0" w:space="0" w:color="auto"/>
            <w:right w:val="none" w:sz="0" w:space="0" w:color="auto"/>
          </w:divBdr>
        </w:div>
        <w:div w:id="360742012">
          <w:marLeft w:val="0"/>
          <w:marRight w:val="0"/>
          <w:marTop w:val="0"/>
          <w:marBottom w:val="0"/>
          <w:divBdr>
            <w:top w:val="none" w:sz="0" w:space="0" w:color="auto"/>
            <w:left w:val="none" w:sz="0" w:space="0" w:color="auto"/>
            <w:bottom w:val="none" w:sz="0" w:space="0" w:color="auto"/>
            <w:right w:val="none" w:sz="0" w:space="0" w:color="auto"/>
          </w:divBdr>
          <w:divsChild>
            <w:div w:id="1854800">
              <w:marLeft w:val="-75"/>
              <w:marRight w:val="0"/>
              <w:marTop w:val="30"/>
              <w:marBottom w:val="30"/>
              <w:divBdr>
                <w:top w:val="none" w:sz="0" w:space="0" w:color="auto"/>
                <w:left w:val="none" w:sz="0" w:space="0" w:color="auto"/>
                <w:bottom w:val="none" w:sz="0" w:space="0" w:color="auto"/>
                <w:right w:val="none" w:sz="0" w:space="0" w:color="auto"/>
              </w:divBdr>
              <w:divsChild>
                <w:div w:id="149756870">
                  <w:marLeft w:val="0"/>
                  <w:marRight w:val="0"/>
                  <w:marTop w:val="0"/>
                  <w:marBottom w:val="0"/>
                  <w:divBdr>
                    <w:top w:val="none" w:sz="0" w:space="0" w:color="auto"/>
                    <w:left w:val="none" w:sz="0" w:space="0" w:color="auto"/>
                    <w:bottom w:val="none" w:sz="0" w:space="0" w:color="auto"/>
                    <w:right w:val="none" w:sz="0" w:space="0" w:color="auto"/>
                  </w:divBdr>
                  <w:divsChild>
                    <w:div w:id="235480951">
                      <w:marLeft w:val="0"/>
                      <w:marRight w:val="0"/>
                      <w:marTop w:val="0"/>
                      <w:marBottom w:val="0"/>
                      <w:divBdr>
                        <w:top w:val="none" w:sz="0" w:space="0" w:color="auto"/>
                        <w:left w:val="none" w:sz="0" w:space="0" w:color="auto"/>
                        <w:bottom w:val="none" w:sz="0" w:space="0" w:color="auto"/>
                        <w:right w:val="none" w:sz="0" w:space="0" w:color="auto"/>
                      </w:divBdr>
                    </w:div>
                  </w:divsChild>
                </w:div>
                <w:div w:id="254361597">
                  <w:marLeft w:val="0"/>
                  <w:marRight w:val="0"/>
                  <w:marTop w:val="0"/>
                  <w:marBottom w:val="0"/>
                  <w:divBdr>
                    <w:top w:val="none" w:sz="0" w:space="0" w:color="auto"/>
                    <w:left w:val="none" w:sz="0" w:space="0" w:color="auto"/>
                    <w:bottom w:val="none" w:sz="0" w:space="0" w:color="auto"/>
                    <w:right w:val="none" w:sz="0" w:space="0" w:color="auto"/>
                  </w:divBdr>
                  <w:divsChild>
                    <w:div w:id="727652514">
                      <w:marLeft w:val="0"/>
                      <w:marRight w:val="0"/>
                      <w:marTop w:val="0"/>
                      <w:marBottom w:val="0"/>
                      <w:divBdr>
                        <w:top w:val="none" w:sz="0" w:space="0" w:color="auto"/>
                        <w:left w:val="none" w:sz="0" w:space="0" w:color="auto"/>
                        <w:bottom w:val="none" w:sz="0" w:space="0" w:color="auto"/>
                        <w:right w:val="none" w:sz="0" w:space="0" w:color="auto"/>
                      </w:divBdr>
                    </w:div>
                    <w:div w:id="947856693">
                      <w:marLeft w:val="0"/>
                      <w:marRight w:val="0"/>
                      <w:marTop w:val="0"/>
                      <w:marBottom w:val="0"/>
                      <w:divBdr>
                        <w:top w:val="none" w:sz="0" w:space="0" w:color="auto"/>
                        <w:left w:val="none" w:sz="0" w:space="0" w:color="auto"/>
                        <w:bottom w:val="none" w:sz="0" w:space="0" w:color="auto"/>
                        <w:right w:val="none" w:sz="0" w:space="0" w:color="auto"/>
                      </w:divBdr>
                    </w:div>
                    <w:div w:id="1328561487">
                      <w:marLeft w:val="0"/>
                      <w:marRight w:val="0"/>
                      <w:marTop w:val="0"/>
                      <w:marBottom w:val="0"/>
                      <w:divBdr>
                        <w:top w:val="none" w:sz="0" w:space="0" w:color="auto"/>
                        <w:left w:val="none" w:sz="0" w:space="0" w:color="auto"/>
                        <w:bottom w:val="none" w:sz="0" w:space="0" w:color="auto"/>
                        <w:right w:val="none" w:sz="0" w:space="0" w:color="auto"/>
                      </w:divBdr>
                    </w:div>
                    <w:div w:id="2144886369">
                      <w:marLeft w:val="0"/>
                      <w:marRight w:val="0"/>
                      <w:marTop w:val="0"/>
                      <w:marBottom w:val="0"/>
                      <w:divBdr>
                        <w:top w:val="none" w:sz="0" w:space="0" w:color="auto"/>
                        <w:left w:val="none" w:sz="0" w:space="0" w:color="auto"/>
                        <w:bottom w:val="none" w:sz="0" w:space="0" w:color="auto"/>
                        <w:right w:val="none" w:sz="0" w:space="0" w:color="auto"/>
                      </w:divBdr>
                    </w:div>
                  </w:divsChild>
                </w:div>
                <w:div w:id="1146898192">
                  <w:marLeft w:val="0"/>
                  <w:marRight w:val="0"/>
                  <w:marTop w:val="0"/>
                  <w:marBottom w:val="0"/>
                  <w:divBdr>
                    <w:top w:val="none" w:sz="0" w:space="0" w:color="auto"/>
                    <w:left w:val="none" w:sz="0" w:space="0" w:color="auto"/>
                    <w:bottom w:val="none" w:sz="0" w:space="0" w:color="auto"/>
                    <w:right w:val="none" w:sz="0" w:space="0" w:color="auto"/>
                  </w:divBdr>
                  <w:divsChild>
                    <w:div w:id="1001934399">
                      <w:marLeft w:val="0"/>
                      <w:marRight w:val="0"/>
                      <w:marTop w:val="0"/>
                      <w:marBottom w:val="0"/>
                      <w:divBdr>
                        <w:top w:val="none" w:sz="0" w:space="0" w:color="auto"/>
                        <w:left w:val="none" w:sz="0" w:space="0" w:color="auto"/>
                        <w:bottom w:val="none" w:sz="0" w:space="0" w:color="auto"/>
                        <w:right w:val="none" w:sz="0" w:space="0" w:color="auto"/>
                      </w:divBdr>
                    </w:div>
                    <w:div w:id="1787696281">
                      <w:marLeft w:val="0"/>
                      <w:marRight w:val="0"/>
                      <w:marTop w:val="0"/>
                      <w:marBottom w:val="0"/>
                      <w:divBdr>
                        <w:top w:val="none" w:sz="0" w:space="0" w:color="auto"/>
                        <w:left w:val="none" w:sz="0" w:space="0" w:color="auto"/>
                        <w:bottom w:val="none" w:sz="0" w:space="0" w:color="auto"/>
                        <w:right w:val="none" w:sz="0" w:space="0" w:color="auto"/>
                      </w:divBdr>
                    </w:div>
                  </w:divsChild>
                </w:div>
                <w:div w:id="1158229636">
                  <w:marLeft w:val="0"/>
                  <w:marRight w:val="0"/>
                  <w:marTop w:val="0"/>
                  <w:marBottom w:val="0"/>
                  <w:divBdr>
                    <w:top w:val="none" w:sz="0" w:space="0" w:color="auto"/>
                    <w:left w:val="none" w:sz="0" w:space="0" w:color="auto"/>
                    <w:bottom w:val="none" w:sz="0" w:space="0" w:color="auto"/>
                    <w:right w:val="none" w:sz="0" w:space="0" w:color="auto"/>
                  </w:divBdr>
                  <w:divsChild>
                    <w:div w:id="1143961437">
                      <w:marLeft w:val="0"/>
                      <w:marRight w:val="0"/>
                      <w:marTop w:val="0"/>
                      <w:marBottom w:val="0"/>
                      <w:divBdr>
                        <w:top w:val="none" w:sz="0" w:space="0" w:color="auto"/>
                        <w:left w:val="none" w:sz="0" w:space="0" w:color="auto"/>
                        <w:bottom w:val="none" w:sz="0" w:space="0" w:color="auto"/>
                        <w:right w:val="none" w:sz="0" w:space="0" w:color="auto"/>
                      </w:divBdr>
                    </w:div>
                  </w:divsChild>
                </w:div>
                <w:div w:id="1159418699">
                  <w:marLeft w:val="0"/>
                  <w:marRight w:val="0"/>
                  <w:marTop w:val="0"/>
                  <w:marBottom w:val="0"/>
                  <w:divBdr>
                    <w:top w:val="none" w:sz="0" w:space="0" w:color="auto"/>
                    <w:left w:val="none" w:sz="0" w:space="0" w:color="auto"/>
                    <w:bottom w:val="none" w:sz="0" w:space="0" w:color="auto"/>
                    <w:right w:val="none" w:sz="0" w:space="0" w:color="auto"/>
                  </w:divBdr>
                  <w:divsChild>
                    <w:div w:id="1529179812">
                      <w:marLeft w:val="0"/>
                      <w:marRight w:val="0"/>
                      <w:marTop w:val="0"/>
                      <w:marBottom w:val="0"/>
                      <w:divBdr>
                        <w:top w:val="none" w:sz="0" w:space="0" w:color="auto"/>
                        <w:left w:val="none" w:sz="0" w:space="0" w:color="auto"/>
                        <w:bottom w:val="none" w:sz="0" w:space="0" w:color="auto"/>
                        <w:right w:val="none" w:sz="0" w:space="0" w:color="auto"/>
                      </w:divBdr>
                    </w:div>
                  </w:divsChild>
                </w:div>
                <w:div w:id="1288051989">
                  <w:marLeft w:val="0"/>
                  <w:marRight w:val="0"/>
                  <w:marTop w:val="0"/>
                  <w:marBottom w:val="0"/>
                  <w:divBdr>
                    <w:top w:val="none" w:sz="0" w:space="0" w:color="auto"/>
                    <w:left w:val="none" w:sz="0" w:space="0" w:color="auto"/>
                    <w:bottom w:val="none" w:sz="0" w:space="0" w:color="auto"/>
                    <w:right w:val="none" w:sz="0" w:space="0" w:color="auto"/>
                  </w:divBdr>
                  <w:divsChild>
                    <w:div w:id="1546485564">
                      <w:marLeft w:val="0"/>
                      <w:marRight w:val="0"/>
                      <w:marTop w:val="0"/>
                      <w:marBottom w:val="0"/>
                      <w:divBdr>
                        <w:top w:val="none" w:sz="0" w:space="0" w:color="auto"/>
                        <w:left w:val="none" w:sz="0" w:space="0" w:color="auto"/>
                        <w:bottom w:val="none" w:sz="0" w:space="0" w:color="auto"/>
                        <w:right w:val="none" w:sz="0" w:space="0" w:color="auto"/>
                      </w:divBdr>
                    </w:div>
                  </w:divsChild>
                </w:div>
                <w:div w:id="1781603699">
                  <w:marLeft w:val="0"/>
                  <w:marRight w:val="0"/>
                  <w:marTop w:val="0"/>
                  <w:marBottom w:val="0"/>
                  <w:divBdr>
                    <w:top w:val="none" w:sz="0" w:space="0" w:color="auto"/>
                    <w:left w:val="none" w:sz="0" w:space="0" w:color="auto"/>
                    <w:bottom w:val="none" w:sz="0" w:space="0" w:color="auto"/>
                    <w:right w:val="none" w:sz="0" w:space="0" w:color="auto"/>
                  </w:divBdr>
                  <w:divsChild>
                    <w:div w:id="280264175">
                      <w:marLeft w:val="0"/>
                      <w:marRight w:val="0"/>
                      <w:marTop w:val="0"/>
                      <w:marBottom w:val="0"/>
                      <w:divBdr>
                        <w:top w:val="none" w:sz="0" w:space="0" w:color="auto"/>
                        <w:left w:val="none" w:sz="0" w:space="0" w:color="auto"/>
                        <w:bottom w:val="none" w:sz="0" w:space="0" w:color="auto"/>
                        <w:right w:val="none" w:sz="0" w:space="0" w:color="auto"/>
                      </w:divBdr>
                    </w:div>
                  </w:divsChild>
                </w:div>
                <w:div w:id="1898475228">
                  <w:marLeft w:val="0"/>
                  <w:marRight w:val="0"/>
                  <w:marTop w:val="0"/>
                  <w:marBottom w:val="0"/>
                  <w:divBdr>
                    <w:top w:val="none" w:sz="0" w:space="0" w:color="auto"/>
                    <w:left w:val="none" w:sz="0" w:space="0" w:color="auto"/>
                    <w:bottom w:val="none" w:sz="0" w:space="0" w:color="auto"/>
                    <w:right w:val="none" w:sz="0" w:space="0" w:color="auto"/>
                  </w:divBdr>
                  <w:divsChild>
                    <w:div w:id="1752584177">
                      <w:marLeft w:val="0"/>
                      <w:marRight w:val="0"/>
                      <w:marTop w:val="0"/>
                      <w:marBottom w:val="0"/>
                      <w:divBdr>
                        <w:top w:val="none" w:sz="0" w:space="0" w:color="auto"/>
                        <w:left w:val="none" w:sz="0" w:space="0" w:color="auto"/>
                        <w:bottom w:val="none" w:sz="0" w:space="0" w:color="auto"/>
                        <w:right w:val="none" w:sz="0" w:space="0" w:color="auto"/>
                      </w:divBdr>
                    </w:div>
                  </w:divsChild>
                </w:div>
                <w:div w:id="2086610061">
                  <w:marLeft w:val="0"/>
                  <w:marRight w:val="0"/>
                  <w:marTop w:val="0"/>
                  <w:marBottom w:val="0"/>
                  <w:divBdr>
                    <w:top w:val="none" w:sz="0" w:space="0" w:color="auto"/>
                    <w:left w:val="none" w:sz="0" w:space="0" w:color="auto"/>
                    <w:bottom w:val="none" w:sz="0" w:space="0" w:color="auto"/>
                    <w:right w:val="none" w:sz="0" w:space="0" w:color="auto"/>
                  </w:divBdr>
                  <w:divsChild>
                    <w:div w:id="1477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777">
          <w:marLeft w:val="0"/>
          <w:marRight w:val="0"/>
          <w:marTop w:val="0"/>
          <w:marBottom w:val="0"/>
          <w:divBdr>
            <w:top w:val="none" w:sz="0" w:space="0" w:color="auto"/>
            <w:left w:val="none" w:sz="0" w:space="0" w:color="auto"/>
            <w:bottom w:val="none" w:sz="0" w:space="0" w:color="auto"/>
            <w:right w:val="none" w:sz="0" w:space="0" w:color="auto"/>
          </w:divBdr>
        </w:div>
        <w:div w:id="416246337">
          <w:marLeft w:val="0"/>
          <w:marRight w:val="0"/>
          <w:marTop w:val="0"/>
          <w:marBottom w:val="0"/>
          <w:divBdr>
            <w:top w:val="none" w:sz="0" w:space="0" w:color="auto"/>
            <w:left w:val="none" w:sz="0" w:space="0" w:color="auto"/>
            <w:bottom w:val="none" w:sz="0" w:space="0" w:color="auto"/>
            <w:right w:val="none" w:sz="0" w:space="0" w:color="auto"/>
          </w:divBdr>
        </w:div>
        <w:div w:id="417286108">
          <w:marLeft w:val="0"/>
          <w:marRight w:val="0"/>
          <w:marTop w:val="0"/>
          <w:marBottom w:val="0"/>
          <w:divBdr>
            <w:top w:val="none" w:sz="0" w:space="0" w:color="auto"/>
            <w:left w:val="none" w:sz="0" w:space="0" w:color="auto"/>
            <w:bottom w:val="none" w:sz="0" w:space="0" w:color="auto"/>
            <w:right w:val="none" w:sz="0" w:space="0" w:color="auto"/>
          </w:divBdr>
        </w:div>
        <w:div w:id="428698030">
          <w:marLeft w:val="0"/>
          <w:marRight w:val="0"/>
          <w:marTop w:val="0"/>
          <w:marBottom w:val="0"/>
          <w:divBdr>
            <w:top w:val="none" w:sz="0" w:space="0" w:color="auto"/>
            <w:left w:val="none" w:sz="0" w:space="0" w:color="auto"/>
            <w:bottom w:val="none" w:sz="0" w:space="0" w:color="auto"/>
            <w:right w:val="none" w:sz="0" w:space="0" w:color="auto"/>
          </w:divBdr>
        </w:div>
        <w:div w:id="456140074">
          <w:marLeft w:val="0"/>
          <w:marRight w:val="0"/>
          <w:marTop w:val="0"/>
          <w:marBottom w:val="0"/>
          <w:divBdr>
            <w:top w:val="none" w:sz="0" w:space="0" w:color="auto"/>
            <w:left w:val="none" w:sz="0" w:space="0" w:color="auto"/>
            <w:bottom w:val="none" w:sz="0" w:space="0" w:color="auto"/>
            <w:right w:val="none" w:sz="0" w:space="0" w:color="auto"/>
          </w:divBdr>
        </w:div>
        <w:div w:id="538469113">
          <w:marLeft w:val="0"/>
          <w:marRight w:val="0"/>
          <w:marTop w:val="0"/>
          <w:marBottom w:val="0"/>
          <w:divBdr>
            <w:top w:val="none" w:sz="0" w:space="0" w:color="auto"/>
            <w:left w:val="none" w:sz="0" w:space="0" w:color="auto"/>
            <w:bottom w:val="none" w:sz="0" w:space="0" w:color="auto"/>
            <w:right w:val="none" w:sz="0" w:space="0" w:color="auto"/>
          </w:divBdr>
        </w:div>
        <w:div w:id="563562566">
          <w:marLeft w:val="0"/>
          <w:marRight w:val="0"/>
          <w:marTop w:val="0"/>
          <w:marBottom w:val="0"/>
          <w:divBdr>
            <w:top w:val="none" w:sz="0" w:space="0" w:color="auto"/>
            <w:left w:val="none" w:sz="0" w:space="0" w:color="auto"/>
            <w:bottom w:val="none" w:sz="0" w:space="0" w:color="auto"/>
            <w:right w:val="none" w:sz="0" w:space="0" w:color="auto"/>
          </w:divBdr>
        </w:div>
        <w:div w:id="574974202">
          <w:marLeft w:val="0"/>
          <w:marRight w:val="0"/>
          <w:marTop w:val="0"/>
          <w:marBottom w:val="0"/>
          <w:divBdr>
            <w:top w:val="none" w:sz="0" w:space="0" w:color="auto"/>
            <w:left w:val="none" w:sz="0" w:space="0" w:color="auto"/>
            <w:bottom w:val="none" w:sz="0" w:space="0" w:color="auto"/>
            <w:right w:val="none" w:sz="0" w:space="0" w:color="auto"/>
          </w:divBdr>
        </w:div>
        <w:div w:id="642393139">
          <w:marLeft w:val="0"/>
          <w:marRight w:val="0"/>
          <w:marTop w:val="0"/>
          <w:marBottom w:val="0"/>
          <w:divBdr>
            <w:top w:val="none" w:sz="0" w:space="0" w:color="auto"/>
            <w:left w:val="none" w:sz="0" w:space="0" w:color="auto"/>
            <w:bottom w:val="none" w:sz="0" w:space="0" w:color="auto"/>
            <w:right w:val="none" w:sz="0" w:space="0" w:color="auto"/>
          </w:divBdr>
        </w:div>
        <w:div w:id="695470074">
          <w:marLeft w:val="0"/>
          <w:marRight w:val="0"/>
          <w:marTop w:val="0"/>
          <w:marBottom w:val="0"/>
          <w:divBdr>
            <w:top w:val="none" w:sz="0" w:space="0" w:color="auto"/>
            <w:left w:val="none" w:sz="0" w:space="0" w:color="auto"/>
            <w:bottom w:val="none" w:sz="0" w:space="0" w:color="auto"/>
            <w:right w:val="none" w:sz="0" w:space="0" w:color="auto"/>
          </w:divBdr>
        </w:div>
        <w:div w:id="710617633">
          <w:marLeft w:val="0"/>
          <w:marRight w:val="0"/>
          <w:marTop w:val="0"/>
          <w:marBottom w:val="0"/>
          <w:divBdr>
            <w:top w:val="none" w:sz="0" w:space="0" w:color="auto"/>
            <w:left w:val="none" w:sz="0" w:space="0" w:color="auto"/>
            <w:bottom w:val="none" w:sz="0" w:space="0" w:color="auto"/>
            <w:right w:val="none" w:sz="0" w:space="0" w:color="auto"/>
          </w:divBdr>
        </w:div>
        <w:div w:id="714307473">
          <w:marLeft w:val="0"/>
          <w:marRight w:val="0"/>
          <w:marTop w:val="0"/>
          <w:marBottom w:val="0"/>
          <w:divBdr>
            <w:top w:val="none" w:sz="0" w:space="0" w:color="auto"/>
            <w:left w:val="none" w:sz="0" w:space="0" w:color="auto"/>
            <w:bottom w:val="none" w:sz="0" w:space="0" w:color="auto"/>
            <w:right w:val="none" w:sz="0" w:space="0" w:color="auto"/>
          </w:divBdr>
        </w:div>
        <w:div w:id="726033136">
          <w:marLeft w:val="0"/>
          <w:marRight w:val="0"/>
          <w:marTop w:val="0"/>
          <w:marBottom w:val="0"/>
          <w:divBdr>
            <w:top w:val="none" w:sz="0" w:space="0" w:color="auto"/>
            <w:left w:val="none" w:sz="0" w:space="0" w:color="auto"/>
            <w:bottom w:val="none" w:sz="0" w:space="0" w:color="auto"/>
            <w:right w:val="none" w:sz="0" w:space="0" w:color="auto"/>
          </w:divBdr>
        </w:div>
        <w:div w:id="729302276">
          <w:marLeft w:val="0"/>
          <w:marRight w:val="0"/>
          <w:marTop w:val="0"/>
          <w:marBottom w:val="0"/>
          <w:divBdr>
            <w:top w:val="none" w:sz="0" w:space="0" w:color="auto"/>
            <w:left w:val="none" w:sz="0" w:space="0" w:color="auto"/>
            <w:bottom w:val="none" w:sz="0" w:space="0" w:color="auto"/>
            <w:right w:val="none" w:sz="0" w:space="0" w:color="auto"/>
          </w:divBdr>
        </w:div>
        <w:div w:id="856120580">
          <w:marLeft w:val="0"/>
          <w:marRight w:val="0"/>
          <w:marTop w:val="0"/>
          <w:marBottom w:val="0"/>
          <w:divBdr>
            <w:top w:val="none" w:sz="0" w:space="0" w:color="auto"/>
            <w:left w:val="none" w:sz="0" w:space="0" w:color="auto"/>
            <w:bottom w:val="none" w:sz="0" w:space="0" w:color="auto"/>
            <w:right w:val="none" w:sz="0" w:space="0" w:color="auto"/>
          </w:divBdr>
        </w:div>
        <w:div w:id="868569766">
          <w:marLeft w:val="0"/>
          <w:marRight w:val="0"/>
          <w:marTop w:val="0"/>
          <w:marBottom w:val="0"/>
          <w:divBdr>
            <w:top w:val="none" w:sz="0" w:space="0" w:color="auto"/>
            <w:left w:val="none" w:sz="0" w:space="0" w:color="auto"/>
            <w:bottom w:val="none" w:sz="0" w:space="0" w:color="auto"/>
            <w:right w:val="none" w:sz="0" w:space="0" w:color="auto"/>
          </w:divBdr>
        </w:div>
        <w:div w:id="878324314">
          <w:marLeft w:val="0"/>
          <w:marRight w:val="0"/>
          <w:marTop w:val="0"/>
          <w:marBottom w:val="0"/>
          <w:divBdr>
            <w:top w:val="none" w:sz="0" w:space="0" w:color="auto"/>
            <w:left w:val="none" w:sz="0" w:space="0" w:color="auto"/>
            <w:bottom w:val="none" w:sz="0" w:space="0" w:color="auto"/>
            <w:right w:val="none" w:sz="0" w:space="0" w:color="auto"/>
          </w:divBdr>
        </w:div>
        <w:div w:id="881597808">
          <w:marLeft w:val="0"/>
          <w:marRight w:val="0"/>
          <w:marTop w:val="0"/>
          <w:marBottom w:val="0"/>
          <w:divBdr>
            <w:top w:val="none" w:sz="0" w:space="0" w:color="auto"/>
            <w:left w:val="none" w:sz="0" w:space="0" w:color="auto"/>
            <w:bottom w:val="none" w:sz="0" w:space="0" w:color="auto"/>
            <w:right w:val="none" w:sz="0" w:space="0" w:color="auto"/>
          </w:divBdr>
        </w:div>
        <w:div w:id="913247052">
          <w:marLeft w:val="0"/>
          <w:marRight w:val="0"/>
          <w:marTop w:val="0"/>
          <w:marBottom w:val="0"/>
          <w:divBdr>
            <w:top w:val="none" w:sz="0" w:space="0" w:color="auto"/>
            <w:left w:val="none" w:sz="0" w:space="0" w:color="auto"/>
            <w:bottom w:val="none" w:sz="0" w:space="0" w:color="auto"/>
            <w:right w:val="none" w:sz="0" w:space="0" w:color="auto"/>
          </w:divBdr>
        </w:div>
        <w:div w:id="923488649">
          <w:marLeft w:val="0"/>
          <w:marRight w:val="0"/>
          <w:marTop w:val="0"/>
          <w:marBottom w:val="0"/>
          <w:divBdr>
            <w:top w:val="none" w:sz="0" w:space="0" w:color="auto"/>
            <w:left w:val="none" w:sz="0" w:space="0" w:color="auto"/>
            <w:bottom w:val="none" w:sz="0" w:space="0" w:color="auto"/>
            <w:right w:val="none" w:sz="0" w:space="0" w:color="auto"/>
          </w:divBdr>
        </w:div>
        <w:div w:id="946742707">
          <w:marLeft w:val="0"/>
          <w:marRight w:val="0"/>
          <w:marTop w:val="0"/>
          <w:marBottom w:val="0"/>
          <w:divBdr>
            <w:top w:val="none" w:sz="0" w:space="0" w:color="auto"/>
            <w:left w:val="none" w:sz="0" w:space="0" w:color="auto"/>
            <w:bottom w:val="none" w:sz="0" w:space="0" w:color="auto"/>
            <w:right w:val="none" w:sz="0" w:space="0" w:color="auto"/>
          </w:divBdr>
        </w:div>
        <w:div w:id="970403337">
          <w:marLeft w:val="0"/>
          <w:marRight w:val="0"/>
          <w:marTop w:val="0"/>
          <w:marBottom w:val="0"/>
          <w:divBdr>
            <w:top w:val="none" w:sz="0" w:space="0" w:color="auto"/>
            <w:left w:val="none" w:sz="0" w:space="0" w:color="auto"/>
            <w:bottom w:val="none" w:sz="0" w:space="0" w:color="auto"/>
            <w:right w:val="none" w:sz="0" w:space="0" w:color="auto"/>
          </w:divBdr>
        </w:div>
        <w:div w:id="1005593290">
          <w:marLeft w:val="0"/>
          <w:marRight w:val="0"/>
          <w:marTop w:val="0"/>
          <w:marBottom w:val="0"/>
          <w:divBdr>
            <w:top w:val="none" w:sz="0" w:space="0" w:color="auto"/>
            <w:left w:val="none" w:sz="0" w:space="0" w:color="auto"/>
            <w:bottom w:val="none" w:sz="0" w:space="0" w:color="auto"/>
            <w:right w:val="none" w:sz="0" w:space="0" w:color="auto"/>
          </w:divBdr>
        </w:div>
        <w:div w:id="1018392481">
          <w:marLeft w:val="0"/>
          <w:marRight w:val="0"/>
          <w:marTop w:val="0"/>
          <w:marBottom w:val="0"/>
          <w:divBdr>
            <w:top w:val="none" w:sz="0" w:space="0" w:color="auto"/>
            <w:left w:val="none" w:sz="0" w:space="0" w:color="auto"/>
            <w:bottom w:val="none" w:sz="0" w:space="0" w:color="auto"/>
            <w:right w:val="none" w:sz="0" w:space="0" w:color="auto"/>
          </w:divBdr>
        </w:div>
        <w:div w:id="1037773109">
          <w:marLeft w:val="0"/>
          <w:marRight w:val="0"/>
          <w:marTop w:val="0"/>
          <w:marBottom w:val="0"/>
          <w:divBdr>
            <w:top w:val="none" w:sz="0" w:space="0" w:color="auto"/>
            <w:left w:val="none" w:sz="0" w:space="0" w:color="auto"/>
            <w:bottom w:val="none" w:sz="0" w:space="0" w:color="auto"/>
            <w:right w:val="none" w:sz="0" w:space="0" w:color="auto"/>
          </w:divBdr>
        </w:div>
        <w:div w:id="1117260899">
          <w:marLeft w:val="0"/>
          <w:marRight w:val="0"/>
          <w:marTop w:val="0"/>
          <w:marBottom w:val="0"/>
          <w:divBdr>
            <w:top w:val="none" w:sz="0" w:space="0" w:color="auto"/>
            <w:left w:val="none" w:sz="0" w:space="0" w:color="auto"/>
            <w:bottom w:val="none" w:sz="0" w:space="0" w:color="auto"/>
            <w:right w:val="none" w:sz="0" w:space="0" w:color="auto"/>
          </w:divBdr>
        </w:div>
        <w:div w:id="1121651712">
          <w:marLeft w:val="0"/>
          <w:marRight w:val="0"/>
          <w:marTop w:val="0"/>
          <w:marBottom w:val="0"/>
          <w:divBdr>
            <w:top w:val="none" w:sz="0" w:space="0" w:color="auto"/>
            <w:left w:val="none" w:sz="0" w:space="0" w:color="auto"/>
            <w:bottom w:val="none" w:sz="0" w:space="0" w:color="auto"/>
            <w:right w:val="none" w:sz="0" w:space="0" w:color="auto"/>
          </w:divBdr>
        </w:div>
        <w:div w:id="1153254462">
          <w:marLeft w:val="0"/>
          <w:marRight w:val="0"/>
          <w:marTop w:val="0"/>
          <w:marBottom w:val="0"/>
          <w:divBdr>
            <w:top w:val="none" w:sz="0" w:space="0" w:color="auto"/>
            <w:left w:val="none" w:sz="0" w:space="0" w:color="auto"/>
            <w:bottom w:val="none" w:sz="0" w:space="0" w:color="auto"/>
            <w:right w:val="none" w:sz="0" w:space="0" w:color="auto"/>
          </w:divBdr>
        </w:div>
        <w:div w:id="1154370660">
          <w:marLeft w:val="0"/>
          <w:marRight w:val="0"/>
          <w:marTop w:val="0"/>
          <w:marBottom w:val="0"/>
          <w:divBdr>
            <w:top w:val="none" w:sz="0" w:space="0" w:color="auto"/>
            <w:left w:val="none" w:sz="0" w:space="0" w:color="auto"/>
            <w:bottom w:val="none" w:sz="0" w:space="0" w:color="auto"/>
            <w:right w:val="none" w:sz="0" w:space="0" w:color="auto"/>
          </w:divBdr>
        </w:div>
        <w:div w:id="1171221336">
          <w:marLeft w:val="0"/>
          <w:marRight w:val="0"/>
          <w:marTop w:val="0"/>
          <w:marBottom w:val="0"/>
          <w:divBdr>
            <w:top w:val="none" w:sz="0" w:space="0" w:color="auto"/>
            <w:left w:val="none" w:sz="0" w:space="0" w:color="auto"/>
            <w:bottom w:val="none" w:sz="0" w:space="0" w:color="auto"/>
            <w:right w:val="none" w:sz="0" w:space="0" w:color="auto"/>
          </w:divBdr>
        </w:div>
        <w:div w:id="1206410741">
          <w:marLeft w:val="0"/>
          <w:marRight w:val="0"/>
          <w:marTop w:val="0"/>
          <w:marBottom w:val="0"/>
          <w:divBdr>
            <w:top w:val="none" w:sz="0" w:space="0" w:color="auto"/>
            <w:left w:val="none" w:sz="0" w:space="0" w:color="auto"/>
            <w:bottom w:val="none" w:sz="0" w:space="0" w:color="auto"/>
            <w:right w:val="none" w:sz="0" w:space="0" w:color="auto"/>
          </w:divBdr>
        </w:div>
        <w:div w:id="1217008648">
          <w:marLeft w:val="0"/>
          <w:marRight w:val="0"/>
          <w:marTop w:val="0"/>
          <w:marBottom w:val="0"/>
          <w:divBdr>
            <w:top w:val="none" w:sz="0" w:space="0" w:color="auto"/>
            <w:left w:val="none" w:sz="0" w:space="0" w:color="auto"/>
            <w:bottom w:val="none" w:sz="0" w:space="0" w:color="auto"/>
            <w:right w:val="none" w:sz="0" w:space="0" w:color="auto"/>
          </w:divBdr>
          <w:divsChild>
            <w:div w:id="71854995">
              <w:marLeft w:val="0"/>
              <w:marRight w:val="0"/>
              <w:marTop w:val="0"/>
              <w:marBottom w:val="0"/>
              <w:divBdr>
                <w:top w:val="none" w:sz="0" w:space="0" w:color="auto"/>
                <w:left w:val="none" w:sz="0" w:space="0" w:color="auto"/>
                <w:bottom w:val="none" w:sz="0" w:space="0" w:color="auto"/>
                <w:right w:val="none" w:sz="0" w:space="0" w:color="auto"/>
              </w:divBdr>
            </w:div>
            <w:div w:id="144397012">
              <w:marLeft w:val="0"/>
              <w:marRight w:val="0"/>
              <w:marTop w:val="0"/>
              <w:marBottom w:val="0"/>
              <w:divBdr>
                <w:top w:val="none" w:sz="0" w:space="0" w:color="auto"/>
                <w:left w:val="none" w:sz="0" w:space="0" w:color="auto"/>
                <w:bottom w:val="none" w:sz="0" w:space="0" w:color="auto"/>
                <w:right w:val="none" w:sz="0" w:space="0" w:color="auto"/>
              </w:divBdr>
            </w:div>
            <w:div w:id="198737121">
              <w:marLeft w:val="0"/>
              <w:marRight w:val="0"/>
              <w:marTop w:val="0"/>
              <w:marBottom w:val="0"/>
              <w:divBdr>
                <w:top w:val="none" w:sz="0" w:space="0" w:color="auto"/>
                <w:left w:val="none" w:sz="0" w:space="0" w:color="auto"/>
                <w:bottom w:val="none" w:sz="0" w:space="0" w:color="auto"/>
                <w:right w:val="none" w:sz="0" w:space="0" w:color="auto"/>
              </w:divBdr>
            </w:div>
            <w:div w:id="402216678">
              <w:marLeft w:val="0"/>
              <w:marRight w:val="0"/>
              <w:marTop w:val="0"/>
              <w:marBottom w:val="0"/>
              <w:divBdr>
                <w:top w:val="none" w:sz="0" w:space="0" w:color="auto"/>
                <w:left w:val="none" w:sz="0" w:space="0" w:color="auto"/>
                <w:bottom w:val="none" w:sz="0" w:space="0" w:color="auto"/>
                <w:right w:val="none" w:sz="0" w:space="0" w:color="auto"/>
              </w:divBdr>
            </w:div>
            <w:div w:id="482544823">
              <w:marLeft w:val="0"/>
              <w:marRight w:val="0"/>
              <w:marTop w:val="0"/>
              <w:marBottom w:val="0"/>
              <w:divBdr>
                <w:top w:val="none" w:sz="0" w:space="0" w:color="auto"/>
                <w:left w:val="none" w:sz="0" w:space="0" w:color="auto"/>
                <w:bottom w:val="none" w:sz="0" w:space="0" w:color="auto"/>
                <w:right w:val="none" w:sz="0" w:space="0" w:color="auto"/>
              </w:divBdr>
            </w:div>
            <w:div w:id="613558951">
              <w:marLeft w:val="0"/>
              <w:marRight w:val="0"/>
              <w:marTop w:val="0"/>
              <w:marBottom w:val="0"/>
              <w:divBdr>
                <w:top w:val="none" w:sz="0" w:space="0" w:color="auto"/>
                <w:left w:val="none" w:sz="0" w:space="0" w:color="auto"/>
                <w:bottom w:val="none" w:sz="0" w:space="0" w:color="auto"/>
                <w:right w:val="none" w:sz="0" w:space="0" w:color="auto"/>
              </w:divBdr>
            </w:div>
            <w:div w:id="790826749">
              <w:marLeft w:val="0"/>
              <w:marRight w:val="0"/>
              <w:marTop w:val="0"/>
              <w:marBottom w:val="0"/>
              <w:divBdr>
                <w:top w:val="none" w:sz="0" w:space="0" w:color="auto"/>
                <w:left w:val="none" w:sz="0" w:space="0" w:color="auto"/>
                <w:bottom w:val="none" w:sz="0" w:space="0" w:color="auto"/>
                <w:right w:val="none" w:sz="0" w:space="0" w:color="auto"/>
              </w:divBdr>
            </w:div>
            <w:div w:id="874775958">
              <w:marLeft w:val="0"/>
              <w:marRight w:val="0"/>
              <w:marTop w:val="0"/>
              <w:marBottom w:val="0"/>
              <w:divBdr>
                <w:top w:val="none" w:sz="0" w:space="0" w:color="auto"/>
                <w:left w:val="none" w:sz="0" w:space="0" w:color="auto"/>
                <w:bottom w:val="none" w:sz="0" w:space="0" w:color="auto"/>
                <w:right w:val="none" w:sz="0" w:space="0" w:color="auto"/>
              </w:divBdr>
            </w:div>
            <w:div w:id="944385350">
              <w:marLeft w:val="0"/>
              <w:marRight w:val="0"/>
              <w:marTop w:val="0"/>
              <w:marBottom w:val="0"/>
              <w:divBdr>
                <w:top w:val="none" w:sz="0" w:space="0" w:color="auto"/>
                <w:left w:val="none" w:sz="0" w:space="0" w:color="auto"/>
                <w:bottom w:val="none" w:sz="0" w:space="0" w:color="auto"/>
                <w:right w:val="none" w:sz="0" w:space="0" w:color="auto"/>
              </w:divBdr>
            </w:div>
            <w:div w:id="960039992">
              <w:marLeft w:val="0"/>
              <w:marRight w:val="0"/>
              <w:marTop w:val="0"/>
              <w:marBottom w:val="0"/>
              <w:divBdr>
                <w:top w:val="none" w:sz="0" w:space="0" w:color="auto"/>
                <w:left w:val="none" w:sz="0" w:space="0" w:color="auto"/>
                <w:bottom w:val="none" w:sz="0" w:space="0" w:color="auto"/>
                <w:right w:val="none" w:sz="0" w:space="0" w:color="auto"/>
              </w:divBdr>
            </w:div>
            <w:div w:id="1121916390">
              <w:marLeft w:val="0"/>
              <w:marRight w:val="0"/>
              <w:marTop w:val="0"/>
              <w:marBottom w:val="0"/>
              <w:divBdr>
                <w:top w:val="none" w:sz="0" w:space="0" w:color="auto"/>
                <w:left w:val="none" w:sz="0" w:space="0" w:color="auto"/>
                <w:bottom w:val="none" w:sz="0" w:space="0" w:color="auto"/>
                <w:right w:val="none" w:sz="0" w:space="0" w:color="auto"/>
              </w:divBdr>
            </w:div>
            <w:div w:id="1923753995">
              <w:marLeft w:val="0"/>
              <w:marRight w:val="0"/>
              <w:marTop w:val="0"/>
              <w:marBottom w:val="0"/>
              <w:divBdr>
                <w:top w:val="none" w:sz="0" w:space="0" w:color="auto"/>
                <w:left w:val="none" w:sz="0" w:space="0" w:color="auto"/>
                <w:bottom w:val="none" w:sz="0" w:space="0" w:color="auto"/>
                <w:right w:val="none" w:sz="0" w:space="0" w:color="auto"/>
              </w:divBdr>
            </w:div>
          </w:divsChild>
        </w:div>
        <w:div w:id="1225264400">
          <w:marLeft w:val="0"/>
          <w:marRight w:val="0"/>
          <w:marTop w:val="0"/>
          <w:marBottom w:val="0"/>
          <w:divBdr>
            <w:top w:val="none" w:sz="0" w:space="0" w:color="auto"/>
            <w:left w:val="none" w:sz="0" w:space="0" w:color="auto"/>
            <w:bottom w:val="none" w:sz="0" w:space="0" w:color="auto"/>
            <w:right w:val="none" w:sz="0" w:space="0" w:color="auto"/>
          </w:divBdr>
        </w:div>
        <w:div w:id="1266235524">
          <w:marLeft w:val="0"/>
          <w:marRight w:val="0"/>
          <w:marTop w:val="0"/>
          <w:marBottom w:val="0"/>
          <w:divBdr>
            <w:top w:val="none" w:sz="0" w:space="0" w:color="auto"/>
            <w:left w:val="none" w:sz="0" w:space="0" w:color="auto"/>
            <w:bottom w:val="none" w:sz="0" w:space="0" w:color="auto"/>
            <w:right w:val="none" w:sz="0" w:space="0" w:color="auto"/>
          </w:divBdr>
        </w:div>
        <w:div w:id="1308902484">
          <w:marLeft w:val="0"/>
          <w:marRight w:val="0"/>
          <w:marTop w:val="0"/>
          <w:marBottom w:val="0"/>
          <w:divBdr>
            <w:top w:val="none" w:sz="0" w:space="0" w:color="auto"/>
            <w:left w:val="none" w:sz="0" w:space="0" w:color="auto"/>
            <w:bottom w:val="none" w:sz="0" w:space="0" w:color="auto"/>
            <w:right w:val="none" w:sz="0" w:space="0" w:color="auto"/>
          </w:divBdr>
        </w:div>
        <w:div w:id="1323197816">
          <w:marLeft w:val="0"/>
          <w:marRight w:val="0"/>
          <w:marTop w:val="0"/>
          <w:marBottom w:val="0"/>
          <w:divBdr>
            <w:top w:val="none" w:sz="0" w:space="0" w:color="auto"/>
            <w:left w:val="none" w:sz="0" w:space="0" w:color="auto"/>
            <w:bottom w:val="none" w:sz="0" w:space="0" w:color="auto"/>
            <w:right w:val="none" w:sz="0" w:space="0" w:color="auto"/>
          </w:divBdr>
        </w:div>
        <w:div w:id="1360474177">
          <w:marLeft w:val="0"/>
          <w:marRight w:val="0"/>
          <w:marTop w:val="0"/>
          <w:marBottom w:val="0"/>
          <w:divBdr>
            <w:top w:val="none" w:sz="0" w:space="0" w:color="auto"/>
            <w:left w:val="none" w:sz="0" w:space="0" w:color="auto"/>
            <w:bottom w:val="none" w:sz="0" w:space="0" w:color="auto"/>
            <w:right w:val="none" w:sz="0" w:space="0" w:color="auto"/>
          </w:divBdr>
        </w:div>
        <w:div w:id="1362971185">
          <w:marLeft w:val="0"/>
          <w:marRight w:val="0"/>
          <w:marTop w:val="0"/>
          <w:marBottom w:val="0"/>
          <w:divBdr>
            <w:top w:val="none" w:sz="0" w:space="0" w:color="auto"/>
            <w:left w:val="none" w:sz="0" w:space="0" w:color="auto"/>
            <w:bottom w:val="none" w:sz="0" w:space="0" w:color="auto"/>
            <w:right w:val="none" w:sz="0" w:space="0" w:color="auto"/>
          </w:divBdr>
        </w:div>
        <w:div w:id="1363748824">
          <w:marLeft w:val="0"/>
          <w:marRight w:val="0"/>
          <w:marTop w:val="0"/>
          <w:marBottom w:val="0"/>
          <w:divBdr>
            <w:top w:val="none" w:sz="0" w:space="0" w:color="auto"/>
            <w:left w:val="none" w:sz="0" w:space="0" w:color="auto"/>
            <w:bottom w:val="none" w:sz="0" w:space="0" w:color="auto"/>
            <w:right w:val="none" w:sz="0" w:space="0" w:color="auto"/>
          </w:divBdr>
        </w:div>
        <w:div w:id="1397821109">
          <w:marLeft w:val="0"/>
          <w:marRight w:val="0"/>
          <w:marTop w:val="0"/>
          <w:marBottom w:val="0"/>
          <w:divBdr>
            <w:top w:val="none" w:sz="0" w:space="0" w:color="auto"/>
            <w:left w:val="none" w:sz="0" w:space="0" w:color="auto"/>
            <w:bottom w:val="none" w:sz="0" w:space="0" w:color="auto"/>
            <w:right w:val="none" w:sz="0" w:space="0" w:color="auto"/>
          </w:divBdr>
        </w:div>
        <w:div w:id="1422675302">
          <w:marLeft w:val="0"/>
          <w:marRight w:val="0"/>
          <w:marTop w:val="0"/>
          <w:marBottom w:val="0"/>
          <w:divBdr>
            <w:top w:val="none" w:sz="0" w:space="0" w:color="auto"/>
            <w:left w:val="none" w:sz="0" w:space="0" w:color="auto"/>
            <w:bottom w:val="none" w:sz="0" w:space="0" w:color="auto"/>
            <w:right w:val="none" w:sz="0" w:space="0" w:color="auto"/>
          </w:divBdr>
        </w:div>
        <w:div w:id="1490780109">
          <w:marLeft w:val="0"/>
          <w:marRight w:val="0"/>
          <w:marTop w:val="0"/>
          <w:marBottom w:val="0"/>
          <w:divBdr>
            <w:top w:val="none" w:sz="0" w:space="0" w:color="auto"/>
            <w:left w:val="none" w:sz="0" w:space="0" w:color="auto"/>
            <w:bottom w:val="none" w:sz="0" w:space="0" w:color="auto"/>
            <w:right w:val="none" w:sz="0" w:space="0" w:color="auto"/>
          </w:divBdr>
        </w:div>
        <w:div w:id="1497838847">
          <w:marLeft w:val="0"/>
          <w:marRight w:val="0"/>
          <w:marTop w:val="0"/>
          <w:marBottom w:val="0"/>
          <w:divBdr>
            <w:top w:val="none" w:sz="0" w:space="0" w:color="auto"/>
            <w:left w:val="none" w:sz="0" w:space="0" w:color="auto"/>
            <w:bottom w:val="none" w:sz="0" w:space="0" w:color="auto"/>
            <w:right w:val="none" w:sz="0" w:space="0" w:color="auto"/>
          </w:divBdr>
        </w:div>
        <w:div w:id="1525632289">
          <w:marLeft w:val="0"/>
          <w:marRight w:val="0"/>
          <w:marTop w:val="0"/>
          <w:marBottom w:val="0"/>
          <w:divBdr>
            <w:top w:val="none" w:sz="0" w:space="0" w:color="auto"/>
            <w:left w:val="none" w:sz="0" w:space="0" w:color="auto"/>
            <w:bottom w:val="none" w:sz="0" w:space="0" w:color="auto"/>
            <w:right w:val="none" w:sz="0" w:space="0" w:color="auto"/>
          </w:divBdr>
        </w:div>
        <w:div w:id="1541432816">
          <w:marLeft w:val="0"/>
          <w:marRight w:val="0"/>
          <w:marTop w:val="0"/>
          <w:marBottom w:val="0"/>
          <w:divBdr>
            <w:top w:val="none" w:sz="0" w:space="0" w:color="auto"/>
            <w:left w:val="none" w:sz="0" w:space="0" w:color="auto"/>
            <w:bottom w:val="none" w:sz="0" w:space="0" w:color="auto"/>
            <w:right w:val="none" w:sz="0" w:space="0" w:color="auto"/>
          </w:divBdr>
        </w:div>
        <w:div w:id="1604729166">
          <w:marLeft w:val="0"/>
          <w:marRight w:val="0"/>
          <w:marTop w:val="0"/>
          <w:marBottom w:val="0"/>
          <w:divBdr>
            <w:top w:val="none" w:sz="0" w:space="0" w:color="auto"/>
            <w:left w:val="none" w:sz="0" w:space="0" w:color="auto"/>
            <w:bottom w:val="none" w:sz="0" w:space="0" w:color="auto"/>
            <w:right w:val="none" w:sz="0" w:space="0" w:color="auto"/>
          </w:divBdr>
        </w:div>
        <w:div w:id="1616018438">
          <w:marLeft w:val="0"/>
          <w:marRight w:val="0"/>
          <w:marTop w:val="0"/>
          <w:marBottom w:val="0"/>
          <w:divBdr>
            <w:top w:val="none" w:sz="0" w:space="0" w:color="auto"/>
            <w:left w:val="none" w:sz="0" w:space="0" w:color="auto"/>
            <w:bottom w:val="none" w:sz="0" w:space="0" w:color="auto"/>
            <w:right w:val="none" w:sz="0" w:space="0" w:color="auto"/>
          </w:divBdr>
        </w:div>
        <w:div w:id="1625574898">
          <w:marLeft w:val="0"/>
          <w:marRight w:val="0"/>
          <w:marTop w:val="0"/>
          <w:marBottom w:val="0"/>
          <w:divBdr>
            <w:top w:val="none" w:sz="0" w:space="0" w:color="auto"/>
            <w:left w:val="none" w:sz="0" w:space="0" w:color="auto"/>
            <w:bottom w:val="none" w:sz="0" w:space="0" w:color="auto"/>
            <w:right w:val="none" w:sz="0" w:space="0" w:color="auto"/>
          </w:divBdr>
          <w:divsChild>
            <w:div w:id="47267150">
              <w:marLeft w:val="0"/>
              <w:marRight w:val="0"/>
              <w:marTop w:val="0"/>
              <w:marBottom w:val="0"/>
              <w:divBdr>
                <w:top w:val="none" w:sz="0" w:space="0" w:color="auto"/>
                <w:left w:val="none" w:sz="0" w:space="0" w:color="auto"/>
                <w:bottom w:val="none" w:sz="0" w:space="0" w:color="auto"/>
                <w:right w:val="none" w:sz="0" w:space="0" w:color="auto"/>
              </w:divBdr>
            </w:div>
            <w:div w:id="61680514">
              <w:marLeft w:val="0"/>
              <w:marRight w:val="0"/>
              <w:marTop w:val="0"/>
              <w:marBottom w:val="0"/>
              <w:divBdr>
                <w:top w:val="none" w:sz="0" w:space="0" w:color="auto"/>
                <w:left w:val="none" w:sz="0" w:space="0" w:color="auto"/>
                <w:bottom w:val="none" w:sz="0" w:space="0" w:color="auto"/>
                <w:right w:val="none" w:sz="0" w:space="0" w:color="auto"/>
              </w:divBdr>
            </w:div>
            <w:div w:id="333923285">
              <w:marLeft w:val="0"/>
              <w:marRight w:val="0"/>
              <w:marTop w:val="0"/>
              <w:marBottom w:val="0"/>
              <w:divBdr>
                <w:top w:val="none" w:sz="0" w:space="0" w:color="auto"/>
                <w:left w:val="none" w:sz="0" w:space="0" w:color="auto"/>
                <w:bottom w:val="none" w:sz="0" w:space="0" w:color="auto"/>
                <w:right w:val="none" w:sz="0" w:space="0" w:color="auto"/>
              </w:divBdr>
            </w:div>
            <w:div w:id="475419070">
              <w:marLeft w:val="0"/>
              <w:marRight w:val="0"/>
              <w:marTop w:val="0"/>
              <w:marBottom w:val="0"/>
              <w:divBdr>
                <w:top w:val="none" w:sz="0" w:space="0" w:color="auto"/>
                <w:left w:val="none" w:sz="0" w:space="0" w:color="auto"/>
                <w:bottom w:val="none" w:sz="0" w:space="0" w:color="auto"/>
                <w:right w:val="none" w:sz="0" w:space="0" w:color="auto"/>
              </w:divBdr>
            </w:div>
            <w:div w:id="504327062">
              <w:marLeft w:val="0"/>
              <w:marRight w:val="0"/>
              <w:marTop w:val="0"/>
              <w:marBottom w:val="0"/>
              <w:divBdr>
                <w:top w:val="none" w:sz="0" w:space="0" w:color="auto"/>
                <w:left w:val="none" w:sz="0" w:space="0" w:color="auto"/>
                <w:bottom w:val="none" w:sz="0" w:space="0" w:color="auto"/>
                <w:right w:val="none" w:sz="0" w:space="0" w:color="auto"/>
              </w:divBdr>
            </w:div>
            <w:div w:id="758646504">
              <w:marLeft w:val="0"/>
              <w:marRight w:val="0"/>
              <w:marTop w:val="0"/>
              <w:marBottom w:val="0"/>
              <w:divBdr>
                <w:top w:val="none" w:sz="0" w:space="0" w:color="auto"/>
                <w:left w:val="none" w:sz="0" w:space="0" w:color="auto"/>
                <w:bottom w:val="none" w:sz="0" w:space="0" w:color="auto"/>
                <w:right w:val="none" w:sz="0" w:space="0" w:color="auto"/>
              </w:divBdr>
            </w:div>
            <w:div w:id="964777644">
              <w:marLeft w:val="0"/>
              <w:marRight w:val="0"/>
              <w:marTop w:val="0"/>
              <w:marBottom w:val="0"/>
              <w:divBdr>
                <w:top w:val="none" w:sz="0" w:space="0" w:color="auto"/>
                <w:left w:val="none" w:sz="0" w:space="0" w:color="auto"/>
                <w:bottom w:val="none" w:sz="0" w:space="0" w:color="auto"/>
                <w:right w:val="none" w:sz="0" w:space="0" w:color="auto"/>
              </w:divBdr>
            </w:div>
            <w:div w:id="1039354213">
              <w:marLeft w:val="0"/>
              <w:marRight w:val="0"/>
              <w:marTop w:val="0"/>
              <w:marBottom w:val="0"/>
              <w:divBdr>
                <w:top w:val="none" w:sz="0" w:space="0" w:color="auto"/>
                <w:left w:val="none" w:sz="0" w:space="0" w:color="auto"/>
                <w:bottom w:val="none" w:sz="0" w:space="0" w:color="auto"/>
                <w:right w:val="none" w:sz="0" w:space="0" w:color="auto"/>
              </w:divBdr>
            </w:div>
            <w:div w:id="1135488140">
              <w:marLeft w:val="0"/>
              <w:marRight w:val="0"/>
              <w:marTop w:val="0"/>
              <w:marBottom w:val="0"/>
              <w:divBdr>
                <w:top w:val="none" w:sz="0" w:space="0" w:color="auto"/>
                <w:left w:val="none" w:sz="0" w:space="0" w:color="auto"/>
                <w:bottom w:val="none" w:sz="0" w:space="0" w:color="auto"/>
                <w:right w:val="none" w:sz="0" w:space="0" w:color="auto"/>
              </w:divBdr>
            </w:div>
            <w:div w:id="1138491813">
              <w:marLeft w:val="0"/>
              <w:marRight w:val="0"/>
              <w:marTop w:val="0"/>
              <w:marBottom w:val="0"/>
              <w:divBdr>
                <w:top w:val="none" w:sz="0" w:space="0" w:color="auto"/>
                <w:left w:val="none" w:sz="0" w:space="0" w:color="auto"/>
                <w:bottom w:val="none" w:sz="0" w:space="0" w:color="auto"/>
                <w:right w:val="none" w:sz="0" w:space="0" w:color="auto"/>
              </w:divBdr>
            </w:div>
            <w:div w:id="1300266985">
              <w:marLeft w:val="0"/>
              <w:marRight w:val="0"/>
              <w:marTop w:val="0"/>
              <w:marBottom w:val="0"/>
              <w:divBdr>
                <w:top w:val="none" w:sz="0" w:space="0" w:color="auto"/>
                <w:left w:val="none" w:sz="0" w:space="0" w:color="auto"/>
                <w:bottom w:val="none" w:sz="0" w:space="0" w:color="auto"/>
                <w:right w:val="none" w:sz="0" w:space="0" w:color="auto"/>
              </w:divBdr>
            </w:div>
            <w:div w:id="1697921220">
              <w:marLeft w:val="0"/>
              <w:marRight w:val="0"/>
              <w:marTop w:val="0"/>
              <w:marBottom w:val="0"/>
              <w:divBdr>
                <w:top w:val="none" w:sz="0" w:space="0" w:color="auto"/>
                <w:left w:val="none" w:sz="0" w:space="0" w:color="auto"/>
                <w:bottom w:val="none" w:sz="0" w:space="0" w:color="auto"/>
                <w:right w:val="none" w:sz="0" w:space="0" w:color="auto"/>
              </w:divBdr>
            </w:div>
            <w:div w:id="1867450242">
              <w:marLeft w:val="0"/>
              <w:marRight w:val="0"/>
              <w:marTop w:val="0"/>
              <w:marBottom w:val="0"/>
              <w:divBdr>
                <w:top w:val="none" w:sz="0" w:space="0" w:color="auto"/>
                <w:left w:val="none" w:sz="0" w:space="0" w:color="auto"/>
                <w:bottom w:val="none" w:sz="0" w:space="0" w:color="auto"/>
                <w:right w:val="none" w:sz="0" w:space="0" w:color="auto"/>
              </w:divBdr>
            </w:div>
            <w:div w:id="2057848843">
              <w:marLeft w:val="0"/>
              <w:marRight w:val="0"/>
              <w:marTop w:val="0"/>
              <w:marBottom w:val="0"/>
              <w:divBdr>
                <w:top w:val="none" w:sz="0" w:space="0" w:color="auto"/>
                <w:left w:val="none" w:sz="0" w:space="0" w:color="auto"/>
                <w:bottom w:val="none" w:sz="0" w:space="0" w:color="auto"/>
                <w:right w:val="none" w:sz="0" w:space="0" w:color="auto"/>
              </w:divBdr>
            </w:div>
            <w:div w:id="2128887587">
              <w:marLeft w:val="0"/>
              <w:marRight w:val="0"/>
              <w:marTop w:val="0"/>
              <w:marBottom w:val="0"/>
              <w:divBdr>
                <w:top w:val="none" w:sz="0" w:space="0" w:color="auto"/>
                <w:left w:val="none" w:sz="0" w:space="0" w:color="auto"/>
                <w:bottom w:val="none" w:sz="0" w:space="0" w:color="auto"/>
                <w:right w:val="none" w:sz="0" w:space="0" w:color="auto"/>
              </w:divBdr>
            </w:div>
          </w:divsChild>
        </w:div>
        <w:div w:id="1652908665">
          <w:marLeft w:val="0"/>
          <w:marRight w:val="0"/>
          <w:marTop w:val="0"/>
          <w:marBottom w:val="0"/>
          <w:divBdr>
            <w:top w:val="none" w:sz="0" w:space="0" w:color="auto"/>
            <w:left w:val="none" w:sz="0" w:space="0" w:color="auto"/>
            <w:bottom w:val="none" w:sz="0" w:space="0" w:color="auto"/>
            <w:right w:val="none" w:sz="0" w:space="0" w:color="auto"/>
          </w:divBdr>
        </w:div>
        <w:div w:id="1658218917">
          <w:marLeft w:val="0"/>
          <w:marRight w:val="0"/>
          <w:marTop w:val="0"/>
          <w:marBottom w:val="0"/>
          <w:divBdr>
            <w:top w:val="none" w:sz="0" w:space="0" w:color="auto"/>
            <w:left w:val="none" w:sz="0" w:space="0" w:color="auto"/>
            <w:bottom w:val="none" w:sz="0" w:space="0" w:color="auto"/>
            <w:right w:val="none" w:sz="0" w:space="0" w:color="auto"/>
          </w:divBdr>
        </w:div>
        <w:div w:id="1726636493">
          <w:marLeft w:val="0"/>
          <w:marRight w:val="0"/>
          <w:marTop w:val="0"/>
          <w:marBottom w:val="0"/>
          <w:divBdr>
            <w:top w:val="none" w:sz="0" w:space="0" w:color="auto"/>
            <w:left w:val="none" w:sz="0" w:space="0" w:color="auto"/>
            <w:bottom w:val="none" w:sz="0" w:space="0" w:color="auto"/>
            <w:right w:val="none" w:sz="0" w:space="0" w:color="auto"/>
          </w:divBdr>
        </w:div>
        <w:div w:id="1744793444">
          <w:marLeft w:val="0"/>
          <w:marRight w:val="0"/>
          <w:marTop w:val="0"/>
          <w:marBottom w:val="0"/>
          <w:divBdr>
            <w:top w:val="none" w:sz="0" w:space="0" w:color="auto"/>
            <w:left w:val="none" w:sz="0" w:space="0" w:color="auto"/>
            <w:bottom w:val="none" w:sz="0" w:space="0" w:color="auto"/>
            <w:right w:val="none" w:sz="0" w:space="0" w:color="auto"/>
          </w:divBdr>
        </w:div>
        <w:div w:id="1766883237">
          <w:marLeft w:val="0"/>
          <w:marRight w:val="0"/>
          <w:marTop w:val="0"/>
          <w:marBottom w:val="0"/>
          <w:divBdr>
            <w:top w:val="none" w:sz="0" w:space="0" w:color="auto"/>
            <w:left w:val="none" w:sz="0" w:space="0" w:color="auto"/>
            <w:bottom w:val="none" w:sz="0" w:space="0" w:color="auto"/>
            <w:right w:val="none" w:sz="0" w:space="0" w:color="auto"/>
          </w:divBdr>
        </w:div>
        <w:div w:id="1805851656">
          <w:marLeft w:val="0"/>
          <w:marRight w:val="0"/>
          <w:marTop w:val="0"/>
          <w:marBottom w:val="0"/>
          <w:divBdr>
            <w:top w:val="none" w:sz="0" w:space="0" w:color="auto"/>
            <w:left w:val="none" w:sz="0" w:space="0" w:color="auto"/>
            <w:bottom w:val="none" w:sz="0" w:space="0" w:color="auto"/>
            <w:right w:val="none" w:sz="0" w:space="0" w:color="auto"/>
          </w:divBdr>
          <w:divsChild>
            <w:div w:id="226384940">
              <w:marLeft w:val="0"/>
              <w:marRight w:val="0"/>
              <w:marTop w:val="0"/>
              <w:marBottom w:val="0"/>
              <w:divBdr>
                <w:top w:val="none" w:sz="0" w:space="0" w:color="auto"/>
                <w:left w:val="none" w:sz="0" w:space="0" w:color="auto"/>
                <w:bottom w:val="none" w:sz="0" w:space="0" w:color="auto"/>
                <w:right w:val="none" w:sz="0" w:space="0" w:color="auto"/>
              </w:divBdr>
            </w:div>
            <w:div w:id="255553560">
              <w:marLeft w:val="0"/>
              <w:marRight w:val="0"/>
              <w:marTop w:val="0"/>
              <w:marBottom w:val="0"/>
              <w:divBdr>
                <w:top w:val="none" w:sz="0" w:space="0" w:color="auto"/>
                <w:left w:val="none" w:sz="0" w:space="0" w:color="auto"/>
                <w:bottom w:val="none" w:sz="0" w:space="0" w:color="auto"/>
                <w:right w:val="none" w:sz="0" w:space="0" w:color="auto"/>
              </w:divBdr>
            </w:div>
            <w:div w:id="509681745">
              <w:marLeft w:val="0"/>
              <w:marRight w:val="0"/>
              <w:marTop w:val="0"/>
              <w:marBottom w:val="0"/>
              <w:divBdr>
                <w:top w:val="none" w:sz="0" w:space="0" w:color="auto"/>
                <w:left w:val="none" w:sz="0" w:space="0" w:color="auto"/>
                <w:bottom w:val="none" w:sz="0" w:space="0" w:color="auto"/>
                <w:right w:val="none" w:sz="0" w:space="0" w:color="auto"/>
              </w:divBdr>
            </w:div>
            <w:div w:id="634674329">
              <w:marLeft w:val="0"/>
              <w:marRight w:val="0"/>
              <w:marTop w:val="0"/>
              <w:marBottom w:val="0"/>
              <w:divBdr>
                <w:top w:val="none" w:sz="0" w:space="0" w:color="auto"/>
                <w:left w:val="none" w:sz="0" w:space="0" w:color="auto"/>
                <w:bottom w:val="none" w:sz="0" w:space="0" w:color="auto"/>
                <w:right w:val="none" w:sz="0" w:space="0" w:color="auto"/>
              </w:divBdr>
            </w:div>
            <w:div w:id="669452814">
              <w:marLeft w:val="0"/>
              <w:marRight w:val="0"/>
              <w:marTop w:val="0"/>
              <w:marBottom w:val="0"/>
              <w:divBdr>
                <w:top w:val="none" w:sz="0" w:space="0" w:color="auto"/>
                <w:left w:val="none" w:sz="0" w:space="0" w:color="auto"/>
                <w:bottom w:val="none" w:sz="0" w:space="0" w:color="auto"/>
                <w:right w:val="none" w:sz="0" w:space="0" w:color="auto"/>
              </w:divBdr>
            </w:div>
            <w:div w:id="966743144">
              <w:marLeft w:val="0"/>
              <w:marRight w:val="0"/>
              <w:marTop w:val="0"/>
              <w:marBottom w:val="0"/>
              <w:divBdr>
                <w:top w:val="none" w:sz="0" w:space="0" w:color="auto"/>
                <w:left w:val="none" w:sz="0" w:space="0" w:color="auto"/>
                <w:bottom w:val="none" w:sz="0" w:space="0" w:color="auto"/>
                <w:right w:val="none" w:sz="0" w:space="0" w:color="auto"/>
              </w:divBdr>
            </w:div>
            <w:div w:id="1072317639">
              <w:marLeft w:val="0"/>
              <w:marRight w:val="0"/>
              <w:marTop w:val="0"/>
              <w:marBottom w:val="0"/>
              <w:divBdr>
                <w:top w:val="none" w:sz="0" w:space="0" w:color="auto"/>
                <w:left w:val="none" w:sz="0" w:space="0" w:color="auto"/>
                <w:bottom w:val="none" w:sz="0" w:space="0" w:color="auto"/>
                <w:right w:val="none" w:sz="0" w:space="0" w:color="auto"/>
              </w:divBdr>
            </w:div>
            <w:div w:id="1173034610">
              <w:marLeft w:val="0"/>
              <w:marRight w:val="0"/>
              <w:marTop w:val="0"/>
              <w:marBottom w:val="0"/>
              <w:divBdr>
                <w:top w:val="none" w:sz="0" w:space="0" w:color="auto"/>
                <w:left w:val="none" w:sz="0" w:space="0" w:color="auto"/>
                <w:bottom w:val="none" w:sz="0" w:space="0" w:color="auto"/>
                <w:right w:val="none" w:sz="0" w:space="0" w:color="auto"/>
              </w:divBdr>
            </w:div>
            <w:div w:id="1203664982">
              <w:marLeft w:val="0"/>
              <w:marRight w:val="0"/>
              <w:marTop w:val="0"/>
              <w:marBottom w:val="0"/>
              <w:divBdr>
                <w:top w:val="none" w:sz="0" w:space="0" w:color="auto"/>
                <w:left w:val="none" w:sz="0" w:space="0" w:color="auto"/>
                <w:bottom w:val="none" w:sz="0" w:space="0" w:color="auto"/>
                <w:right w:val="none" w:sz="0" w:space="0" w:color="auto"/>
              </w:divBdr>
            </w:div>
            <w:div w:id="1231501302">
              <w:marLeft w:val="0"/>
              <w:marRight w:val="0"/>
              <w:marTop w:val="0"/>
              <w:marBottom w:val="0"/>
              <w:divBdr>
                <w:top w:val="none" w:sz="0" w:space="0" w:color="auto"/>
                <w:left w:val="none" w:sz="0" w:space="0" w:color="auto"/>
                <w:bottom w:val="none" w:sz="0" w:space="0" w:color="auto"/>
                <w:right w:val="none" w:sz="0" w:space="0" w:color="auto"/>
              </w:divBdr>
            </w:div>
            <w:div w:id="1286696392">
              <w:marLeft w:val="0"/>
              <w:marRight w:val="0"/>
              <w:marTop w:val="0"/>
              <w:marBottom w:val="0"/>
              <w:divBdr>
                <w:top w:val="none" w:sz="0" w:space="0" w:color="auto"/>
                <w:left w:val="none" w:sz="0" w:space="0" w:color="auto"/>
                <w:bottom w:val="none" w:sz="0" w:space="0" w:color="auto"/>
                <w:right w:val="none" w:sz="0" w:space="0" w:color="auto"/>
              </w:divBdr>
            </w:div>
            <w:div w:id="1374305894">
              <w:marLeft w:val="0"/>
              <w:marRight w:val="0"/>
              <w:marTop w:val="0"/>
              <w:marBottom w:val="0"/>
              <w:divBdr>
                <w:top w:val="none" w:sz="0" w:space="0" w:color="auto"/>
                <w:left w:val="none" w:sz="0" w:space="0" w:color="auto"/>
                <w:bottom w:val="none" w:sz="0" w:space="0" w:color="auto"/>
                <w:right w:val="none" w:sz="0" w:space="0" w:color="auto"/>
              </w:divBdr>
            </w:div>
            <w:div w:id="1445615857">
              <w:marLeft w:val="0"/>
              <w:marRight w:val="0"/>
              <w:marTop w:val="0"/>
              <w:marBottom w:val="0"/>
              <w:divBdr>
                <w:top w:val="none" w:sz="0" w:space="0" w:color="auto"/>
                <w:left w:val="none" w:sz="0" w:space="0" w:color="auto"/>
                <w:bottom w:val="none" w:sz="0" w:space="0" w:color="auto"/>
                <w:right w:val="none" w:sz="0" w:space="0" w:color="auto"/>
              </w:divBdr>
            </w:div>
            <w:div w:id="1850875124">
              <w:marLeft w:val="0"/>
              <w:marRight w:val="0"/>
              <w:marTop w:val="0"/>
              <w:marBottom w:val="0"/>
              <w:divBdr>
                <w:top w:val="none" w:sz="0" w:space="0" w:color="auto"/>
                <w:left w:val="none" w:sz="0" w:space="0" w:color="auto"/>
                <w:bottom w:val="none" w:sz="0" w:space="0" w:color="auto"/>
                <w:right w:val="none" w:sz="0" w:space="0" w:color="auto"/>
              </w:divBdr>
            </w:div>
            <w:div w:id="1984460213">
              <w:marLeft w:val="0"/>
              <w:marRight w:val="0"/>
              <w:marTop w:val="0"/>
              <w:marBottom w:val="0"/>
              <w:divBdr>
                <w:top w:val="none" w:sz="0" w:space="0" w:color="auto"/>
                <w:left w:val="none" w:sz="0" w:space="0" w:color="auto"/>
                <w:bottom w:val="none" w:sz="0" w:space="0" w:color="auto"/>
                <w:right w:val="none" w:sz="0" w:space="0" w:color="auto"/>
              </w:divBdr>
            </w:div>
            <w:div w:id="2049835202">
              <w:marLeft w:val="0"/>
              <w:marRight w:val="0"/>
              <w:marTop w:val="0"/>
              <w:marBottom w:val="0"/>
              <w:divBdr>
                <w:top w:val="none" w:sz="0" w:space="0" w:color="auto"/>
                <w:left w:val="none" w:sz="0" w:space="0" w:color="auto"/>
                <w:bottom w:val="none" w:sz="0" w:space="0" w:color="auto"/>
                <w:right w:val="none" w:sz="0" w:space="0" w:color="auto"/>
              </w:divBdr>
            </w:div>
            <w:div w:id="2091462338">
              <w:marLeft w:val="0"/>
              <w:marRight w:val="0"/>
              <w:marTop w:val="0"/>
              <w:marBottom w:val="0"/>
              <w:divBdr>
                <w:top w:val="none" w:sz="0" w:space="0" w:color="auto"/>
                <w:left w:val="none" w:sz="0" w:space="0" w:color="auto"/>
                <w:bottom w:val="none" w:sz="0" w:space="0" w:color="auto"/>
                <w:right w:val="none" w:sz="0" w:space="0" w:color="auto"/>
              </w:divBdr>
            </w:div>
          </w:divsChild>
        </w:div>
        <w:div w:id="1816533325">
          <w:marLeft w:val="0"/>
          <w:marRight w:val="0"/>
          <w:marTop w:val="0"/>
          <w:marBottom w:val="0"/>
          <w:divBdr>
            <w:top w:val="none" w:sz="0" w:space="0" w:color="auto"/>
            <w:left w:val="none" w:sz="0" w:space="0" w:color="auto"/>
            <w:bottom w:val="none" w:sz="0" w:space="0" w:color="auto"/>
            <w:right w:val="none" w:sz="0" w:space="0" w:color="auto"/>
          </w:divBdr>
          <w:divsChild>
            <w:div w:id="174268891">
              <w:marLeft w:val="0"/>
              <w:marRight w:val="0"/>
              <w:marTop w:val="0"/>
              <w:marBottom w:val="0"/>
              <w:divBdr>
                <w:top w:val="none" w:sz="0" w:space="0" w:color="auto"/>
                <w:left w:val="none" w:sz="0" w:space="0" w:color="auto"/>
                <w:bottom w:val="none" w:sz="0" w:space="0" w:color="auto"/>
                <w:right w:val="none" w:sz="0" w:space="0" w:color="auto"/>
              </w:divBdr>
            </w:div>
            <w:div w:id="250623992">
              <w:marLeft w:val="0"/>
              <w:marRight w:val="0"/>
              <w:marTop w:val="0"/>
              <w:marBottom w:val="0"/>
              <w:divBdr>
                <w:top w:val="none" w:sz="0" w:space="0" w:color="auto"/>
                <w:left w:val="none" w:sz="0" w:space="0" w:color="auto"/>
                <w:bottom w:val="none" w:sz="0" w:space="0" w:color="auto"/>
                <w:right w:val="none" w:sz="0" w:space="0" w:color="auto"/>
              </w:divBdr>
            </w:div>
            <w:div w:id="428083207">
              <w:marLeft w:val="0"/>
              <w:marRight w:val="0"/>
              <w:marTop w:val="0"/>
              <w:marBottom w:val="0"/>
              <w:divBdr>
                <w:top w:val="none" w:sz="0" w:space="0" w:color="auto"/>
                <w:left w:val="none" w:sz="0" w:space="0" w:color="auto"/>
                <w:bottom w:val="none" w:sz="0" w:space="0" w:color="auto"/>
                <w:right w:val="none" w:sz="0" w:space="0" w:color="auto"/>
              </w:divBdr>
            </w:div>
            <w:div w:id="563031450">
              <w:marLeft w:val="0"/>
              <w:marRight w:val="0"/>
              <w:marTop w:val="0"/>
              <w:marBottom w:val="0"/>
              <w:divBdr>
                <w:top w:val="none" w:sz="0" w:space="0" w:color="auto"/>
                <w:left w:val="none" w:sz="0" w:space="0" w:color="auto"/>
                <w:bottom w:val="none" w:sz="0" w:space="0" w:color="auto"/>
                <w:right w:val="none" w:sz="0" w:space="0" w:color="auto"/>
              </w:divBdr>
            </w:div>
            <w:div w:id="807286021">
              <w:marLeft w:val="0"/>
              <w:marRight w:val="0"/>
              <w:marTop w:val="0"/>
              <w:marBottom w:val="0"/>
              <w:divBdr>
                <w:top w:val="none" w:sz="0" w:space="0" w:color="auto"/>
                <w:left w:val="none" w:sz="0" w:space="0" w:color="auto"/>
                <w:bottom w:val="none" w:sz="0" w:space="0" w:color="auto"/>
                <w:right w:val="none" w:sz="0" w:space="0" w:color="auto"/>
              </w:divBdr>
            </w:div>
            <w:div w:id="1458718437">
              <w:marLeft w:val="0"/>
              <w:marRight w:val="0"/>
              <w:marTop w:val="0"/>
              <w:marBottom w:val="0"/>
              <w:divBdr>
                <w:top w:val="none" w:sz="0" w:space="0" w:color="auto"/>
                <w:left w:val="none" w:sz="0" w:space="0" w:color="auto"/>
                <w:bottom w:val="none" w:sz="0" w:space="0" w:color="auto"/>
                <w:right w:val="none" w:sz="0" w:space="0" w:color="auto"/>
              </w:divBdr>
            </w:div>
            <w:div w:id="1565797546">
              <w:marLeft w:val="0"/>
              <w:marRight w:val="0"/>
              <w:marTop w:val="0"/>
              <w:marBottom w:val="0"/>
              <w:divBdr>
                <w:top w:val="none" w:sz="0" w:space="0" w:color="auto"/>
                <w:left w:val="none" w:sz="0" w:space="0" w:color="auto"/>
                <w:bottom w:val="none" w:sz="0" w:space="0" w:color="auto"/>
                <w:right w:val="none" w:sz="0" w:space="0" w:color="auto"/>
              </w:divBdr>
            </w:div>
            <w:div w:id="1759868410">
              <w:marLeft w:val="0"/>
              <w:marRight w:val="0"/>
              <w:marTop w:val="0"/>
              <w:marBottom w:val="0"/>
              <w:divBdr>
                <w:top w:val="none" w:sz="0" w:space="0" w:color="auto"/>
                <w:left w:val="none" w:sz="0" w:space="0" w:color="auto"/>
                <w:bottom w:val="none" w:sz="0" w:space="0" w:color="auto"/>
                <w:right w:val="none" w:sz="0" w:space="0" w:color="auto"/>
              </w:divBdr>
            </w:div>
            <w:div w:id="1820535741">
              <w:marLeft w:val="0"/>
              <w:marRight w:val="0"/>
              <w:marTop w:val="0"/>
              <w:marBottom w:val="0"/>
              <w:divBdr>
                <w:top w:val="none" w:sz="0" w:space="0" w:color="auto"/>
                <w:left w:val="none" w:sz="0" w:space="0" w:color="auto"/>
                <w:bottom w:val="none" w:sz="0" w:space="0" w:color="auto"/>
                <w:right w:val="none" w:sz="0" w:space="0" w:color="auto"/>
              </w:divBdr>
            </w:div>
          </w:divsChild>
        </w:div>
        <w:div w:id="1818381511">
          <w:marLeft w:val="0"/>
          <w:marRight w:val="0"/>
          <w:marTop w:val="0"/>
          <w:marBottom w:val="0"/>
          <w:divBdr>
            <w:top w:val="none" w:sz="0" w:space="0" w:color="auto"/>
            <w:left w:val="none" w:sz="0" w:space="0" w:color="auto"/>
            <w:bottom w:val="none" w:sz="0" w:space="0" w:color="auto"/>
            <w:right w:val="none" w:sz="0" w:space="0" w:color="auto"/>
          </w:divBdr>
        </w:div>
        <w:div w:id="1831482191">
          <w:marLeft w:val="0"/>
          <w:marRight w:val="0"/>
          <w:marTop w:val="0"/>
          <w:marBottom w:val="0"/>
          <w:divBdr>
            <w:top w:val="none" w:sz="0" w:space="0" w:color="auto"/>
            <w:left w:val="none" w:sz="0" w:space="0" w:color="auto"/>
            <w:bottom w:val="none" w:sz="0" w:space="0" w:color="auto"/>
            <w:right w:val="none" w:sz="0" w:space="0" w:color="auto"/>
          </w:divBdr>
        </w:div>
        <w:div w:id="1844203295">
          <w:marLeft w:val="0"/>
          <w:marRight w:val="0"/>
          <w:marTop w:val="0"/>
          <w:marBottom w:val="0"/>
          <w:divBdr>
            <w:top w:val="none" w:sz="0" w:space="0" w:color="auto"/>
            <w:left w:val="none" w:sz="0" w:space="0" w:color="auto"/>
            <w:bottom w:val="none" w:sz="0" w:space="0" w:color="auto"/>
            <w:right w:val="none" w:sz="0" w:space="0" w:color="auto"/>
          </w:divBdr>
        </w:div>
        <w:div w:id="1915386350">
          <w:marLeft w:val="0"/>
          <w:marRight w:val="0"/>
          <w:marTop w:val="0"/>
          <w:marBottom w:val="0"/>
          <w:divBdr>
            <w:top w:val="none" w:sz="0" w:space="0" w:color="auto"/>
            <w:left w:val="none" w:sz="0" w:space="0" w:color="auto"/>
            <w:bottom w:val="none" w:sz="0" w:space="0" w:color="auto"/>
            <w:right w:val="none" w:sz="0" w:space="0" w:color="auto"/>
          </w:divBdr>
        </w:div>
        <w:div w:id="1926113527">
          <w:marLeft w:val="0"/>
          <w:marRight w:val="0"/>
          <w:marTop w:val="0"/>
          <w:marBottom w:val="0"/>
          <w:divBdr>
            <w:top w:val="none" w:sz="0" w:space="0" w:color="auto"/>
            <w:left w:val="none" w:sz="0" w:space="0" w:color="auto"/>
            <w:bottom w:val="none" w:sz="0" w:space="0" w:color="auto"/>
            <w:right w:val="none" w:sz="0" w:space="0" w:color="auto"/>
          </w:divBdr>
          <w:divsChild>
            <w:div w:id="522472596">
              <w:marLeft w:val="0"/>
              <w:marRight w:val="0"/>
              <w:marTop w:val="0"/>
              <w:marBottom w:val="0"/>
              <w:divBdr>
                <w:top w:val="none" w:sz="0" w:space="0" w:color="auto"/>
                <w:left w:val="none" w:sz="0" w:space="0" w:color="auto"/>
                <w:bottom w:val="none" w:sz="0" w:space="0" w:color="auto"/>
                <w:right w:val="none" w:sz="0" w:space="0" w:color="auto"/>
              </w:divBdr>
            </w:div>
            <w:div w:id="574317391">
              <w:marLeft w:val="0"/>
              <w:marRight w:val="0"/>
              <w:marTop w:val="0"/>
              <w:marBottom w:val="0"/>
              <w:divBdr>
                <w:top w:val="none" w:sz="0" w:space="0" w:color="auto"/>
                <w:left w:val="none" w:sz="0" w:space="0" w:color="auto"/>
                <w:bottom w:val="none" w:sz="0" w:space="0" w:color="auto"/>
                <w:right w:val="none" w:sz="0" w:space="0" w:color="auto"/>
              </w:divBdr>
            </w:div>
            <w:div w:id="601568278">
              <w:marLeft w:val="0"/>
              <w:marRight w:val="0"/>
              <w:marTop w:val="0"/>
              <w:marBottom w:val="0"/>
              <w:divBdr>
                <w:top w:val="none" w:sz="0" w:space="0" w:color="auto"/>
                <w:left w:val="none" w:sz="0" w:space="0" w:color="auto"/>
                <w:bottom w:val="none" w:sz="0" w:space="0" w:color="auto"/>
                <w:right w:val="none" w:sz="0" w:space="0" w:color="auto"/>
              </w:divBdr>
            </w:div>
            <w:div w:id="616134169">
              <w:marLeft w:val="0"/>
              <w:marRight w:val="0"/>
              <w:marTop w:val="0"/>
              <w:marBottom w:val="0"/>
              <w:divBdr>
                <w:top w:val="none" w:sz="0" w:space="0" w:color="auto"/>
                <w:left w:val="none" w:sz="0" w:space="0" w:color="auto"/>
                <w:bottom w:val="none" w:sz="0" w:space="0" w:color="auto"/>
                <w:right w:val="none" w:sz="0" w:space="0" w:color="auto"/>
              </w:divBdr>
            </w:div>
            <w:div w:id="1031110221">
              <w:marLeft w:val="0"/>
              <w:marRight w:val="0"/>
              <w:marTop w:val="0"/>
              <w:marBottom w:val="0"/>
              <w:divBdr>
                <w:top w:val="none" w:sz="0" w:space="0" w:color="auto"/>
                <w:left w:val="none" w:sz="0" w:space="0" w:color="auto"/>
                <w:bottom w:val="none" w:sz="0" w:space="0" w:color="auto"/>
                <w:right w:val="none" w:sz="0" w:space="0" w:color="auto"/>
              </w:divBdr>
            </w:div>
            <w:div w:id="1155148015">
              <w:marLeft w:val="0"/>
              <w:marRight w:val="0"/>
              <w:marTop w:val="0"/>
              <w:marBottom w:val="0"/>
              <w:divBdr>
                <w:top w:val="none" w:sz="0" w:space="0" w:color="auto"/>
                <w:left w:val="none" w:sz="0" w:space="0" w:color="auto"/>
                <w:bottom w:val="none" w:sz="0" w:space="0" w:color="auto"/>
                <w:right w:val="none" w:sz="0" w:space="0" w:color="auto"/>
              </w:divBdr>
            </w:div>
            <w:div w:id="1278177752">
              <w:marLeft w:val="0"/>
              <w:marRight w:val="0"/>
              <w:marTop w:val="0"/>
              <w:marBottom w:val="0"/>
              <w:divBdr>
                <w:top w:val="none" w:sz="0" w:space="0" w:color="auto"/>
                <w:left w:val="none" w:sz="0" w:space="0" w:color="auto"/>
                <w:bottom w:val="none" w:sz="0" w:space="0" w:color="auto"/>
                <w:right w:val="none" w:sz="0" w:space="0" w:color="auto"/>
              </w:divBdr>
            </w:div>
            <w:div w:id="1783693713">
              <w:marLeft w:val="0"/>
              <w:marRight w:val="0"/>
              <w:marTop w:val="0"/>
              <w:marBottom w:val="0"/>
              <w:divBdr>
                <w:top w:val="none" w:sz="0" w:space="0" w:color="auto"/>
                <w:left w:val="none" w:sz="0" w:space="0" w:color="auto"/>
                <w:bottom w:val="none" w:sz="0" w:space="0" w:color="auto"/>
                <w:right w:val="none" w:sz="0" w:space="0" w:color="auto"/>
              </w:divBdr>
            </w:div>
            <w:div w:id="1855611992">
              <w:marLeft w:val="0"/>
              <w:marRight w:val="0"/>
              <w:marTop w:val="0"/>
              <w:marBottom w:val="0"/>
              <w:divBdr>
                <w:top w:val="none" w:sz="0" w:space="0" w:color="auto"/>
                <w:left w:val="none" w:sz="0" w:space="0" w:color="auto"/>
                <w:bottom w:val="none" w:sz="0" w:space="0" w:color="auto"/>
                <w:right w:val="none" w:sz="0" w:space="0" w:color="auto"/>
              </w:divBdr>
            </w:div>
            <w:div w:id="2136487660">
              <w:marLeft w:val="0"/>
              <w:marRight w:val="0"/>
              <w:marTop w:val="0"/>
              <w:marBottom w:val="0"/>
              <w:divBdr>
                <w:top w:val="none" w:sz="0" w:space="0" w:color="auto"/>
                <w:left w:val="none" w:sz="0" w:space="0" w:color="auto"/>
                <w:bottom w:val="none" w:sz="0" w:space="0" w:color="auto"/>
                <w:right w:val="none" w:sz="0" w:space="0" w:color="auto"/>
              </w:divBdr>
            </w:div>
          </w:divsChild>
        </w:div>
        <w:div w:id="1929146912">
          <w:marLeft w:val="0"/>
          <w:marRight w:val="0"/>
          <w:marTop w:val="0"/>
          <w:marBottom w:val="0"/>
          <w:divBdr>
            <w:top w:val="none" w:sz="0" w:space="0" w:color="auto"/>
            <w:left w:val="none" w:sz="0" w:space="0" w:color="auto"/>
            <w:bottom w:val="none" w:sz="0" w:space="0" w:color="auto"/>
            <w:right w:val="none" w:sz="0" w:space="0" w:color="auto"/>
          </w:divBdr>
        </w:div>
        <w:div w:id="1936281513">
          <w:marLeft w:val="0"/>
          <w:marRight w:val="0"/>
          <w:marTop w:val="0"/>
          <w:marBottom w:val="0"/>
          <w:divBdr>
            <w:top w:val="none" w:sz="0" w:space="0" w:color="auto"/>
            <w:left w:val="none" w:sz="0" w:space="0" w:color="auto"/>
            <w:bottom w:val="none" w:sz="0" w:space="0" w:color="auto"/>
            <w:right w:val="none" w:sz="0" w:space="0" w:color="auto"/>
          </w:divBdr>
        </w:div>
        <w:div w:id="2034459678">
          <w:marLeft w:val="0"/>
          <w:marRight w:val="0"/>
          <w:marTop w:val="0"/>
          <w:marBottom w:val="0"/>
          <w:divBdr>
            <w:top w:val="none" w:sz="0" w:space="0" w:color="auto"/>
            <w:left w:val="none" w:sz="0" w:space="0" w:color="auto"/>
            <w:bottom w:val="none" w:sz="0" w:space="0" w:color="auto"/>
            <w:right w:val="none" w:sz="0" w:space="0" w:color="auto"/>
          </w:divBdr>
        </w:div>
        <w:div w:id="2045979571">
          <w:marLeft w:val="0"/>
          <w:marRight w:val="0"/>
          <w:marTop w:val="0"/>
          <w:marBottom w:val="0"/>
          <w:divBdr>
            <w:top w:val="none" w:sz="0" w:space="0" w:color="auto"/>
            <w:left w:val="none" w:sz="0" w:space="0" w:color="auto"/>
            <w:bottom w:val="none" w:sz="0" w:space="0" w:color="auto"/>
            <w:right w:val="none" w:sz="0" w:space="0" w:color="auto"/>
          </w:divBdr>
        </w:div>
        <w:div w:id="2079208911">
          <w:marLeft w:val="0"/>
          <w:marRight w:val="0"/>
          <w:marTop w:val="0"/>
          <w:marBottom w:val="0"/>
          <w:divBdr>
            <w:top w:val="none" w:sz="0" w:space="0" w:color="auto"/>
            <w:left w:val="none" w:sz="0" w:space="0" w:color="auto"/>
            <w:bottom w:val="none" w:sz="0" w:space="0" w:color="auto"/>
            <w:right w:val="none" w:sz="0" w:space="0" w:color="auto"/>
          </w:divBdr>
        </w:div>
        <w:div w:id="2095466931">
          <w:marLeft w:val="0"/>
          <w:marRight w:val="0"/>
          <w:marTop w:val="0"/>
          <w:marBottom w:val="0"/>
          <w:divBdr>
            <w:top w:val="none" w:sz="0" w:space="0" w:color="auto"/>
            <w:left w:val="none" w:sz="0" w:space="0" w:color="auto"/>
            <w:bottom w:val="none" w:sz="0" w:space="0" w:color="auto"/>
            <w:right w:val="none" w:sz="0" w:space="0" w:color="auto"/>
          </w:divBdr>
        </w:div>
        <w:div w:id="2124617964">
          <w:marLeft w:val="0"/>
          <w:marRight w:val="0"/>
          <w:marTop w:val="0"/>
          <w:marBottom w:val="0"/>
          <w:divBdr>
            <w:top w:val="none" w:sz="0" w:space="0" w:color="auto"/>
            <w:left w:val="none" w:sz="0" w:space="0" w:color="auto"/>
            <w:bottom w:val="none" w:sz="0" w:space="0" w:color="auto"/>
            <w:right w:val="none" w:sz="0" w:space="0" w:color="auto"/>
          </w:divBdr>
        </w:div>
      </w:divsChild>
    </w:div>
    <w:div w:id="331683505">
      <w:bodyDiv w:val="1"/>
      <w:marLeft w:val="0"/>
      <w:marRight w:val="0"/>
      <w:marTop w:val="0"/>
      <w:marBottom w:val="0"/>
      <w:divBdr>
        <w:top w:val="none" w:sz="0" w:space="0" w:color="auto"/>
        <w:left w:val="none" w:sz="0" w:space="0" w:color="auto"/>
        <w:bottom w:val="none" w:sz="0" w:space="0" w:color="auto"/>
        <w:right w:val="none" w:sz="0" w:space="0" w:color="auto"/>
      </w:divBdr>
    </w:div>
    <w:div w:id="368144725">
      <w:bodyDiv w:val="1"/>
      <w:marLeft w:val="0"/>
      <w:marRight w:val="0"/>
      <w:marTop w:val="0"/>
      <w:marBottom w:val="0"/>
      <w:divBdr>
        <w:top w:val="none" w:sz="0" w:space="0" w:color="auto"/>
        <w:left w:val="none" w:sz="0" w:space="0" w:color="auto"/>
        <w:bottom w:val="none" w:sz="0" w:space="0" w:color="auto"/>
        <w:right w:val="none" w:sz="0" w:space="0" w:color="auto"/>
      </w:divBdr>
      <w:divsChild>
        <w:div w:id="1585454212">
          <w:marLeft w:val="0"/>
          <w:marRight w:val="0"/>
          <w:marTop w:val="0"/>
          <w:marBottom w:val="0"/>
          <w:divBdr>
            <w:top w:val="none" w:sz="0" w:space="0" w:color="auto"/>
            <w:left w:val="none" w:sz="0" w:space="0" w:color="auto"/>
            <w:bottom w:val="none" w:sz="0" w:space="0" w:color="auto"/>
            <w:right w:val="none" w:sz="0" w:space="0" w:color="auto"/>
          </w:divBdr>
          <w:divsChild>
            <w:div w:id="105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0879">
      <w:bodyDiv w:val="1"/>
      <w:marLeft w:val="0"/>
      <w:marRight w:val="0"/>
      <w:marTop w:val="0"/>
      <w:marBottom w:val="0"/>
      <w:divBdr>
        <w:top w:val="none" w:sz="0" w:space="0" w:color="auto"/>
        <w:left w:val="none" w:sz="0" w:space="0" w:color="auto"/>
        <w:bottom w:val="none" w:sz="0" w:space="0" w:color="auto"/>
        <w:right w:val="none" w:sz="0" w:space="0" w:color="auto"/>
      </w:divBdr>
    </w:div>
    <w:div w:id="455296296">
      <w:bodyDiv w:val="1"/>
      <w:marLeft w:val="0"/>
      <w:marRight w:val="0"/>
      <w:marTop w:val="0"/>
      <w:marBottom w:val="0"/>
      <w:divBdr>
        <w:top w:val="none" w:sz="0" w:space="0" w:color="auto"/>
        <w:left w:val="none" w:sz="0" w:space="0" w:color="auto"/>
        <w:bottom w:val="none" w:sz="0" w:space="0" w:color="auto"/>
        <w:right w:val="none" w:sz="0" w:space="0" w:color="auto"/>
      </w:divBdr>
    </w:div>
    <w:div w:id="561411425">
      <w:bodyDiv w:val="1"/>
      <w:marLeft w:val="0"/>
      <w:marRight w:val="0"/>
      <w:marTop w:val="0"/>
      <w:marBottom w:val="0"/>
      <w:divBdr>
        <w:top w:val="none" w:sz="0" w:space="0" w:color="auto"/>
        <w:left w:val="none" w:sz="0" w:space="0" w:color="auto"/>
        <w:bottom w:val="none" w:sz="0" w:space="0" w:color="auto"/>
        <w:right w:val="none" w:sz="0" w:space="0" w:color="auto"/>
      </w:divBdr>
    </w:div>
    <w:div w:id="580452593">
      <w:bodyDiv w:val="1"/>
      <w:marLeft w:val="0"/>
      <w:marRight w:val="0"/>
      <w:marTop w:val="0"/>
      <w:marBottom w:val="0"/>
      <w:divBdr>
        <w:top w:val="none" w:sz="0" w:space="0" w:color="auto"/>
        <w:left w:val="none" w:sz="0" w:space="0" w:color="auto"/>
        <w:bottom w:val="none" w:sz="0" w:space="0" w:color="auto"/>
        <w:right w:val="none" w:sz="0" w:space="0" w:color="auto"/>
      </w:divBdr>
    </w:div>
    <w:div w:id="672268524">
      <w:bodyDiv w:val="1"/>
      <w:marLeft w:val="0"/>
      <w:marRight w:val="0"/>
      <w:marTop w:val="0"/>
      <w:marBottom w:val="0"/>
      <w:divBdr>
        <w:top w:val="none" w:sz="0" w:space="0" w:color="auto"/>
        <w:left w:val="none" w:sz="0" w:space="0" w:color="auto"/>
        <w:bottom w:val="none" w:sz="0" w:space="0" w:color="auto"/>
        <w:right w:val="none" w:sz="0" w:space="0" w:color="auto"/>
      </w:divBdr>
    </w:div>
    <w:div w:id="781342481">
      <w:bodyDiv w:val="1"/>
      <w:marLeft w:val="0"/>
      <w:marRight w:val="0"/>
      <w:marTop w:val="0"/>
      <w:marBottom w:val="0"/>
      <w:divBdr>
        <w:top w:val="none" w:sz="0" w:space="0" w:color="auto"/>
        <w:left w:val="none" w:sz="0" w:space="0" w:color="auto"/>
        <w:bottom w:val="none" w:sz="0" w:space="0" w:color="auto"/>
        <w:right w:val="none" w:sz="0" w:space="0" w:color="auto"/>
      </w:divBdr>
      <w:divsChild>
        <w:div w:id="1191072541">
          <w:marLeft w:val="0"/>
          <w:marRight w:val="0"/>
          <w:marTop w:val="0"/>
          <w:marBottom w:val="0"/>
          <w:divBdr>
            <w:top w:val="none" w:sz="0" w:space="0" w:color="auto"/>
            <w:left w:val="none" w:sz="0" w:space="0" w:color="auto"/>
            <w:bottom w:val="none" w:sz="0" w:space="0" w:color="auto"/>
            <w:right w:val="none" w:sz="0" w:space="0" w:color="auto"/>
          </w:divBdr>
          <w:divsChild>
            <w:div w:id="220991247">
              <w:marLeft w:val="0"/>
              <w:marRight w:val="0"/>
              <w:marTop w:val="0"/>
              <w:marBottom w:val="0"/>
              <w:divBdr>
                <w:top w:val="none" w:sz="0" w:space="0" w:color="auto"/>
                <w:left w:val="none" w:sz="0" w:space="0" w:color="auto"/>
                <w:bottom w:val="none" w:sz="0" w:space="0" w:color="auto"/>
                <w:right w:val="none" w:sz="0" w:space="0" w:color="auto"/>
              </w:divBdr>
              <w:divsChild>
                <w:div w:id="329405563">
                  <w:marLeft w:val="0"/>
                  <w:marRight w:val="0"/>
                  <w:marTop w:val="0"/>
                  <w:marBottom w:val="0"/>
                  <w:divBdr>
                    <w:top w:val="none" w:sz="0" w:space="0" w:color="auto"/>
                    <w:left w:val="none" w:sz="0" w:space="0" w:color="auto"/>
                    <w:bottom w:val="none" w:sz="0" w:space="0" w:color="auto"/>
                    <w:right w:val="none" w:sz="0" w:space="0" w:color="auto"/>
                  </w:divBdr>
                  <w:divsChild>
                    <w:div w:id="810638193">
                      <w:marLeft w:val="0"/>
                      <w:marRight w:val="0"/>
                      <w:marTop w:val="0"/>
                      <w:marBottom w:val="0"/>
                      <w:divBdr>
                        <w:top w:val="none" w:sz="0" w:space="0" w:color="auto"/>
                        <w:left w:val="none" w:sz="0" w:space="0" w:color="auto"/>
                        <w:bottom w:val="none" w:sz="0" w:space="0" w:color="auto"/>
                        <w:right w:val="none" w:sz="0" w:space="0" w:color="auto"/>
                      </w:divBdr>
                      <w:divsChild>
                        <w:div w:id="4084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285931">
      <w:bodyDiv w:val="1"/>
      <w:marLeft w:val="0"/>
      <w:marRight w:val="0"/>
      <w:marTop w:val="0"/>
      <w:marBottom w:val="0"/>
      <w:divBdr>
        <w:top w:val="none" w:sz="0" w:space="0" w:color="auto"/>
        <w:left w:val="none" w:sz="0" w:space="0" w:color="auto"/>
        <w:bottom w:val="none" w:sz="0" w:space="0" w:color="auto"/>
        <w:right w:val="none" w:sz="0" w:space="0" w:color="auto"/>
      </w:divBdr>
    </w:div>
    <w:div w:id="838538524">
      <w:bodyDiv w:val="1"/>
      <w:marLeft w:val="0"/>
      <w:marRight w:val="0"/>
      <w:marTop w:val="0"/>
      <w:marBottom w:val="0"/>
      <w:divBdr>
        <w:top w:val="none" w:sz="0" w:space="0" w:color="auto"/>
        <w:left w:val="none" w:sz="0" w:space="0" w:color="auto"/>
        <w:bottom w:val="none" w:sz="0" w:space="0" w:color="auto"/>
        <w:right w:val="none" w:sz="0" w:space="0" w:color="auto"/>
      </w:divBdr>
    </w:div>
    <w:div w:id="850989281">
      <w:bodyDiv w:val="1"/>
      <w:marLeft w:val="0"/>
      <w:marRight w:val="0"/>
      <w:marTop w:val="0"/>
      <w:marBottom w:val="0"/>
      <w:divBdr>
        <w:top w:val="none" w:sz="0" w:space="0" w:color="auto"/>
        <w:left w:val="none" w:sz="0" w:space="0" w:color="auto"/>
        <w:bottom w:val="none" w:sz="0" w:space="0" w:color="auto"/>
        <w:right w:val="none" w:sz="0" w:space="0" w:color="auto"/>
      </w:divBdr>
      <w:divsChild>
        <w:div w:id="1485047760">
          <w:marLeft w:val="0"/>
          <w:marRight w:val="0"/>
          <w:marTop w:val="0"/>
          <w:marBottom w:val="0"/>
          <w:divBdr>
            <w:top w:val="none" w:sz="0" w:space="0" w:color="auto"/>
            <w:left w:val="none" w:sz="0" w:space="0" w:color="auto"/>
            <w:bottom w:val="none" w:sz="0" w:space="0" w:color="auto"/>
            <w:right w:val="none" w:sz="0" w:space="0" w:color="auto"/>
          </w:divBdr>
          <w:divsChild>
            <w:div w:id="310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11912">
      <w:bodyDiv w:val="1"/>
      <w:marLeft w:val="0"/>
      <w:marRight w:val="0"/>
      <w:marTop w:val="0"/>
      <w:marBottom w:val="0"/>
      <w:divBdr>
        <w:top w:val="none" w:sz="0" w:space="0" w:color="auto"/>
        <w:left w:val="none" w:sz="0" w:space="0" w:color="auto"/>
        <w:bottom w:val="none" w:sz="0" w:space="0" w:color="auto"/>
        <w:right w:val="none" w:sz="0" w:space="0" w:color="auto"/>
      </w:divBdr>
    </w:div>
    <w:div w:id="961113793">
      <w:bodyDiv w:val="1"/>
      <w:marLeft w:val="0"/>
      <w:marRight w:val="0"/>
      <w:marTop w:val="0"/>
      <w:marBottom w:val="0"/>
      <w:divBdr>
        <w:top w:val="none" w:sz="0" w:space="0" w:color="auto"/>
        <w:left w:val="none" w:sz="0" w:space="0" w:color="auto"/>
        <w:bottom w:val="none" w:sz="0" w:space="0" w:color="auto"/>
        <w:right w:val="none" w:sz="0" w:space="0" w:color="auto"/>
      </w:divBdr>
    </w:div>
    <w:div w:id="966200648">
      <w:bodyDiv w:val="1"/>
      <w:marLeft w:val="0"/>
      <w:marRight w:val="0"/>
      <w:marTop w:val="0"/>
      <w:marBottom w:val="0"/>
      <w:divBdr>
        <w:top w:val="none" w:sz="0" w:space="0" w:color="auto"/>
        <w:left w:val="none" w:sz="0" w:space="0" w:color="auto"/>
        <w:bottom w:val="none" w:sz="0" w:space="0" w:color="auto"/>
        <w:right w:val="none" w:sz="0" w:space="0" w:color="auto"/>
      </w:divBdr>
    </w:div>
    <w:div w:id="1069769296">
      <w:bodyDiv w:val="1"/>
      <w:marLeft w:val="0"/>
      <w:marRight w:val="0"/>
      <w:marTop w:val="0"/>
      <w:marBottom w:val="0"/>
      <w:divBdr>
        <w:top w:val="none" w:sz="0" w:space="0" w:color="auto"/>
        <w:left w:val="none" w:sz="0" w:space="0" w:color="auto"/>
        <w:bottom w:val="none" w:sz="0" w:space="0" w:color="auto"/>
        <w:right w:val="none" w:sz="0" w:space="0" w:color="auto"/>
      </w:divBdr>
      <w:divsChild>
        <w:div w:id="17315483">
          <w:marLeft w:val="0"/>
          <w:marRight w:val="0"/>
          <w:marTop w:val="0"/>
          <w:marBottom w:val="0"/>
          <w:divBdr>
            <w:top w:val="none" w:sz="0" w:space="0" w:color="auto"/>
            <w:left w:val="none" w:sz="0" w:space="0" w:color="auto"/>
            <w:bottom w:val="none" w:sz="0" w:space="0" w:color="auto"/>
            <w:right w:val="none" w:sz="0" w:space="0" w:color="auto"/>
          </w:divBdr>
        </w:div>
        <w:div w:id="25495873">
          <w:marLeft w:val="0"/>
          <w:marRight w:val="0"/>
          <w:marTop w:val="0"/>
          <w:marBottom w:val="0"/>
          <w:divBdr>
            <w:top w:val="none" w:sz="0" w:space="0" w:color="auto"/>
            <w:left w:val="none" w:sz="0" w:space="0" w:color="auto"/>
            <w:bottom w:val="none" w:sz="0" w:space="0" w:color="auto"/>
            <w:right w:val="none" w:sz="0" w:space="0" w:color="auto"/>
          </w:divBdr>
          <w:divsChild>
            <w:div w:id="57560933">
              <w:marLeft w:val="0"/>
              <w:marRight w:val="0"/>
              <w:marTop w:val="0"/>
              <w:marBottom w:val="0"/>
              <w:divBdr>
                <w:top w:val="none" w:sz="0" w:space="0" w:color="auto"/>
                <w:left w:val="none" w:sz="0" w:space="0" w:color="auto"/>
                <w:bottom w:val="none" w:sz="0" w:space="0" w:color="auto"/>
                <w:right w:val="none" w:sz="0" w:space="0" w:color="auto"/>
              </w:divBdr>
            </w:div>
            <w:div w:id="424690890">
              <w:marLeft w:val="0"/>
              <w:marRight w:val="0"/>
              <w:marTop w:val="0"/>
              <w:marBottom w:val="0"/>
              <w:divBdr>
                <w:top w:val="none" w:sz="0" w:space="0" w:color="auto"/>
                <w:left w:val="none" w:sz="0" w:space="0" w:color="auto"/>
                <w:bottom w:val="none" w:sz="0" w:space="0" w:color="auto"/>
                <w:right w:val="none" w:sz="0" w:space="0" w:color="auto"/>
              </w:divBdr>
            </w:div>
            <w:div w:id="1726444795">
              <w:marLeft w:val="0"/>
              <w:marRight w:val="0"/>
              <w:marTop w:val="0"/>
              <w:marBottom w:val="0"/>
              <w:divBdr>
                <w:top w:val="none" w:sz="0" w:space="0" w:color="auto"/>
                <w:left w:val="none" w:sz="0" w:space="0" w:color="auto"/>
                <w:bottom w:val="none" w:sz="0" w:space="0" w:color="auto"/>
                <w:right w:val="none" w:sz="0" w:space="0" w:color="auto"/>
              </w:divBdr>
            </w:div>
            <w:div w:id="1836919901">
              <w:marLeft w:val="0"/>
              <w:marRight w:val="0"/>
              <w:marTop w:val="0"/>
              <w:marBottom w:val="0"/>
              <w:divBdr>
                <w:top w:val="none" w:sz="0" w:space="0" w:color="auto"/>
                <w:left w:val="none" w:sz="0" w:space="0" w:color="auto"/>
                <w:bottom w:val="none" w:sz="0" w:space="0" w:color="auto"/>
                <w:right w:val="none" w:sz="0" w:space="0" w:color="auto"/>
              </w:divBdr>
            </w:div>
            <w:div w:id="1896505150">
              <w:marLeft w:val="0"/>
              <w:marRight w:val="0"/>
              <w:marTop w:val="0"/>
              <w:marBottom w:val="0"/>
              <w:divBdr>
                <w:top w:val="none" w:sz="0" w:space="0" w:color="auto"/>
                <w:left w:val="none" w:sz="0" w:space="0" w:color="auto"/>
                <w:bottom w:val="none" w:sz="0" w:space="0" w:color="auto"/>
                <w:right w:val="none" w:sz="0" w:space="0" w:color="auto"/>
              </w:divBdr>
            </w:div>
          </w:divsChild>
        </w:div>
        <w:div w:id="57632296">
          <w:marLeft w:val="0"/>
          <w:marRight w:val="0"/>
          <w:marTop w:val="0"/>
          <w:marBottom w:val="0"/>
          <w:divBdr>
            <w:top w:val="none" w:sz="0" w:space="0" w:color="auto"/>
            <w:left w:val="none" w:sz="0" w:space="0" w:color="auto"/>
            <w:bottom w:val="none" w:sz="0" w:space="0" w:color="auto"/>
            <w:right w:val="none" w:sz="0" w:space="0" w:color="auto"/>
          </w:divBdr>
          <w:divsChild>
            <w:div w:id="924876302">
              <w:marLeft w:val="0"/>
              <w:marRight w:val="0"/>
              <w:marTop w:val="0"/>
              <w:marBottom w:val="0"/>
              <w:divBdr>
                <w:top w:val="none" w:sz="0" w:space="0" w:color="auto"/>
                <w:left w:val="none" w:sz="0" w:space="0" w:color="auto"/>
                <w:bottom w:val="none" w:sz="0" w:space="0" w:color="auto"/>
                <w:right w:val="none" w:sz="0" w:space="0" w:color="auto"/>
              </w:divBdr>
            </w:div>
          </w:divsChild>
        </w:div>
        <w:div w:id="66654848">
          <w:marLeft w:val="0"/>
          <w:marRight w:val="0"/>
          <w:marTop w:val="0"/>
          <w:marBottom w:val="0"/>
          <w:divBdr>
            <w:top w:val="none" w:sz="0" w:space="0" w:color="auto"/>
            <w:left w:val="none" w:sz="0" w:space="0" w:color="auto"/>
            <w:bottom w:val="none" w:sz="0" w:space="0" w:color="auto"/>
            <w:right w:val="none" w:sz="0" w:space="0" w:color="auto"/>
          </w:divBdr>
        </w:div>
        <w:div w:id="71048934">
          <w:marLeft w:val="0"/>
          <w:marRight w:val="0"/>
          <w:marTop w:val="0"/>
          <w:marBottom w:val="0"/>
          <w:divBdr>
            <w:top w:val="none" w:sz="0" w:space="0" w:color="auto"/>
            <w:left w:val="none" w:sz="0" w:space="0" w:color="auto"/>
            <w:bottom w:val="none" w:sz="0" w:space="0" w:color="auto"/>
            <w:right w:val="none" w:sz="0" w:space="0" w:color="auto"/>
          </w:divBdr>
        </w:div>
        <w:div w:id="74133205">
          <w:marLeft w:val="0"/>
          <w:marRight w:val="0"/>
          <w:marTop w:val="0"/>
          <w:marBottom w:val="0"/>
          <w:divBdr>
            <w:top w:val="none" w:sz="0" w:space="0" w:color="auto"/>
            <w:left w:val="none" w:sz="0" w:space="0" w:color="auto"/>
            <w:bottom w:val="none" w:sz="0" w:space="0" w:color="auto"/>
            <w:right w:val="none" w:sz="0" w:space="0" w:color="auto"/>
          </w:divBdr>
        </w:div>
        <w:div w:id="104622691">
          <w:marLeft w:val="0"/>
          <w:marRight w:val="0"/>
          <w:marTop w:val="0"/>
          <w:marBottom w:val="0"/>
          <w:divBdr>
            <w:top w:val="none" w:sz="0" w:space="0" w:color="auto"/>
            <w:left w:val="none" w:sz="0" w:space="0" w:color="auto"/>
            <w:bottom w:val="none" w:sz="0" w:space="0" w:color="auto"/>
            <w:right w:val="none" w:sz="0" w:space="0" w:color="auto"/>
          </w:divBdr>
        </w:div>
        <w:div w:id="110437038">
          <w:marLeft w:val="0"/>
          <w:marRight w:val="0"/>
          <w:marTop w:val="0"/>
          <w:marBottom w:val="0"/>
          <w:divBdr>
            <w:top w:val="none" w:sz="0" w:space="0" w:color="auto"/>
            <w:left w:val="none" w:sz="0" w:space="0" w:color="auto"/>
            <w:bottom w:val="none" w:sz="0" w:space="0" w:color="auto"/>
            <w:right w:val="none" w:sz="0" w:space="0" w:color="auto"/>
          </w:divBdr>
        </w:div>
        <w:div w:id="183909329">
          <w:marLeft w:val="0"/>
          <w:marRight w:val="0"/>
          <w:marTop w:val="0"/>
          <w:marBottom w:val="0"/>
          <w:divBdr>
            <w:top w:val="none" w:sz="0" w:space="0" w:color="auto"/>
            <w:left w:val="none" w:sz="0" w:space="0" w:color="auto"/>
            <w:bottom w:val="none" w:sz="0" w:space="0" w:color="auto"/>
            <w:right w:val="none" w:sz="0" w:space="0" w:color="auto"/>
          </w:divBdr>
        </w:div>
        <w:div w:id="221136435">
          <w:marLeft w:val="0"/>
          <w:marRight w:val="0"/>
          <w:marTop w:val="0"/>
          <w:marBottom w:val="0"/>
          <w:divBdr>
            <w:top w:val="none" w:sz="0" w:space="0" w:color="auto"/>
            <w:left w:val="none" w:sz="0" w:space="0" w:color="auto"/>
            <w:bottom w:val="none" w:sz="0" w:space="0" w:color="auto"/>
            <w:right w:val="none" w:sz="0" w:space="0" w:color="auto"/>
          </w:divBdr>
        </w:div>
        <w:div w:id="243146027">
          <w:marLeft w:val="0"/>
          <w:marRight w:val="0"/>
          <w:marTop w:val="0"/>
          <w:marBottom w:val="0"/>
          <w:divBdr>
            <w:top w:val="none" w:sz="0" w:space="0" w:color="auto"/>
            <w:left w:val="none" w:sz="0" w:space="0" w:color="auto"/>
            <w:bottom w:val="none" w:sz="0" w:space="0" w:color="auto"/>
            <w:right w:val="none" w:sz="0" w:space="0" w:color="auto"/>
          </w:divBdr>
          <w:divsChild>
            <w:div w:id="642000872">
              <w:marLeft w:val="0"/>
              <w:marRight w:val="0"/>
              <w:marTop w:val="0"/>
              <w:marBottom w:val="0"/>
              <w:divBdr>
                <w:top w:val="none" w:sz="0" w:space="0" w:color="auto"/>
                <w:left w:val="none" w:sz="0" w:space="0" w:color="auto"/>
                <w:bottom w:val="none" w:sz="0" w:space="0" w:color="auto"/>
                <w:right w:val="none" w:sz="0" w:space="0" w:color="auto"/>
              </w:divBdr>
            </w:div>
            <w:div w:id="972518034">
              <w:marLeft w:val="0"/>
              <w:marRight w:val="0"/>
              <w:marTop w:val="0"/>
              <w:marBottom w:val="0"/>
              <w:divBdr>
                <w:top w:val="none" w:sz="0" w:space="0" w:color="auto"/>
                <w:left w:val="none" w:sz="0" w:space="0" w:color="auto"/>
                <w:bottom w:val="none" w:sz="0" w:space="0" w:color="auto"/>
                <w:right w:val="none" w:sz="0" w:space="0" w:color="auto"/>
              </w:divBdr>
            </w:div>
            <w:div w:id="986324882">
              <w:marLeft w:val="0"/>
              <w:marRight w:val="0"/>
              <w:marTop w:val="0"/>
              <w:marBottom w:val="0"/>
              <w:divBdr>
                <w:top w:val="none" w:sz="0" w:space="0" w:color="auto"/>
                <w:left w:val="none" w:sz="0" w:space="0" w:color="auto"/>
                <w:bottom w:val="none" w:sz="0" w:space="0" w:color="auto"/>
                <w:right w:val="none" w:sz="0" w:space="0" w:color="auto"/>
              </w:divBdr>
            </w:div>
            <w:div w:id="1269846643">
              <w:marLeft w:val="0"/>
              <w:marRight w:val="0"/>
              <w:marTop w:val="0"/>
              <w:marBottom w:val="0"/>
              <w:divBdr>
                <w:top w:val="none" w:sz="0" w:space="0" w:color="auto"/>
                <w:left w:val="none" w:sz="0" w:space="0" w:color="auto"/>
                <w:bottom w:val="none" w:sz="0" w:space="0" w:color="auto"/>
                <w:right w:val="none" w:sz="0" w:space="0" w:color="auto"/>
              </w:divBdr>
            </w:div>
            <w:div w:id="1884125886">
              <w:marLeft w:val="0"/>
              <w:marRight w:val="0"/>
              <w:marTop w:val="0"/>
              <w:marBottom w:val="0"/>
              <w:divBdr>
                <w:top w:val="none" w:sz="0" w:space="0" w:color="auto"/>
                <w:left w:val="none" w:sz="0" w:space="0" w:color="auto"/>
                <w:bottom w:val="none" w:sz="0" w:space="0" w:color="auto"/>
                <w:right w:val="none" w:sz="0" w:space="0" w:color="auto"/>
              </w:divBdr>
            </w:div>
          </w:divsChild>
        </w:div>
        <w:div w:id="282074858">
          <w:marLeft w:val="0"/>
          <w:marRight w:val="0"/>
          <w:marTop w:val="0"/>
          <w:marBottom w:val="0"/>
          <w:divBdr>
            <w:top w:val="none" w:sz="0" w:space="0" w:color="auto"/>
            <w:left w:val="none" w:sz="0" w:space="0" w:color="auto"/>
            <w:bottom w:val="none" w:sz="0" w:space="0" w:color="auto"/>
            <w:right w:val="none" w:sz="0" w:space="0" w:color="auto"/>
          </w:divBdr>
        </w:div>
        <w:div w:id="297876789">
          <w:marLeft w:val="0"/>
          <w:marRight w:val="0"/>
          <w:marTop w:val="0"/>
          <w:marBottom w:val="0"/>
          <w:divBdr>
            <w:top w:val="none" w:sz="0" w:space="0" w:color="auto"/>
            <w:left w:val="none" w:sz="0" w:space="0" w:color="auto"/>
            <w:bottom w:val="none" w:sz="0" w:space="0" w:color="auto"/>
            <w:right w:val="none" w:sz="0" w:space="0" w:color="auto"/>
          </w:divBdr>
        </w:div>
        <w:div w:id="341593749">
          <w:marLeft w:val="0"/>
          <w:marRight w:val="0"/>
          <w:marTop w:val="0"/>
          <w:marBottom w:val="0"/>
          <w:divBdr>
            <w:top w:val="none" w:sz="0" w:space="0" w:color="auto"/>
            <w:left w:val="none" w:sz="0" w:space="0" w:color="auto"/>
            <w:bottom w:val="none" w:sz="0" w:space="0" w:color="auto"/>
            <w:right w:val="none" w:sz="0" w:space="0" w:color="auto"/>
          </w:divBdr>
        </w:div>
        <w:div w:id="444345064">
          <w:marLeft w:val="0"/>
          <w:marRight w:val="0"/>
          <w:marTop w:val="0"/>
          <w:marBottom w:val="0"/>
          <w:divBdr>
            <w:top w:val="none" w:sz="0" w:space="0" w:color="auto"/>
            <w:left w:val="none" w:sz="0" w:space="0" w:color="auto"/>
            <w:bottom w:val="none" w:sz="0" w:space="0" w:color="auto"/>
            <w:right w:val="none" w:sz="0" w:space="0" w:color="auto"/>
          </w:divBdr>
        </w:div>
        <w:div w:id="473522337">
          <w:marLeft w:val="0"/>
          <w:marRight w:val="0"/>
          <w:marTop w:val="0"/>
          <w:marBottom w:val="0"/>
          <w:divBdr>
            <w:top w:val="none" w:sz="0" w:space="0" w:color="auto"/>
            <w:left w:val="none" w:sz="0" w:space="0" w:color="auto"/>
            <w:bottom w:val="none" w:sz="0" w:space="0" w:color="auto"/>
            <w:right w:val="none" w:sz="0" w:space="0" w:color="auto"/>
          </w:divBdr>
          <w:divsChild>
            <w:div w:id="219436903">
              <w:marLeft w:val="0"/>
              <w:marRight w:val="0"/>
              <w:marTop w:val="0"/>
              <w:marBottom w:val="0"/>
              <w:divBdr>
                <w:top w:val="none" w:sz="0" w:space="0" w:color="auto"/>
                <w:left w:val="none" w:sz="0" w:space="0" w:color="auto"/>
                <w:bottom w:val="none" w:sz="0" w:space="0" w:color="auto"/>
                <w:right w:val="none" w:sz="0" w:space="0" w:color="auto"/>
              </w:divBdr>
            </w:div>
            <w:div w:id="779840994">
              <w:marLeft w:val="0"/>
              <w:marRight w:val="0"/>
              <w:marTop w:val="0"/>
              <w:marBottom w:val="0"/>
              <w:divBdr>
                <w:top w:val="none" w:sz="0" w:space="0" w:color="auto"/>
                <w:left w:val="none" w:sz="0" w:space="0" w:color="auto"/>
                <w:bottom w:val="none" w:sz="0" w:space="0" w:color="auto"/>
                <w:right w:val="none" w:sz="0" w:space="0" w:color="auto"/>
              </w:divBdr>
            </w:div>
            <w:div w:id="2034719945">
              <w:marLeft w:val="0"/>
              <w:marRight w:val="0"/>
              <w:marTop w:val="0"/>
              <w:marBottom w:val="0"/>
              <w:divBdr>
                <w:top w:val="none" w:sz="0" w:space="0" w:color="auto"/>
                <w:left w:val="none" w:sz="0" w:space="0" w:color="auto"/>
                <w:bottom w:val="none" w:sz="0" w:space="0" w:color="auto"/>
                <w:right w:val="none" w:sz="0" w:space="0" w:color="auto"/>
              </w:divBdr>
            </w:div>
          </w:divsChild>
        </w:div>
        <w:div w:id="511190312">
          <w:marLeft w:val="0"/>
          <w:marRight w:val="0"/>
          <w:marTop w:val="0"/>
          <w:marBottom w:val="0"/>
          <w:divBdr>
            <w:top w:val="none" w:sz="0" w:space="0" w:color="auto"/>
            <w:left w:val="none" w:sz="0" w:space="0" w:color="auto"/>
            <w:bottom w:val="none" w:sz="0" w:space="0" w:color="auto"/>
            <w:right w:val="none" w:sz="0" w:space="0" w:color="auto"/>
          </w:divBdr>
        </w:div>
        <w:div w:id="558857023">
          <w:marLeft w:val="0"/>
          <w:marRight w:val="0"/>
          <w:marTop w:val="0"/>
          <w:marBottom w:val="0"/>
          <w:divBdr>
            <w:top w:val="none" w:sz="0" w:space="0" w:color="auto"/>
            <w:left w:val="none" w:sz="0" w:space="0" w:color="auto"/>
            <w:bottom w:val="none" w:sz="0" w:space="0" w:color="auto"/>
            <w:right w:val="none" w:sz="0" w:space="0" w:color="auto"/>
          </w:divBdr>
        </w:div>
        <w:div w:id="567302285">
          <w:marLeft w:val="0"/>
          <w:marRight w:val="0"/>
          <w:marTop w:val="0"/>
          <w:marBottom w:val="0"/>
          <w:divBdr>
            <w:top w:val="none" w:sz="0" w:space="0" w:color="auto"/>
            <w:left w:val="none" w:sz="0" w:space="0" w:color="auto"/>
            <w:bottom w:val="none" w:sz="0" w:space="0" w:color="auto"/>
            <w:right w:val="none" w:sz="0" w:space="0" w:color="auto"/>
          </w:divBdr>
        </w:div>
        <w:div w:id="573201645">
          <w:marLeft w:val="0"/>
          <w:marRight w:val="0"/>
          <w:marTop w:val="0"/>
          <w:marBottom w:val="0"/>
          <w:divBdr>
            <w:top w:val="none" w:sz="0" w:space="0" w:color="auto"/>
            <w:left w:val="none" w:sz="0" w:space="0" w:color="auto"/>
            <w:bottom w:val="none" w:sz="0" w:space="0" w:color="auto"/>
            <w:right w:val="none" w:sz="0" w:space="0" w:color="auto"/>
          </w:divBdr>
        </w:div>
        <w:div w:id="581523527">
          <w:marLeft w:val="0"/>
          <w:marRight w:val="0"/>
          <w:marTop w:val="0"/>
          <w:marBottom w:val="0"/>
          <w:divBdr>
            <w:top w:val="none" w:sz="0" w:space="0" w:color="auto"/>
            <w:left w:val="none" w:sz="0" w:space="0" w:color="auto"/>
            <w:bottom w:val="none" w:sz="0" w:space="0" w:color="auto"/>
            <w:right w:val="none" w:sz="0" w:space="0" w:color="auto"/>
          </w:divBdr>
        </w:div>
        <w:div w:id="601837453">
          <w:marLeft w:val="0"/>
          <w:marRight w:val="0"/>
          <w:marTop w:val="0"/>
          <w:marBottom w:val="0"/>
          <w:divBdr>
            <w:top w:val="none" w:sz="0" w:space="0" w:color="auto"/>
            <w:left w:val="none" w:sz="0" w:space="0" w:color="auto"/>
            <w:bottom w:val="none" w:sz="0" w:space="0" w:color="auto"/>
            <w:right w:val="none" w:sz="0" w:space="0" w:color="auto"/>
          </w:divBdr>
        </w:div>
        <w:div w:id="623581277">
          <w:marLeft w:val="0"/>
          <w:marRight w:val="0"/>
          <w:marTop w:val="0"/>
          <w:marBottom w:val="0"/>
          <w:divBdr>
            <w:top w:val="none" w:sz="0" w:space="0" w:color="auto"/>
            <w:left w:val="none" w:sz="0" w:space="0" w:color="auto"/>
            <w:bottom w:val="none" w:sz="0" w:space="0" w:color="auto"/>
            <w:right w:val="none" w:sz="0" w:space="0" w:color="auto"/>
          </w:divBdr>
        </w:div>
        <w:div w:id="641889294">
          <w:marLeft w:val="0"/>
          <w:marRight w:val="0"/>
          <w:marTop w:val="0"/>
          <w:marBottom w:val="0"/>
          <w:divBdr>
            <w:top w:val="none" w:sz="0" w:space="0" w:color="auto"/>
            <w:left w:val="none" w:sz="0" w:space="0" w:color="auto"/>
            <w:bottom w:val="none" w:sz="0" w:space="0" w:color="auto"/>
            <w:right w:val="none" w:sz="0" w:space="0" w:color="auto"/>
          </w:divBdr>
        </w:div>
        <w:div w:id="678505462">
          <w:marLeft w:val="0"/>
          <w:marRight w:val="0"/>
          <w:marTop w:val="0"/>
          <w:marBottom w:val="0"/>
          <w:divBdr>
            <w:top w:val="none" w:sz="0" w:space="0" w:color="auto"/>
            <w:left w:val="none" w:sz="0" w:space="0" w:color="auto"/>
            <w:bottom w:val="none" w:sz="0" w:space="0" w:color="auto"/>
            <w:right w:val="none" w:sz="0" w:space="0" w:color="auto"/>
          </w:divBdr>
          <w:divsChild>
            <w:div w:id="46686846">
              <w:marLeft w:val="0"/>
              <w:marRight w:val="0"/>
              <w:marTop w:val="0"/>
              <w:marBottom w:val="0"/>
              <w:divBdr>
                <w:top w:val="none" w:sz="0" w:space="0" w:color="auto"/>
                <w:left w:val="none" w:sz="0" w:space="0" w:color="auto"/>
                <w:bottom w:val="none" w:sz="0" w:space="0" w:color="auto"/>
                <w:right w:val="none" w:sz="0" w:space="0" w:color="auto"/>
              </w:divBdr>
            </w:div>
            <w:div w:id="91364338">
              <w:marLeft w:val="0"/>
              <w:marRight w:val="0"/>
              <w:marTop w:val="0"/>
              <w:marBottom w:val="0"/>
              <w:divBdr>
                <w:top w:val="none" w:sz="0" w:space="0" w:color="auto"/>
                <w:left w:val="none" w:sz="0" w:space="0" w:color="auto"/>
                <w:bottom w:val="none" w:sz="0" w:space="0" w:color="auto"/>
                <w:right w:val="none" w:sz="0" w:space="0" w:color="auto"/>
              </w:divBdr>
            </w:div>
            <w:div w:id="472141405">
              <w:marLeft w:val="0"/>
              <w:marRight w:val="0"/>
              <w:marTop w:val="0"/>
              <w:marBottom w:val="0"/>
              <w:divBdr>
                <w:top w:val="none" w:sz="0" w:space="0" w:color="auto"/>
                <w:left w:val="none" w:sz="0" w:space="0" w:color="auto"/>
                <w:bottom w:val="none" w:sz="0" w:space="0" w:color="auto"/>
                <w:right w:val="none" w:sz="0" w:space="0" w:color="auto"/>
              </w:divBdr>
            </w:div>
          </w:divsChild>
        </w:div>
        <w:div w:id="680401670">
          <w:marLeft w:val="0"/>
          <w:marRight w:val="0"/>
          <w:marTop w:val="0"/>
          <w:marBottom w:val="0"/>
          <w:divBdr>
            <w:top w:val="none" w:sz="0" w:space="0" w:color="auto"/>
            <w:left w:val="none" w:sz="0" w:space="0" w:color="auto"/>
            <w:bottom w:val="none" w:sz="0" w:space="0" w:color="auto"/>
            <w:right w:val="none" w:sz="0" w:space="0" w:color="auto"/>
          </w:divBdr>
        </w:div>
        <w:div w:id="692152213">
          <w:marLeft w:val="0"/>
          <w:marRight w:val="0"/>
          <w:marTop w:val="0"/>
          <w:marBottom w:val="0"/>
          <w:divBdr>
            <w:top w:val="none" w:sz="0" w:space="0" w:color="auto"/>
            <w:left w:val="none" w:sz="0" w:space="0" w:color="auto"/>
            <w:bottom w:val="none" w:sz="0" w:space="0" w:color="auto"/>
            <w:right w:val="none" w:sz="0" w:space="0" w:color="auto"/>
          </w:divBdr>
        </w:div>
        <w:div w:id="743454479">
          <w:marLeft w:val="0"/>
          <w:marRight w:val="0"/>
          <w:marTop w:val="0"/>
          <w:marBottom w:val="0"/>
          <w:divBdr>
            <w:top w:val="none" w:sz="0" w:space="0" w:color="auto"/>
            <w:left w:val="none" w:sz="0" w:space="0" w:color="auto"/>
            <w:bottom w:val="none" w:sz="0" w:space="0" w:color="auto"/>
            <w:right w:val="none" w:sz="0" w:space="0" w:color="auto"/>
          </w:divBdr>
        </w:div>
        <w:div w:id="753089796">
          <w:marLeft w:val="0"/>
          <w:marRight w:val="0"/>
          <w:marTop w:val="0"/>
          <w:marBottom w:val="0"/>
          <w:divBdr>
            <w:top w:val="none" w:sz="0" w:space="0" w:color="auto"/>
            <w:left w:val="none" w:sz="0" w:space="0" w:color="auto"/>
            <w:bottom w:val="none" w:sz="0" w:space="0" w:color="auto"/>
            <w:right w:val="none" w:sz="0" w:space="0" w:color="auto"/>
          </w:divBdr>
        </w:div>
        <w:div w:id="756362553">
          <w:marLeft w:val="0"/>
          <w:marRight w:val="0"/>
          <w:marTop w:val="0"/>
          <w:marBottom w:val="0"/>
          <w:divBdr>
            <w:top w:val="none" w:sz="0" w:space="0" w:color="auto"/>
            <w:left w:val="none" w:sz="0" w:space="0" w:color="auto"/>
            <w:bottom w:val="none" w:sz="0" w:space="0" w:color="auto"/>
            <w:right w:val="none" w:sz="0" w:space="0" w:color="auto"/>
          </w:divBdr>
        </w:div>
        <w:div w:id="763770054">
          <w:marLeft w:val="0"/>
          <w:marRight w:val="0"/>
          <w:marTop w:val="0"/>
          <w:marBottom w:val="0"/>
          <w:divBdr>
            <w:top w:val="none" w:sz="0" w:space="0" w:color="auto"/>
            <w:left w:val="none" w:sz="0" w:space="0" w:color="auto"/>
            <w:bottom w:val="none" w:sz="0" w:space="0" w:color="auto"/>
            <w:right w:val="none" w:sz="0" w:space="0" w:color="auto"/>
          </w:divBdr>
        </w:div>
        <w:div w:id="817191012">
          <w:marLeft w:val="0"/>
          <w:marRight w:val="0"/>
          <w:marTop w:val="0"/>
          <w:marBottom w:val="0"/>
          <w:divBdr>
            <w:top w:val="none" w:sz="0" w:space="0" w:color="auto"/>
            <w:left w:val="none" w:sz="0" w:space="0" w:color="auto"/>
            <w:bottom w:val="none" w:sz="0" w:space="0" w:color="auto"/>
            <w:right w:val="none" w:sz="0" w:space="0" w:color="auto"/>
          </w:divBdr>
        </w:div>
        <w:div w:id="826747307">
          <w:marLeft w:val="0"/>
          <w:marRight w:val="0"/>
          <w:marTop w:val="0"/>
          <w:marBottom w:val="0"/>
          <w:divBdr>
            <w:top w:val="none" w:sz="0" w:space="0" w:color="auto"/>
            <w:left w:val="none" w:sz="0" w:space="0" w:color="auto"/>
            <w:bottom w:val="none" w:sz="0" w:space="0" w:color="auto"/>
            <w:right w:val="none" w:sz="0" w:space="0" w:color="auto"/>
          </w:divBdr>
        </w:div>
        <w:div w:id="852184855">
          <w:marLeft w:val="0"/>
          <w:marRight w:val="0"/>
          <w:marTop w:val="0"/>
          <w:marBottom w:val="0"/>
          <w:divBdr>
            <w:top w:val="none" w:sz="0" w:space="0" w:color="auto"/>
            <w:left w:val="none" w:sz="0" w:space="0" w:color="auto"/>
            <w:bottom w:val="none" w:sz="0" w:space="0" w:color="auto"/>
            <w:right w:val="none" w:sz="0" w:space="0" w:color="auto"/>
          </w:divBdr>
        </w:div>
        <w:div w:id="857744186">
          <w:marLeft w:val="0"/>
          <w:marRight w:val="0"/>
          <w:marTop w:val="0"/>
          <w:marBottom w:val="0"/>
          <w:divBdr>
            <w:top w:val="none" w:sz="0" w:space="0" w:color="auto"/>
            <w:left w:val="none" w:sz="0" w:space="0" w:color="auto"/>
            <w:bottom w:val="none" w:sz="0" w:space="0" w:color="auto"/>
            <w:right w:val="none" w:sz="0" w:space="0" w:color="auto"/>
          </w:divBdr>
        </w:div>
        <w:div w:id="916330403">
          <w:marLeft w:val="0"/>
          <w:marRight w:val="0"/>
          <w:marTop w:val="0"/>
          <w:marBottom w:val="0"/>
          <w:divBdr>
            <w:top w:val="none" w:sz="0" w:space="0" w:color="auto"/>
            <w:left w:val="none" w:sz="0" w:space="0" w:color="auto"/>
            <w:bottom w:val="none" w:sz="0" w:space="0" w:color="auto"/>
            <w:right w:val="none" w:sz="0" w:space="0" w:color="auto"/>
          </w:divBdr>
        </w:div>
        <w:div w:id="924612727">
          <w:marLeft w:val="0"/>
          <w:marRight w:val="0"/>
          <w:marTop w:val="0"/>
          <w:marBottom w:val="0"/>
          <w:divBdr>
            <w:top w:val="none" w:sz="0" w:space="0" w:color="auto"/>
            <w:left w:val="none" w:sz="0" w:space="0" w:color="auto"/>
            <w:bottom w:val="none" w:sz="0" w:space="0" w:color="auto"/>
            <w:right w:val="none" w:sz="0" w:space="0" w:color="auto"/>
          </w:divBdr>
        </w:div>
        <w:div w:id="926578272">
          <w:marLeft w:val="0"/>
          <w:marRight w:val="0"/>
          <w:marTop w:val="0"/>
          <w:marBottom w:val="0"/>
          <w:divBdr>
            <w:top w:val="none" w:sz="0" w:space="0" w:color="auto"/>
            <w:left w:val="none" w:sz="0" w:space="0" w:color="auto"/>
            <w:bottom w:val="none" w:sz="0" w:space="0" w:color="auto"/>
            <w:right w:val="none" w:sz="0" w:space="0" w:color="auto"/>
          </w:divBdr>
          <w:divsChild>
            <w:div w:id="243607656">
              <w:marLeft w:val="0"/>
              <w:marRight w:val="0"/>
              <w:marTop w:val="0"/>
              <w:marBottom w:val="0"/>
              <w:divBdr>
                <w:top w:val="none" w:sz="0" w:space="0" w:color="auto"/>
                <w:left w:val="none" w:sz="0" w:space="0" w:color="auto"/>
                <w:bottom w:val="none" w:sz="0" w:space="0" w:color="auto"/>
                <w:right w:val="none" w:sz="0" w:space="0" w:color="auto"/>
              </w:divBdr>
            </w:div>
            <w:div w:id="1034774601">
              <w:marLeft w:val="0"/>
              <w:marRight w:val="0"/>
              <w:marTop w:val="0"/>
              <w:marBottom w:val="0"/>
              <w:divBdr>
                <w:top w:val="none" w:sz="0" w:space="0" w:color="auto"/>
                <w:left w:val="none" w:sz="0" w:space="0" w:color="auto"/>
                <w:bottom w:val="none" w:sz="0" w:space="0" w:color="auto"/>
                <w:right w:val="none" w:sz="0" w:space="0" w:color="auto"/>
              </w:divBdr>
            </w:div>
            <w:div w:id="1067915214">
              <w:marLeft w:val="0"/>
              <w:marRight w:val="0"/>
              <w:marTop w:val="0"/>
              <w:marBottom w:val="0"/>
              <w:divBdr>
                <w:top w:val="none" w:sz="0" w:space="0" w:color="auto"/>
                <w:left w:val="none" w:sz="0" w:space="0" w:color="auto"/>
                <w:bottom w:val="none" w:sz="0" w:space="0" w:color="auto"/>
                <w:right w:val="none" w:sz="0" w:space="0" w:color="auto"/>
              </w:divBdr>
            </w:div>
            <w:div w:id="1794670005">
              <w:marLeft w:val="0"/>
              <w:marRight w:val="0"/>
              <w:marTop w:val="0"/>
              <w:marBottom w:val="0"/>
              <w:divBdr>
                <w:top w:val="none" w:sz="0" w:space="0" w:color="auto"/>
                <w:left w:val="none" w:sz="0" w:space="0" w:color="auto"/>
                <w:bottom w:val="none" w:sz="0" w:space="0" w:color="auto"/>
                <w:right w:val="none" w:sz="0" w:space="0" w:color="auto"/>
              </w:divBdr>
            </w:div>
            <w:div w:id="1852404519">
              <w:marLeft w:val="0"/>
              <w:marRight w:val="0"/>
              <w:marTop w:val="0"/>
              <w:marBottom w:val="0"/>
              <w:divBdr>
                <w:top w:val="none" w:sz="0" w:space="0" w:color="auto"/>
                <w:left w:val="none" w:sz="0" w:space="0" w:color="auto"/>
                <w:bottom w:val="none" w:sz="0" w:space="0" w:color="auto"/>
                <w:right w:val="none" w:sz="0" w:space="0" w:color="auto"/>
              </w:divBdr>
            </w:div>
          </w:divsChild>
        </w:div>
        <w:div w:id="931164441">
          <w:marLeft w:val="0"/>
          <w:marRight w:val="0"/>
          <w:marTop w:val="0"/>
          <w:marBottom w:val="0"/>
          <w:divBdr>
            <w:top w:val="none" w:sz="0" w:space="0" w:color="auto"/>
            <w:left w:val="none" w:sz="0" w:space="0" w:color="auto"/>
            <w:bottom w:val="none" w:sz="0" w:space="0" w:color="auto"/>
            <w:right w:val="none" w:sz="0" w:space="0" w:color="auto"/>
          </w:divBdr>
          <w:divsChild>
            <w:div w:id="269094804">
              <w:marLeft w:val="0"/>
              <w:marRight w:val="0"/>
              <w:marTop w:val="0"/>
              <w:marBottom w:val="0"/>
              <w:divBdr>
                <w:top w:val="none" w:sz="0" w:space="0" w:color="auto"/>
                <w:left w:val="none" w:sz="0" w:space="0" w:color="auto"/>
                <w:bottom w:val="none" w:sz="0" w:space="0" w:color="auto"/>
                <w:right w:val="none" w:sz="0" w:space="0" w:color="auto"/>
              </w:divBdr>
            </w:div>
            <w:div w:id="496115741">
              <w:marLeft w:val="0"/>
              <w:marRight w:val="0"/>
              <w:marTop w:val="0"/>
              <w:marBottom w:val="0"/>
              <w:divBdr>
                <w:top w:val="none" w:sz="0" w:space="0" w:color="auto"/>
                <w:left w:val="none" w:sz="0" w:space="0" w:color="auto"/>
                <w:bottom w:val="none" w:sz="0" w:space="0" w:color="auto"/>
                <w:right w:val="none" w:sz="0" w:space="0" w:color="auto"/>
              </w:divBdr>
            </w:div>
            <w:div w:id="943463407">
              <w:marLeft w:val="0"/>
              <w:marRight w:val="0"/>
              <w:marTop w:val="0"/>
              <w:marBottom w:val="0"/>
              <w:divBdr>
                <w:top w:val="none" w:sz="0" w:space="0" w:color="auto"/>
                <w:left w:val="none" w:sz="0" w:space="0" w:color="auto"/>
                <w:bottom w:val="none" w:sz="0" w:space="0" w:color="auto"/>
                <w:right w:val="none" w:sz="0" w:space="0" w:color="auto"/>
              </w:divBdr>
            </w:div>
          </w:divsChild>
        </w:div>
        <w:div w:id="932860846">
          <w:marLeft w:val="0"/>
          <w:marRight w:val="0"/>
          <w:marTop w:val="0"/>
          <w:marBottom w:val="0"/>
          <w:divBdr>
            <w:top w:val="none" w:sz="0" w:space="0" w:color="auto"/>
            <w:left w:val="none" w:sz="0" w:space="0" w:color="auto"/>
            <w:bottom w:val="none" w:sz="0" w:space="0" w:color="auto"/>
            <w:right w:val="none" w:sz="0" w:space="0" w:color="auto"/>
          </w:divBdr>
          <w:divsChild>
            <w:div w:id="217865257">
              <w:marLeft w:val="-75"/>
              <w:marRight w:val="0"/>
              <w:marTop w:val="30"/>
              <w:marBottom w:val="30"/>
              <w:divBdr>
                <w:top w:val="none" w:sz="0" w:space="0" w:color="auto"/>
                <w:left w:val="none" w:sz="0" w:space="0" w:color="auto"/>
                <w:bottom w:val="none" w:sz="0" w:space="0" w:color="auto"/>
                <w:right w:val="none" w:sz="0" w:space="0" w:color="auto"/>
              </w:divBdr>
              <w:divsChild>
                <w:div w:id="125784389">
                  <w:marLeft w:val="0"/>
                  <w:marRight w:val="0"/>
                  <w:marTop w:val="0"/>
                  <w:marBottom w:val="0"/>
                  <w:divBdr>
                    <w:top w:val="none" w:sz="0" w:space="0" w:color="auto"/>
                    <w:left w:val="none" w:sz="0" w:space="0" w:color="auto"/>
                    <w:bottom w:val="none" w:sz="0" w:space="0" w:color="auto"/>
                    <w:right w:val="none" w:sz="0" w:space="0" w:color="auto"/>
                  </w:divBdr>
                  <w:divsChild>
                    <w:div w:id="826672208">
                      <w:marLeft w:val="0"/>
                      <w:marRight w:val="0"/>
                      <w:marTop w:val="0"/>
                      <w:marBottom w:val="0"/>
                      <w:divBdr>
                        <w:top w:val="none" w:sz="0" w:space="0" w:color="auto"/>
                        <w:left w:val="none" w:sz="0" w:space="0" w:color="auto"/>
                        <w:bottom w:val="none" w:sz="0" w:space="0" w:color="auto"/>
                        <w:right w:val="none" w:sz="0" w:space="0" w:color="auto"/>
                      </w:divBdr>
                    </w:div>
                  </w:divsChild>
                </w:div>
                <w:div w:id="451823103">
                  <w:marLeft w:val="0"/>
                  <w:marRight w:val="0"/>
                  <w:marTop w:val="0"/>
                  <w:marBottom w:val="0"/>
                  <w:divBdr>
                    <w:top w:val="none" w:sz="0" w:space="0" w:color="auto"/>
                    <w:left w:val="none" w:sz="0" w:space="0" w:color="auto"/>
                    <w:bottom w:val="none" w:sz="0" w:space="0" w:color="auto"/>
                    <w:right w:val="none" w:sz="0" w:space="0" w:color="auto"/>
                  </w:divBdr>
                  <w:divsChild>
                    <w:div w:id="1335837995">
                      <w:marLeft w:val="0"/>
                      <w:marRight w:val="0"/>
                      <w:marTop w:val="0"/>
                      <w:marBottom w:val="0"/>
                      <w:divBdr>
                        <w:top w:val="none" w:sz="0" w:space="0" w:color="auto"/>
                        <w:left w:val="none" w:sz="0" w:space="0" w:color="auto"/>
                        <w:bottom w:val="none" w:sz="0" w:space="0" w:color="auto"/>
                        <w:right w:val="none" w:sz="0" w:space="0" w:color="auto"/>
                      </w:divBdr>
                    </w:div>
                  </w:divsChild>
                </w:div>
                <w:div w:id="544485017">
                  <w:marLeft w:val="0"/>
                  <w:marRight w:val="0"/>
                  <w:marTop w:val="0"/>
                  <w:marBottom w:val="0"/>
                  <w:divBdr>
                    <w:top w:val="none" w:sz="0" w:space="0" w:color="auto"/>
                    <w:left w:val="none" w:sz="0" w:space="0" w:color="auto"/>
                    <w:bottom w:val="none" w:sz="0" w:space="0" w:color="auto"/>
                    <w:right w:val="none" w:sz="0" w:space="0" w:color="auto"/>
                  </w:divBdr>
                  <w:divsChild>
                    <w:div w:id="883638140">
                      <w:marLeft w:val="0"/>
                      <w:marRight w:val="0"/>
                      <w:marTop w:val="0"/>
                      <w:marBottom w:val="0"/>
                      <w:divBdr>
                        <w:top w:val="none" w:sz="0" w:space="0" w:color="auto"/>
                        <w:left w:val="none" w:sz="0" w:space="0" w:color="auto"/>
                        <w:bottom w:val="none" w:sz="0" w:space="0" w:color="auto"/>
                        <w:right w:val="none" w:sz="0" w:space="0" w:color="auto"/>
                      </w:divBdr>
                    </w:div>
                  </w:divsChild>
                </w:div>
                <w:div w:id="1006663980">
                  <w:marLeft w:val="0"/>
                  <w:marRight w:val="0"/>
                  <w:marTop w:val="0"/>
                  <w:marBottom w:val="0"/>
                  <w:divBdr>
                    <w:top w:val="none" w:sz="0" w:space="0" w:color="auto"/>
                    <w:left w:val="none" w:sz="0" w:space="0" w:color="auto"/>
                    <w:bottom w:val="none" w:sz="0" w:space="0" w:color="auto"/>
                    <w:right w:val="none" w:sz="0" w:space="0" w:color="auto"/>
                  </w:divBdr>
                  <w:divsChild>
                    <w:div w:id="1377584047">
                      <w:marLeft w:val="0"/>
                      <w:marRight w:val="0"/>
                      <w:marTop w:val="0"/>
                      <w:marBottom w:val="0"/>
                      <w:divBdr>
                        <w:top w:val="none" w:sz="0" w:space="0" w:color="auto"/>
                        <w:left w:val="none" w:sz="0" w:space="0" w:color="auto"/>
                        <w:bottom w:val="none" w:sz="0" w:space="0" w:color="auto"/>
                        <w:right w:val="none" w:sz="0" w:space="0" w:color="auto"/>
                      </w:divBdr>
                    </w:div>
                  </w:divsChild>
                </w:div>
                <w:div w:id="1204099910">
                  <w:marLeft w:val="0"/>
                  <w:marRight w:val="0"/>
                  <w:marTop w:val="0"/>
                  <w:marBottom w:val="0"/>
                  <w:divBdr>
                    <w:top w:val="none" w:sz="0" w:space="0" w:color="auto"/>
                    <w:left w:val="none" w:sz="0" w:space="0" w:color="auto"/>
                    <w:bottom w:val="none" w:sz="0" w:space="0" w:color="auto"/>
                    <w:right w:val="none" w:sz="0" w:space="0" w:color="auto"/>
                  </w:divBdr>
                  <w:divsChild>
                    <w:div w:id="142429011">
                      <w:marLeft w:val="0"/>
                      <w:marRight w:val="0"/>
                      <w:marTop w:val="0"/>
                      <w:marBottom w:val="0"/>
                      <w:divBdr>
                        <w:top w:val="none" w:sz="0" w:space="0" w:color="auto"/>
                        <w:left w:val="none" w:sz="0" w:space="0" w:color="auto"/>
                        <w:bottom w:val="none" w:sz="0" w:space="0" w:color="auto"/>
                        <w:right w:val="none" w:sz="0" w:space="0" w:color="auto"/>
                      </w:divBdr>
                    </w:div>
                    <w:div w:id="1081679242">
                      <w:marLeft w:val="0"/>
                      <w:marRight w:val="0"/>
                      <w:marTop w:val="0"/>
                      <w:marBottom w:val="0"/>
                      <w:divBdr>
                        <w:top w:val="none" w:sz="0" w:space="0" w:color="auto"/>
                        <w:left w:val="none" w:sz="0" w:space="0" w:color="auto"/>
                        <w:bottom w:val="none" w:sz="0" w:space="0" w:color="auto"/>
                        <w:right w:val="none" w:sz="0" w:space="0" w:color="auto"/>
                      </w:divBdr>
                    </w:div>
                  </w:divsChild>
                </w:div>
                <w:div w:id="1280065327">
                  <w:marLeft w:val="0"/>
                  <w:marRight w:val="0"/>
                  <w:marTop w:val="0"/>
                  <w:marBottom w:val="0"/>
                  <w:divBdr>
                    <w:top w:val="none" w:sz="0" w:space="0" w:color="auto"/>
                    <w:left w:val="none" w:sz="0" w:space="0" w:color="auto"/>
                    <w:bottom w:val="none" w:sz="0" w:space="0" w:color="auto"/>
                    <w:right w:val="none" w:sz="0" w:space="0" w:color="auto"/>
                  </w:divBdr>
                  <w:divsChild>
                    <w:div w:id="1107773160">
                      <w:marLeft w:val="0"/>
                      <w:marRight w:val="0"/>
                      <w:marTop w:val="0"/>
                      <w:marBottom w:val="0"/>
                      <w:divBdr>
                        <w:top w:val="none" w:sz="0" w:space="0" w:color="auto"/>
                        <w:left w:val="none" w:sz="0" w:space="0" w:color="auto"/>
                        <w:bottom w:val="none" w:sz="0" w:space="0" w:color="auto"/>
                        <w:right w:val="none" w:sz="0" w:space="0" w:color="auto"/>
                      </w:divBdr>
                    </w:div>
                  </w:divsChild>
                </w:div>
                <w:div w:id="1736121067">
                  <w:marLeft w:val="0"/>
                  <w:marRight w:val="0"/>
                  <w:marTop w:val="0"/>
                  <w:marBottom w:val="0"/>
                  <w:divBdr>
                    <w:top w:val="none" w:sz="0" w:space="0" w:color="auto"/>
                    <w:left w:val="none" w:sz="0" w:space="0" w:color="auto"/>
                    <w:bottom w:val="none" w:sz="0" w:space="0" w:color="auto"/>
                    <w:right w:val="none" w:sz="0" w:space="0" w:color="auto"/>
                  </w:divBdr>
                  <w:divsChild>
                    <w:div w:id="398750489">
                      <w:marLeft w:val="0"/>
                      <w:marRight w:val="0"/>
                      <w:marTop w:val="0"/>
                      <w:marBottom w:val="0"/>
                      <w:divBdr>
                        <w:top w:val="none" w:sz="0" w:space="0" w:color="auto"/>
                        <w:left w:val="none" w:sz="0" w:space="0" w:color="auto"/>
                        <w:bottom w:val="none" w:sz="0" w:space="0" w:color="auto"/>
                        <w:right w:val="none" w:sz="0" w:space="0" w:color="auto"/>
                      </w:divBdr>
                    </w:div>
                    <w:div w:id="753279230">
                      <w:marLeft w:val="0"/>
                      <w:marRight w:val="0"/>
                      <w:marTop w:val="0"/>
                      <w:marBottom w:val="0"/>
                      <w:divBdr>
                        <w:top w:val="none" w:sz="0" w:space="0" w:color="auto"/>
                        <w:left w:val="none" w:sz="0" w:space="0" w:color="auto"/>
                        <w:bottom w:val="none" w:sz="0" w:space="0" w:color="auto"/>
                        <w:right w:val="none" w:sz="0" w:space="0" w:color="auto"/>
                      </w:divBdr>
                    </w:div>
                    <w:div w:id="1079213798">
                      <w:marLeft w:val="0"/>
                      <w:marRight w:val="0"/>
                      <w:marTop w:val="0"/>
                      <w:marBottom w:val="0"/>
                      <w:divBdr>
                        <w:top w:val="none" w:sz="0" w:space="0" w:color="auto"/>
                        <w:left w:val="none" w:sz="0" w:space="0" w:color="auto"/>
                        <w:bottom w:val="none" w:sz="0" w:space="0" w:color="auto"/>
                        <w:right w:val="none" w:sz="0" w:space="0" w:color="auto"/>
                      </w:divBdr>
                    </w:div>
                    <w:div w:id="2010867281">
                      <w:marLeft w:val="0"/>
                      <w:marRight w:val="0"/>
                      <w:marTop w:val="0"/>
                      <w:marBottom w:val="0"/>
                      <w:divBdr>
                        <w:top w:val="none" w:sz="0" w:space="0" w:color="auto"/>
                        <w:left w:val="none" w:sz="0" w:space="0" w:color="auto"/>
                        <w:bottom w:val="none" w:sz="0" w:space="0" w:color="auto"/>
                        <w:right w:val="none" w:sz="0" w:space="0" w:color="auto"/>
                      </w:divBdr>
                    </w:div>
                  </w:divsChild>
                </w:div>
                <w:div w:id="1930655881">
                  <w:marLeft w:val="0"/>
                  <w:marRight w:val="0"/>
                  <w:marTop w:val="0"/>
                  <w:marBottom w:val="0"/>
                  <w:divBdr>
                    <w:top w:val="none" w:sz="0" w:space="0" w:color="auto"/>
                    <w:left w:val="none" w:sz="0" w:space="0" w:color="auto"/>
                    <w:bottom w:val="none" w:sz="0" w:space="0" w:color="auto"/>
                    <w:right w:val="none" w:sz="0" w:space="0" w:color="auto"/>
                  </w:divBdr>
                  <w:divsChild>
                    <w:div w:id="945306237">
                      <w:marLeft w:val="0"/>
                      <w:marRight w:val="0"/>
                      <w:marTop w:val="0"/>
                      <w:marBottom w:val="0"/>
                      <w:divBdr>
                        <w:top w:val="none" w:sz="0" w:space="0" w:color="auto"/>
                        <w:left w:val="none" w:sz="0" w:space="0" w:color="auto"/>
                        <w:bottom w:val="none" w:sz="0" w:space="0" w:color="auto"/>
                        <w:right w:val="none" w:sz="0" w:space="0" w:color="auto"/>
                      </w:divBdr>
                    </w:div>
                  </w:divsChild>
                </w:div>
                <w:div w:id="1968583479">
                  <w:marLeft w:val="0"/>
                  <w:marRight w:val="0"/>
                  <w:marTop w:val="0"/>
                  <w:marBottom w:val="0"/>
                  <w:divBdr>
                    <w:top w:val="none" w:sz="0" w:space="0" w:color="auto"/>
                    <w:left w:val="none" w:sz="0" w:space="0" w:color="auto"/>
                    <w:bottom w:val="none" w:sz="0" w:space="0" w:color="auto"/>
                    <w:right w:val="none" w:sz="0" w:space="0" w:color="auto"/>
                  </w:divBdr>
                  <w:divsChild>
                    <w:div w:id="16377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1038">
          <w:marLeft w:val="0"/>
          <w:marRight w:val="0"/>
          <w:marTop w:val="0"/>
          <w:marBottom w:val="0"/>
          <w:divBdr>
            <w:top w:val="none" w:sz="0" w:space="0" w:color="auto"/>
            <w:left w:val="none" w:sz="0" w:space="0" w:color="auto"/>
            <w:bottom w:val="none" w:sz="0" w:space="0" w:color="auto"/>
            <w:right w:val="none" w:sz="0" w:space="0" w:color="auto"/>
          </w:divBdr>
        </w:div>
        <w:div w:id="951671193">
          <w:marLeft w:val="0"/>
          <w:marRight w:val="0"/>
          <w:marTop w:val="0"/>
          <w:marBottom w:val="0"/>
          <w:divBdr>
            <w:top w:val="none" w:sz="0" w:space="0" w:color="auto"/>
            <w:left w:val="none" w:sz="0" w:space="0" w:color="auto"/>
            <w:bottom w:val="none" w:sz="0" w:space="0" w:color="auto"/>
            <w:right w:val="none" w:sz="0" w:space="0" w:color="auto"/>
          </w:divBdr>
          <w:divsChild>
            <w:div w:id="129128936">
              <w:marLeft w:val="0"/>
              <w:marRight w:val="0"/>
              <w:marTop w:val="0"/>
              <w:marBottom w:val="0"/>
              <w:divBdr>
                <w:top w:val="none" w:sz="0" w:space="0" w:color="auto"/>
                <w:left w:val="none" w:sz="0" w:space="0" w:color="auto"/>
                <w:bottom w:val="none" w:sz="0" w:space="0" w:color="auto"/>
                <w:right w:val="none" w:sz="0" w:space="0" w:color="auto"/>
              </w:divBdr>
            </w:div>
            <w:div w:id="1698773434">
              <w:marLeft w:val="0"/>
              <w:marRight w:val="0"/>
              <w:marTop w:val="0"/>
              <w:marBottom w:val="0"/>
              <w:divBdr>
                <w:top w:val="none" w:sz="0" w:space="0" w:color="auto"/>
                <w:left w:val="none" w:sz="0" w:space="0" w:color="auto"/>
                <w:bottom w:val="none" w:sz="0" w:space="0" w:color="auto"/>
                <w:right w:val="none" w:sz="0" w:space="0" w:color="auto"/>
              </w:divBdr>
            </w:div>
            <w:div w:id="1806578912">
              <w:marLeft w:val="0"/>
              <w:marRight w:val="0"/>
              <w:marTop w:val="0"/>
              <w:marBottom w:val="0"/>
              <w:divBdr>
                <w:top w:val="none" w:sz="0" w:space="0" w:color="auto"/>
                <w:left w:val="none" w:sz="0" w:space="0" w:color="auto"/>
                <w:bottom w:val="none" w:sz="0" w:space="0" w:color="auto"/>
                <w:right w:val="none" w:sz="0" w:space="0" w:color="auto"/>
              </w:divBdr>
            </w:div>
          </w:divsChild>
        </w:div>
        <w:div w:id="999313916">
          <w:marLeft w:val="0"/>
          <w:marRight w:val="0"/>
          <w:marTop w:val="0"/>
          <w:marBottom w:val="0"/>
          <w:divBdr>
            <w:top w:val="none" w:sz="0" w:space="0" w:color="auto"/>
            <w:left w:val="none" w:sz="0" w:space="0" w:color="auto"/>
            <w:bottom w:val="none" w:sz="0" w:space="0" w:color="auto"/>
            <w:right w:val="none" w:sz="0" w:space="0" w:color="auto"/>
          </w:divBdr>
        </w:div>
        <w:div w:id="1048144430">
          <w:marLeft w:val="0"/>
          <w:marRight w:val="0"/>
          <w:marTop w:val="0"/>
          <w:marBottom w:val="0"/>
          <w:divBdr>
            <w:top w:val="none" w:sz="0" w:space="0" w:color="auto"/>
            <w:left w:val="none" w:sz="0" w:space="0" w:color="auto"/>
            <w:bottom w:val="none" w:sz="0" w:space="0" w:color="auto"/>
            <w:right w:val="none" w:sz="0" w:space="0" w:color="auto"/>
          </w:divBdr>
        </w:div>
        <w:div w:id="1054737782">
          <w:marLeft w:val="0"/>
          <w:marRight w:val="0"/>
          <w:marTop w:val="0"/>
          <w:marBottom w:val="0"/>
          <w:divBdr>
            <w:top w:val="none" w:sz="0" w:space="0" w:color="auto"/>
            <w:left w:val="none" w:sz="0" w:space="0" w:color="auto"/>
            <w:bottom w:val="none" w:sz="0" w:space="0" w:color="auto"/>
            <w:right w:val="none" w:sz="0" w:space="0" w:color="auto"/>
          </w:divBdr>
        </w:div>
        <w:div w:id="1064067948">
          <w:marLeft w:val="0"/>
          <w:marRight w:val="0"/>
          <w:marTop w:val="0"/>
          <w:marBottom w:val="0"/>
          <w:divBdr>
            <w:top w:val="none" w:sz="0" w:space="0" w:color="auto"/>
            <w:left w:val="none" w:sz="0" w:space="0" w:color="auto"/>
            <w:bottom w:val="none" w:sz="0" w:space="0" w:color="auto"/>
            <w:right w:val="none" w:sz="0" w:space="0" w:color="auto"/>
          </w:divBdr>
        </w:div>
        <w:div w:id="1066757646">
          <w:marLeft w:val="0"/>
          <w:marRight w:val="0"/>
          <w:marTop w:val="0"/>
          <w:marBottom w:val="0"/>
          <w:divBdr>
            <w:top w:val="none" w:sz="0" w:space="0" w:color="auto"/>
            <w:left w:val="none" w:sz="0" w:space="0" w:color="auto"/>
            <w:bottom w:val="none" w:sz="0" w:space="0" w:color="auto"/>
            <w:right w:val="none" w:sz="0" w:space="0" w:color="auto"/>
          </w:divBdr>
        </w:div>
        <w:div w:id="1070496326">
          <w:marLeft w:val="0"/>
          <w:marRight w:val="0"/>
          <w:marTop w:val="0"/>
          <w:marBottom w:val="0"/>
          <w:divBdr>
            <w:top w:val="none" w:sz="0" w:space="0" w:color="auto"/>
            <w:left w:val="none" w:sz="0" w:space="0" w:color="auto"/>
            <w:bottom w:val="none" w:sz="0" w:space="0" w:color="auto"/>
            <w:right w:val="none" w:sz="0" w:space="0" w:color="auto"/>
          </w:divBdr>
        </w:div>
        <w:div w:id="1079910899">
          <w:marLeft w:val="0"/>
          <w:marRight w:val="0"/>
          <w:marTop w:val="0"/>
          <w:marBottom w:val="0"/>
          <w:divBdr>
            <w:top w:val="none" w:sz="0" w:space="0" w:color="auto"/>
            <w:left w:val="none" w:sz="0" w:space="0" w:color="auto"/>
            <w:bottom w:val="none" w:sz="0" w:space="0" w:color="auto"/>
            <w:right w:val="none" w:sz="0" w:space="0" w:color="auto"/>
          </w:divBdr>
        </w:div>
        <w:div w:id="1089280116">
          <w:marLeft w:val="0"/>
          <w:marRight w:val="0"/>
          <w:marTop w:val="0"/>
          <w:marBottom w:val="0"/>
          <w:divBdr>
            <w:top w:val="none" w:sz="0" w:space="0" w:color="auto"/>
            <w:left w:val="none" w:sz="0" w:space="0" w:color="auto"/>
            <w:bottom w:val="none" w:sz="0" w:space="0" w:color="auto"/>
            <w:right w:val="none" w:sz="0" w:space="0" w:color="auto"/>
          </w:divBdr>
        </w:div>
        <w:div w:id="1111361386">
          <w:marLeft w:val="0"/>
          <w:marRight w:val="0"/>
          <w:marTop w:val="0"/>
          <w:marBottom w:val="0"/>
          <w:divBdr>
            <w:top w:val="none" w:sz="0" w:space="0" w:color="auto"/>
            <w:left w:val="none" w:sz="0" w:space="0" w:color="auto"/>
            <w:bottom w:val="none" w:sz="0" w:space="0" w:color="auto"/>
            <w:right w:val="none" w:sz="0" w:space="0" w:color="auto"/>
          </w:divBdr>
        </w:div>
        <w:div w:id="1113981910">
          <w:marLeft w:val="0"/>
          <w:marRight w:val="0"/>
          <w:marTop w:val="0"/>
          <w:marBottom w:val="0"/>
          <w:divBdr>
            <w:top w:val="none" w:sz="0" w:space="0" w:color="auto"/>
            <w:left w:val="none" w:sz="0" w:space="0" w:color="auto"/>
            <w:bottom w:val="none" w:sz="0" w:space="0" w:color="auto"/>
            <w:right w:val="none" w:sz="0" w:space="0" w:color="auto"/>
          </w:divBdr>
          <w:divsChild>
            <w:div w:id="395783573">
              <w:marLeft w:val="0"/>
              <w:marRight w:val="0"/>
              <w:marTop w:val="0"/>
              <w:marBottom w:val="0"/>
              <w:divBdr>
                <w:top w:val="none" w:sz="0" w:space="0" w:color="auto"/>
                <w:left w:val="none" w:sz="0" w:space="0" w:color="auto"/>
                <w:bottom w:val="none" w:sz="0" w:space="0" w:color="auto"/>
                <w:right w:val="none" w:sz="0" w:space="0" w:color="auto"/>
              </w:divBdr>
            </w:div>
            <w:div w:id="743836628">
              <w:marLeft w:val="0"/>
              <w:marRight w:val="0"/>
              <w:marTop w:val="0"/>
              <w:marBottom w:val="0"/>
              <w:divBdr>
                <w:top w:val="none" w:sz="0" w:space="0" w:color="auto"/>
                <w:left w:val="none" w:sz="0" w:space="0" w:color="auto"/>
                <w:bottom w:val="none" w:sz="0" w:space="0" w:color="auto"/>
                <w:right w:val="none" w:sz="0" w:space="0" w:color="auto"/>
              </w:divBdr>
            </w:div>
            <w:div w:id="858393408">
              <w:marLeft w:val="0"/>
              <w:marRight w:val="0"/>
              <w:marTop w:val="0"/>
              <w:marBottom w:val="0"/>
              <w:divBdr>
                <w:top w:val="none" w:sz="0" w:space="0" w:color="auto"/>
                <w:left w:val="none" w:sz="0" w:space="0" w:color="auto"/>
                <w:bottom w:val="none" w:sz="0" w:space="0" w:color="auto"/>
                <w:right w:val="none" w:sz="0" w:space="0" w:color="auto"/>
              </w:divBdr>
            </w:div>
            <w:div w:id="1462654437">
              <w:marLeft w:val="0"/>
              <w:marRight w:val="0"/>
              <w:marTop w:val="0"/>
              <w:marBottom w:val="0"/>
              <w:divBdr>
                <w:top w:val="none" w:sz="0" w:space="0" w:color="auto"/>
                <w:left w:val="none" w:sz="0" w:space="0" w:color="auto"/>
                <w:bottom w:val="none" w:sz="0" w:space="0" w:color="auto"/>
                <w:right w:val="none" w:sz="0" w:space="0" w:color="auto"/>
              </w:divBdr>
            </w:div>
          </w:divsChild>
        </w:div>
        <w:div w:id="1118135831">
          <w:marLeft w:val="0"/>
          <w:marRight w:val="0"/>
          <w:marTop w:val="0"/>
          <w:marBottom w:val="0"/>
          <w:divBdr>
            <w:top w:val="none" w:sz="0" w:space="0" w:color="auto"/>
            <w:left w:val="none" w:sz="0" w:space="0" w:color="auto"/>
            <w:bottom w:val="none" w:sz="0" w:space="0" w:color="auto"/>
            <w:right w:val="none" w:sz="0" w:space="0" w:color="auto"/>
          </w:divBdr>
          <w:divsChild>
            <w:div w:id="246621962">
              <w:marLeft w:val="0"/>
              <w:marRight w:val="0"/>
              <w:marTop w:val="0"/>
              <w:marBottom w:val="0"/>
              <w:divBdr>
                <w:top w:val="none" w:sz="0" w:space="0" w:color="auto"/>
                <w:left w:val="none" w:sz="0" w:space="0" w:color="auto"/>
                <w:bottom w:val="none" w:sz="0" w:space="0" w:color="auto"/>
                <w:right w:val="none" w:sz="0" w:space="0" w:color="auto"/>
              </w:divBdr>
            </w:div>
            <w:div w:id="738525194">
              <w:marLeft w:val="0"/>
              <w:marRight w:val="0"/>
              <w:marTop w:val="0"/>
              <w:marBottom w:val="0"/>
              <w:divBdr>
                <w:top w:val="none" w:sz="0" w:space="0" w:color="auto"/>
                <w:left w:val="none" w:sz="0" w:space="0" w:color="auto"/>
                <w:bottom w:val="none" w:sz="0" w:space="0" w:color="auto"/>
                <w:right w:val="none" w:sz="0" w:space="0" w:color="auto"/>
              </w:divBdr>
            </w:div>
            <w:div w:id="1020160179">
              <w:marLeft w:val="0"/>
              <w:marRight w:val="0"/>
              <w:marTop w:val="0"/>
              <w:marBottom w:val="0"/>
              <w:divBdr>
                <w:top w:val="none" w:sz="0" w:space="0" w:color="auto"/>
                <w:left w:val="none" w:sz="0" w:space="0" w:color="auto"/>
                <w:bottom w:val="none" w:sz="0" w:space="0" w:color="auto"/>
                <w:right w:val="none" w:sz="0" w:space="0" w:color="auto"/>
              </w:divBdr>
            </w:div>
          </w:divsChild>
        </w:div>
        <w:div w:id="1122461386">
          <w:marLeft w:val="0"/>
          <w:marRight w:val="0"/>
          <w:marTop w:val="0"/>
          <w:marBottom w:val="0"/>
          <w:divBdr>
            <w:top w:val="none" w:sz="0" w:space="0" w:color="auto"/>
            <w:left w:val="none" w:sz="0" w:space="0" w:color="auto"/>
            <w:bottom w:val="none" w:sz="0" w:space="0" w:color="auto"/>
            <w:right w:val="none" w:sz="0" w:space="0" w:color="auto"/>
          </w:divBdr>
        </w:div>
        <w:div w:id="1132670677">
          <w:marLeft w:val="0"/>
          <w:marRight w:val="0"/>
          <w:marTop w:val="0"/>
          <w:marBottom w:val="0"/>
          <w:divBdr>
            <w:top w:val="none" w:sz="0" w:space="0" w:color="auto"/>
            <w:left w:val="none" w:sz="0" w:space="0" w:color="auto"/>
            <w:bottom w:val="none" w:sz="0" w:space="0" w:color="auto"/>
            <w:right w:val="none" w:sz="0" w:space="0" w:color="auto"/>
          </w:divBdr>
        </w:div>
        <w:div w:id="1143500479">
          <w:marLeft w:val="0"/>
          <w:marRight w:val="0"/>
          <w:marTop w:val="0"/>
          <w:marBottom w:val="0"/>
          <w:divBdr>
            <w:top w:val="none" w:sz="0" w:space="0" w:color="auto"/>
            <w:left w:val="none" w:sz="0" w:space="0" w:color="auto"/>
            <w:bottom w:val="none" w:sz="0" w:space="0" w:color="auto"/>
            <w:right w:val="none" w:sz="0" w:space="0" w:color="auto"/>
          </w:divBdr>
        </w:div>
        <w:div w:id="1144852689">
          <w:marLeft w:val="0"/>
          <w:marRight w:val="0"/>
          <w:marTop w:val="0"/>
          <w:marBottom w:val="0"/>
          <w:divBdr>
            <w:top w:val="none" w:sz="0" w:space="0" w:color="auto"/>
            <w:left w:val="none" w:sz="0" w:space="0" w:color="auto"/>
            <w:bottom w:val="none" w:sz="0" w:space="0" w:color="auto"/>
            <w:right w:val="none" w:sz="0" w:space="0" w:color="auto"/>
          </w:divBdr>
        </w:div>
        <w:div w:id="1151411942">
          <w:marLeft w:val="0"/>
          <w:marRight w:val="0"/>
          <w:marTop w:val="0"/>
          <w:marBottom w:val="0"/>
          <w:divBdr>
            <w:top w:val="none" w:sz="0" w:space="0" w:color="auto"/>
            <w:left w:val="none" w:sz="0" w:space="0" w:color="auto"/>
            <w:bottom w:val="none" w:sz="0" w:space="0" w:color="auto"/>
            <w:right w:val="none" w:sz="0" w:space="0" w:color="auto"/>
          </w:divBdr>
          <w:divsChild>
            <w:div w:id="1076629987">
              <w:marLeft w:val="0"/>
              <w:marRight w:val="0"/>
              <w:marTop w:val="0"/>
              <w:marBottom w:val="0"/>
              <w:divBdr>
                <w:top w:val="none" w:sz="0" w:space="0" w:color="auto"/>
                <w:left w:val="none" w:sz="0" w:space="0" w:color="auto"/>
                <w:bottom w:val="none" w:sz="0" w:space="0" w:color="auto"/>
                <w:right w:val="none" w:sz="0" w:space="0" w:color="auto"/>
              </w:divBdr>
            </w:div>
            <w:div w:id="2051763980">
              <w:marLeft w:val="0"/>
              <w:marRight w:val="0"/>
              <w:marTop w:val="0"/>
              <w:marBottom w:val="0"/>
              <w:divBdr>
                <w:top w:val="none" w:sz="0" w:space="0" w:color="auto"/>
                <w:left w:val="none" w:sz="0" w:space="0" w:color="auto"/>
                <w:bottom w:val="none" w:sz="0" w:space="0" w:color="auto"/>
                <w:right w:val="none" w:sz="0" w:space="0" w:color="auto"/>
              </w:divBdr>
            </w:div>
            <w:div w:id="2077120073">
              <w:marLeft w:val="0"/>
              <w:marRight w:val="0"/>
              <w:marTop w:val="0"/>
              <w:marBottom w:val="0"/>
              <w:divBdr>
                <w:top w:val="none" w:sz="0" w:space="0" w:color="auto"/>
                <w:left w:val="none" w:sz="0" w:space="0" w:color="auto"/>
                <w:bottom w:val="none" w:sz="0" w:space="0" w:color="auto"/>
                <w:right w:val="none" w:sz="0" w:space="0" w:color="auto"/>
              </w:divBdr>
            </w:div>
          </w:divsChild>
        </w:div>
        <w:div w:id="1166096287">
          <w:marLeft w:val="0"/>
          <w:marRight w:val="0"/>
          <w:marTop w:val="0"/>
          <w:marBottom w:val="0"/>
          <w:divBdr>
            <w:top w:val="none" w:sz="0" w:space="0" w:color="auto"/>
            <w:left w:val="none" w:sz="0" w:space="0" w:color="auto"/>
            <w:bottom w:val="none" w:sz="0" w:space="0" w:color="auto"/>
            <w:right w:val="none" w:sz="0" w:space="0" w:color="auto"/>
          </w:divBdr>
        </w:div>
        <w:div w:id="1206604413">
          <w:marLeft w:val="0"/>
          <w:marRight w:val="0"/>
          <w:marTop w:val="0"/>
          <w:marBottom w:val="0"/>
          <w:divBdr>
            <w:top w:val="none" w:sz="0" w:space="0" w:color="auto"/>
            <w:left w:val="none" w:sz="0" w:space="0" w:color="auto"/>
            <w:bottom w:val="none" w:sz="0" w:space="0" w:color="auto"/>
            <w:right w:val="none" w:sz="0" w:space="0" w:color="auto"/>
          </w:divBdr>
        </w:div>
        <w:div w:id="1222399570">
          <w:marLeft w:val="0"/>
          <w:marRight w:val="0"/>
          <w:marTop w:val="0"/>
          <w:marBottom w:val="0"/>
          <w:divBdr>
            <w:top w:val="none" w:sz="0" w:space="0" w:color="auto"/>
            <w:left w:val="none" w:sz="0" w:space="0" w:color="auto"/>
            <w:bottom w:val="none" w:sz="0" w:space="0" w:color="auto"/>
            <w:right w:val="none" w:sz="0" w:space="0" w:color="auto"/>
          </w:divBdr>
        </w:div>
        <w:div w:id="1234926947">
          <w:marLeft w:val="0"/>
          <w:marRight w:val="0"/>
          <w:marTop w:val="0"/>
          <w:marBottom w:val="0"/>
          <w:divBdr>
            <w:top w:val="none" w:sz="0" w:space="0" w:color="auto"/>
            <w:left w:val="none" w:sz="0" w:space="0" w:color="auto"/>
            <w:bottom w:val="none" w:sz="0" w:space="0" w:color="auto"/>
            <w:right w:val="none" w:sz="0" w:space="0" w:color="auto"/>
          </w:divBdr>
        </w:div>
        <w:div w:id="1257833398">
          <w:marLeft w:val="0"/>
          <w:marRight w:val="0"/>
          <w:marTop w:val="0"/>
          <w:marBottom w:val="0"/>
          <w:divBdr>
            <w:top w:val="none" w:sz="0" w:space="0" w:color="auto"/>
            <w:left w:val="none" w:sz="0" w:space="0" w:color="auto"/>
            <w:bottom w:val="none" w:sz="0" w:space="0" w:color="auto"/>
            <w:right w:val="none" w:sz="0" w:space="0" w:color="auto"/>
          </w:divBdr>
        </w:div>
        <w:div w:id="1264655193">
          <w:marLeft w:val="0"/>
          <w:marRight w:val="0"/>
          <w:marTop w:val="0"/>
          <w:marBottom w:val="0"/>
          <w:divBdr>
            <w:top w:val="none" w:sz="0" w:space="0" w:color="auto"/>
            <w:left w:val="none" w:sz="0" w:space="0" w:color="auto"/>
            <w:bottom w:val="none" w:sz="0" w:space="0" w:color="auto"/>
            <w:right w:val="none" w:sz="0" w:space="0" w:color="auto"/>
          </w:divBdr>
        </w:div>
        <w:div w:id="1276400316">
          <w:marLeft w:val="0"/>
          <w:marRight w:val="0"/>
          <w:marTop w:val="0"/>
          <w:marBottom w:val="0"/>
          <w:divBdr>
            <w:top w:val="none" w:sz="0" w:space="0" w:color="auto"/>
            <w:left w:val="none" w:sz="0" w:space="0" w:color="auto"/>
            <w:bottom w:val="none" w:sz="0" w:space="0" w:color="auto"/>
            <w:right w:val="none" w:sz="0" w:space="0" w:color="auto"/>
          </w:divBdr>
          <w:divsChild>
            <w:div w:id="1388189923">
              <w:marLeft w:val="0"/>
              <w:marRight w:val="0"/>
              <w:marTop w:val="0"/>
              <w:marBottom w:val="0"/>
              <w:divBdr>
                <w:top w:val="none" w:sz="0" w:space="0" w:color="auto"/>
                <w:left w:val="none" w:sz="0" w:space="0" w:color="auto"/>
                <w:bottom w:val="none" w:sz="0" w:space="0" w:color="auto"/>
                <w:right w:val="none" w:sz="0" w:space="0" w:color="auto"/>
              </w:divBdr>
            </w:div>
            <w:div w:id="1488131337">
              <w:marLeft w:val="0"/>
              <w:marRight w:val="0"/>
              <w:marTop w:val="0"/>
              <w:marBottom w:val="0"/>
              <w:divBdr>
                <w:top w:val="none" w:sz="0" w:space="0" w:color="auto"/>
                <w:left w:val="none" w:sz="0" w:space="0" w:color="auto"/>
                <w:bottom w:val="none" w:sz="0" w:space="0" w:color="auto"/>
                <w:right w:val="none" w:sz="0" w:space="0" w:color="auto"/>
              </w:divBdr>
            </w:div>
            <w:div w:id="2118135897">
              <w:marLeft w:val="0"/>
              <w:marRight w:val="0"/>
              <w:marTop w:val="0"/>
              <w:marBottom w:val="0"/>
              <w:divBdr>
                <w:top w:val="none" w:sz="0" w:space="0" w:color="auto"/>
                <w:left w:val="none" w:sz="0" w:space="0" w:color="auto"/>
                <w:bottom w:val="none" w:sz="0" w:space="0" w:color="auto"/>
                <w:right w:val="none" w:sz="0" w:space="0" w:color="auto"/>
              </w:divBdr>
            </w:div>
          </w:divsChild>
        </w:div>
        <w:div w:id="1294097986">
          <w:marLeft w:val="0"/>
          <w:marRight w:val="0"/>
          <w:marTop w:val="0"/>
          <w:marBottom w:val="0"/>
          <w:divBdr>
            <w:top w:val="none" w:sz="0" w:space="0" w:color="auto"/>
            <w:left w:val="none" w:sz="0" w:space="0" w:color="auto"/>
            <w:bottom w:val="none" w:sz="0" w:space="0" w:color="auto"/>
            <w:right w:val="none" w:sz="0" w:space="0" w:color="auto"/>
          </w:divBdr>
        </w:div>
        <w:div w:id="1300528868">
          <w:marLeft w:val="0"/>
          <w:marRight w:val="0"/>
          <w:marTop w:val="0"/>
          <w:marBottom w:val="0"/>
          <w:divBdr>
            <w:top w:val="none" w:sz="0" w:space="0" w:color="auto"/>
            <w:left w:val="none" w:sz="0" w:space="0" w:color="auto"/>
            <w:bottom w:val="none" w:sz="0" w:space="0" w:color="auto"/>
            <w:right w:val="none" w:sz="0" w:space="0" w:color="auto"/>
          </w:divBdr>
        </w:div>
        <w:div w:id="1307205584">
          <w:marLeft w:val="0"/>
          <w:marRight w:val="0"/>
          <w:marTop w:val="0"/>
          <w:marBottom w:val="0"/>
          <w:divBdr>
            <w:top w:val="none" w:sz="0" w:space="0" w:color="auto"/>
            <w:left w:val="none" w:sz="0" w:space="0" w:color="auto"/>
            <w:bottom w:val="none" w:sz="0" w:space="0" w:color="auto"/>
            <w:right w:val="none" w:sz="0" w:space="0" w:color="auto"/>
          </w:divBdr>
        </w:div>
        <w:div w:id="1312909269">
          <w:marLeft w:val="0"/>
          <w:marRight w:val="0"/>
          <w:marTop w:val="0"/>
          <w:marBottom w:val="0"/>
          <w:divBdr>
            <w:top w:val="none" w:sz="0" w:space="0" w:color="auto"/>
            <w:left w:val="none" w:sz="0" w:space="0" w:color="auto"/>
            <w:bottom w:val="none" w:sz="0" w:space="0" w:color="auto"/>
            <w:right w:val="none" w:sz="0" w:space="0" w:color="auto"/>
          </w:divBdr>
          <w:divsChild>
            <w:div w:id="593587043">
              <w:marLeft w:val="0"/>
              <w:marRight w:val="0"/>
              <w:marTop w:val="0"/>
              <w:marBottom w:val="0"/>
              <w:divBdr>
                <w:top w:val="none" w:sz="0" w:space="0" w:color="auto"/>
                <w:left w:val="none" w:sz="0" w:space="0" w:color="auto"/>
                <w:bottom w:val="none" w:sz="0" w:space="0" w:color="auto"/>
                <w:right w:val="none" w:sz="0" w:space="0" w:color="auto"/>
              </w:divBdr>
            </w:div>
            <w:div w:id="1207838982">
              <w:marLeft w:val="0"/>
              <w:marRight w:val="0"/>
              <w:marTop w:val="0"/>
              <w:marBottom w:val="0"/>
              <w:divBdr>
                <w:top w:val="none" w:sz="0" w:space="0" w:color="auto"/>
                <w:left w:val="none" w:sz="0" w:space="0" w:color="auto"/>
                <w:bottom w:val="none" w:sz="0" w:space="0" w:color="auto"/>
                <w:right w:val="none" w:sz="0" w:space="0" w:color="auto"/>
              </w:divBdr>
            </w:div>
            <w:div w:id="1534687162">
              <w:marLeft w:val="0"/>
              <w:marRight w:val="0"/>
              <w:marTop w:val="0"/>
              <w:marBottom w:val="0"/>
              <w:divBdr>
                <w:top w:val="none" w:sz="0" w:space="0" w:color="auto"/>
                <w:left w:val="none" w:sz="0" w:space="0" w:color="auto"/>
                <w:bottom w:val="none" w:sz="0" w:space="0" w:color="auto"/>
                <w:right w:val="none" w:sz="0" w:space="0" w:color="auto"/>
              </w:divBdr>
            </w:div>
            <w:div w:id="1550650585">
              <w:marLeft w:val="0"/>
              <w:marRight w:val="0"/>
              <w:marTop w:val="0"/>
              <w:marBottom w:val="0"/>
              <w:divBdr>
                <w:top w:val="none" w:sz="0" w:space="0" w:color="auto"/>
                <w:left w:val="none" w:sz="0" w:space="0" w:color="auto"/>
                <w:bottom w:val="none" w:sz="0" w:space="0" w:color="auto"/>
                <w:right w:val="none" w:sz="0" w:space="0" w:color="auto"/>
              </w:divBdr>
            </w:div>
          </w:divsChild>
        </w:div>
        <w:div w:id="1317228561">
          <w:marLeft w:val="0"/>
          <w:marRight w:val="0"/>
          <w:marTop w:val="0"/>
          <w:marBottom w:val="0"/>
          <w:divBdr>
            <w:top w:val="none" w:sz="0" w:space="0" w:color="auto"/>
            <w:left w:val="none" w:sz="0" w:space="0" w:color="auto"/>
            <w:bottom w:val="none" w:sz="0" w:space="0" w:color="auto"/>
            <w:right w:val="none" w:sz="0" w:space="0" w:color="auto"/>
          </w:divBdr>
        </w:div>
        <w:div w:id="1329166095">
          <w:marLeft w:val="0"/>
          <w:marRight w:val="0"/>
          <w:marTop w:val="0"/>
          <w:marBottom w:val="0"/>
          <w:divBdr>
            <w:top w:val="none" w:sz="0" w:space="0" w:color="auto"/>
            <w:left w:val="none" w:sz="0" w:space="0" w:color="auto"/>
            <w:bottom w:val="none" w:sz="0" w:space="0" w:color="auto"/>
            <w:right w:val="none" w:sz="0" w:space="0" w:color="auto"/>
          </w:divBdr>
        </w:div>
        <w:div w:id="1352608803">
          <w:marLeft w:val="0"/>
          <w:marRight w:val="0"/>
          <w:marTop w:val="0"/>
          <w:marBottom w:val="0"/>
          <w:divBdr>
            <w:top w:val="none" w:sz="0" w:space="0" w:color="auto"/>
            <w:left w:val="none" w:sz="0" w:space="0" w:color="auto"/>
            <w:bottom w:val="none" w:sz="0" w:space="0" w:color="auto"/>
            <w:right w:val="none" w:sz="0" w:space="0" w:color="auto"/>
          </w:divBdr>
        </w:div>
        <w:div w:id="1384594334">
          <w:marLeft w:val="0"/>
          <w:marRight w:val="0"/>
          <w:marTop w:val="0"/>
          <w:marBottom w:val="0"/>
          <w:divBdr>
            <w:top w:val="none" w:sz="0" w:space="0" w:color="auto"/>
            <w:left w:val="none" w:sz="0" w:space="0" w:color="auto"/>
            <w:bottom w:val="none" w:sz="0" w:space="0" w:color="auto"/>
            <w:right w:val="none" w:sz="0" w:space="0" w:color="auto"/>
          </w:divBdr>
        </w:div>
        <w:div w:id="1389762593">
          <w:marLeft w:val="0"/>
          <w:marRight w:val="0"/>
          <w:marTop w:val="0"/>
          <w:marBottom w:val="0"/>
          <w:divBdr>
            <w:top w:val="none" w:sz="0" w:space="0" w:color="auto"/>
            <w:left w:val="none" w:sz="0" w:space="0" w:color="auto"/>
            <w:bottom w:val="none" w:sz="0" w:space="0" w:color="auto"/>
            <w:right w:val="none" w:sz="0" w:space="0" w:color="auto"/>
          </w:divBdr>
        </w:div>
        <w:div w:id="1394236032">
          <w:marLeft w:val="0"/>
          <w:marRight w:val="0"/>
          <w:marTop w:val="0"/>
          <w:marBottom w:val="0"/>
          <w:divBdr>
            <w:top w:val="none" w:sz="0" w:space="0" w:color="auto"/>
            <w:left w:val="none" w:sz="0" w:space="0" w:color="auto"/>
            <w:bottom w:val="none" w:sz="0" w:space="0" w:color="auto"/>
            <w:right w:val="none" w:sz="0" w:space="0" w:color="auto"/>
          </w:divBdr>
        </w:div>
        <w:div w:id="1419522448">
          <w:marLeft w:val="0"/>
          <w:marRight w:val="0"/>
          <w:marTop w:val="0"/>
          <w:marBottom w:val="0"/>
          <w:divBdr>
            <w:top w:val="none" w:sz="0" w:space="0" w:color="auto"/>
            <w:left w:val="none" w:sz="0" w:space="0" w:color="auto"/>
            <w:bottom w:val="none" w:sz="0" w:space="0" w:color="auto"/>
            <w:right w:val="none" w:sz="0" w:space="0" w:color="auto"/>
          </w:divBdr>
        </w:div>
        <w:div w:id="1464423891">
          <w:marLeft w:val="0"/>
          <w:marRight w:val="0"/>
          <w:marTop w:val="0"/>
          <w:marBottom w:val="0"/>
          <w:divBdr>
            <w:top w:val="none" w:sz="0" w:space="0" w:color="auto"/>
            <w:left w:val="none" w:sz="0" w:space="0" w:color="auto"/>
            <w:bottom w:val="none" w:sz="0" w:space="0" w:color="auto"/>
            <w:right w:val="none" w:sz="0" w:space="0" w:color="auto"/>
          </w:divBdr>
        </w:div>
        <w:div w:id="1495224093">
          <w:marLeft w:val="0"/>
          <w:marRight w:val="0"/>
          <w:marTop w:val="0"/>
          <w:marBottom w:val="0"/>
          <w:divBdr>
            <w:top w:val="none" w:sz="0" w:space="0" w:color="auto"/>
            <w:left w:val="none" w:sz="0" w:space="0" w:color="auto"/>
            <w:bottom w:val="none" w:sz="0" w:space="0" w:color="auto"/>
            <w:right w:val="none" w:sz="0" w:space="0" w:color="auto"/>
          </w:divBdr>
        </w:div>
        <w:div w:id="1495686387">
          <w:marLeft w:val="0"/>
          <w:marRight w:val="0"/>
          <w:marTop w:val="0"/>
          <w:marBottom w:val="0"/>
          <w:divBdr>
            <w:top w:val="none" w:sz="0" w:space="0" w:color="auto"/>
            <w:left w:val="none" w:sz="0" w:space="0" w:color="auto"/>
            <w:bottom w:val="none" w:sz="0" w:space="0" w:color="auto"/>
            <w:right w:val="none" w:sz="0" w:space="0" w:color="auto"/>
          </w:divBdr>
        </w:div>
        <w:div w:id="1500661236">
          <w:marLeft w:val="0"/>
          <w:marRight w:val="0"/>
          <w:marTop w:val="0"/>
          <w:marBottom w:val="0"/>
          <w:divBdr>
            <w:top w:val="none" w:sz="0" w:space="0" w:color="auto"/>
            <w:left w:val="none" w:sz="0" w:space="0" w:color="auto"/>
            <w:bottom w:val="none" w:sz="0" w:space="0" w:color="auto"/>
            <w:right w:val="none" w:sz="0" w:space="0" w:color="auto"/>
          </w:divBdr>
        </w:div>
        <w:div w:id="1513297499">
          <w:marLeft w:val="0"/>
          <w:marRight w:val="0"/>
          <w:marTop w:val="0"/>
          <w:marBottom w:val="0"/>
          <w:divBdr>
            <w:top w:val="none" w:sz="0" w:space="0" w:color="auto"/>
            <w:left w:val="none" w:sz="0" w:space="0" w:color="auto"/>
            <w:bottom w:val="none" w:sz="0" w:space="0" w:color="auto"/>
            <w:right w:val="none" w:sz="0" w:space="0" w:color="auto"/>
          </w:divBdr>
          <w:divsChild>
            <w:div w:id="571546001">
              <w:marLeft w:val="0"/>
              <w:marRight w:val="0"/>
              <w:marTop w:val="0"/>
              <w:marBottom w:val="0"/>
              <w:divBdr>
                <w:top w:val="none" w:sz="0" w:space="0" w:color="auto"/>
                <w:left w:val="none" w:sz="0" w:space="0" w:color="auto"/>
                <w:bottom w:val="none" w:sz="0" w:space="0" w:color="auto"/>
                <w:right w:val="none" w:sz="0" w:space="0" w:color="auto"/>
              </w:divBdr>
            </w:div>
            <w:div w:id="713622569">
              <w:marLeft w:val="0"/>
              <w:marRight w:val="0"/>
              <w:marTop w:val="0"/>
              <w:marBottom w:val="0"/>
              <w:divBdr>
                <w:top w:val="none" w:sz="0" w:space="0" w:color="auto"/>
                <w:left w:val="none" w:sz="0" w:space="0" w:color="auto"/>
                <w:bottom w:val="none" w:sz="0" w:space="0" w:color="auto"/>
                <w:right w:val="none" w:sz="0" w:space="0" w:color="auto"/>
              </w:divBdr>
            </w:div>
            <w:div w:id="1885365064">
              <w:marLeft w:val="0"/>
              <w:marRight w:val="0"/>
              <w:marTop w:val="0"/>
              <w:marBottom w:val="0"/>
              <w:divBdr>
                <w:top w:val="none" w:sz="0" w:space="0" w:color="auto"/>
                <w:left w:val="none" w:sz="0" w:space="0" w:color="auto"/>
                <w:bottom w:val="none" w:sz="0" w:space="0" w:color="auto"/>
                <w:right w:val="none" w:sz="0" w:space="0" w:color="auto"/>
              </w:divBdr>
            </w:div>
          </w:divsChild>
        </w:div>
        <w:div w:id="1539195135">
          <w:marLeft w:val="0"/>
          <w:marRight w:val="0"/>
          <w:marTop w:val="0"/>
          <w:marBottom w:val="0"/>
          <w:divBdr>
            <w:top w:val="none" w:sz="0" w:space="0" w:color="auto"/>
            <w:left w:val="none" w:sz="0" w:space="0" w:color="auto"/>
            <w:bottom w:val="none" w:sz="0" w:space="0" w:color="auto"/>
            <w:right w:val="none" w:sz="0" w:space="0" w:color="auto"/>
          </w:divBdr>
        </w:div>
        <w:div w:id="1539395456">
          <w:marLeft w:val="0"/>
          <w:marRight w:val="0"/>
          <w:marTop w:val="0"/>
          <w:marBottom w:val="0"/>
          <w:divBdr>
            <w:top w:val="none" w:sz="0" w:space="0" w:color="auto"/>
            <w:left w:val="none" w:sz="0" w:space="0" w:color="auto"/>
            <w:bottom w:val="none" w:sz="0" w:space="0" w:color="auto"/>
            <w:right w:val="none" w:sz="0" w:space="0" w:color="auto"/>
          </w:divBdr>
        </w:div>
        <w:div w:id="1547713389">
          <w:marLeft w:val="0"/>
          <w:marRight w:val="0"/>
          <w:marTop w:val="0"/>
          <w:marBottom w:val="0"/>
          <w:divBdr>
            <w:top w:val="none" w:sz="0" w:space="0" w:color="auto"/>
            <w:left w:val="none" w:sz="0" w:space="0" w:color="auto"/>
            <w:bottom w:val="none" w:sz="0" w:space="0" w:color="auto"/>
            <w:right w:val="none" w:sz="0" w:space="0" w:color="auto"/>
          </w:divBdr>
        </w:div>
        <w:div w:id="1555510128">
          <w:marLeft w:val="0"/>
          <w:marRight w:val="0"/>
          <w:marTop w:val="0"/>
          <w:marBottom w:val="0"/>
          <w:divBdr>
            <w:top w:val="none" w:sz="0" w:space="0" w:color="auto"/>
            <w:left w:val="none" w:sz="0" w:space="0" w:color="auto"/>
            <w:bottom w:val="none" w:sz="0" w:space="0" w:color="auto"/>
            <w:right w:val="none" w:sz="0" w:space="0" w:color="auto"/>
          </w:divBdr>
          <w:divsChild>
            <w:div w:id="1072234812">
              <w:marLeft w:val="0"/>
              <w:marRight w:val="0"/>
              <w:marTop w:val="0"/>
              <w:marBottom w:val="0"/>
              <w:divBdr>
                <w:top w:val="none" w:sz="0" w:space="0" w:color="auto"/>
                <w:left w:val="none" w:sz="0" w:space="0" w:color="auto"/>
                <w:bottom w:val="none" w:sz="0" w:space="0" w:color="auto"/>
                <w:right w:val="none" w:sz="0" w:space="0" w:color="auto"/>
              </w:divBdr>
            </w:div>
          </w:divsChild>
        </w:div>
        <w:div w:id="1559244362">
          <w:marLeft w:val="0"/>
          <w:marRight w:val="0"/>
          <w:marTop w:val="0"/>
          <w:marBottom w:val="0"/>
          <w:divBdr>
            <w:top w:val="none" w:sz="0" w:space="0" w:color="auto"/>
            <w:left w:val="none" w:sz="0" w:space="0" w:color="auto"/>
            <w:bottom w:val="none" w:sz="0" w:space="0" w:color="auto"/>
            <w:right w:val="none" w:sz="0" w:space="0" w:color="auto"/>
          </w:divBdr>
        </w:div>
        <w:div w:id="1559440880">
          <w:marLeft w:val="0"/>
          <w:marRight w:val="0"/>
          <w:marTop w:val="0"/>
          <w:marBottom w:val="0"/>
          <w:divBdr>
            <w:top w:val="none" w:sz="0" w:space="0" w:color="auto"/>
            <w:left w:val="none" w:sz="0" w:space="0" w:color="auto"/>
            <w:bottom w:val="none" w:sz="0" w:space="0" w:color="auto"/>
            <w:right w:val="none" w:sz="0" w:space="0" w:color="auto"/>
          </w:divBdr>
        </w:div>
        <w:div w:id="1579829962">
          <w:marLeft w:val="0"/>
          <w:marRight w:val="0"/>
          <w:marTop w:val="0"/>
          <w:marBottom w:val="0"/>
          <w:divBdr>
            <w:top w:val="none" w:sz="0" w:space="0" w:color="auto"/>
            <w:left w:val="none" w:sz="0" w:space="0" w:color="auto"/>
            <w:bottom w:val="none" w:sz="0" w:space="0" w:color="auto"/>
            <w:right w:val="none" w:sz="0" w:space="0" w:color="auto"/>
          </w:divBdr>
          <w:divsChild>
            <w:div w:id="354620894">
              <w:marLeft w:val="0"/>
              <w:marRight w:val="0"/>
              <w:marTop w:val="0"/>
              <w:marBottom w:val="0"/>
              <w:divBdr>
                <w:top w:val="none" w:sz="0" w:space="0" w:color="auto"/>
                <w:left w:val="none" w:sz="0" w:space="0" w:color="auto"/>
                <w:bottom w:val="none" w:sz="0" w:space="0" w:color="auto"/>
                <w:right w:val="none" w:sz="0" w:space="0" w:color="auto"/>
              </w:divBdr>
            </w:div>
            <w:div w:id="1851338444">
              <w:marLeft w:val="0"/>
              <w:marRight w:val="0"/>
              <w:marTop w:val="0"/>
              <w:marBottom w:val="0"/>
              <w:divBdr>
                <w:top w:val="none" w:sz="0" w:space="0" w:color="auto"/>
                <w:left w:val="none" w:sz="0" w:space="0" w:color="auto"/>
                <w:bottom w:val="none" w:sz="0" w:space="0" w:color="auto"/>
                <w:right w:val="none" w:sz="0" w:space="0" w:color="auto"/>
              </w:divBdr>
            </w:div>
          </w:divsChild>
        </w:div>
        <w:div w:id="1629314135">
          <w:marLeft w:val="0"/>
          <w:marRight w:val="0"/>
          <w:marTop w:val="0"/>
          <w:marBottom w:val="0"/>
          <w:divBdr>
            <w:top w:val="none" w:sz="0" w:space="0" w:color="auto"/>
            <w:left w:val="none" w:sz="0" w:space="0" w:color="auto"/>
            <w:bottom w:val="none" w:sz="0" w:space="0" w:color="auto"/>
            <w:right w:val="none" w:sz="0" w:space="0" w:color="auto"/>
          </w:divBdr>
        </w:div>
        <w:div w:id="1683897231">
          <w:marLeft w:val="0"/>
          <w:marRight w:val="0"/>
          <w:marTop w:val="0"/>
          <w:marBottom w:val="0"/>
          <w:divBdr>
            <w:top w:val="none" w:sz="0" w:space="0" w:color="auto"/>
            <w:left w:val="none" w:sz="0" w:space="0" w:color="auto"/>
            <w:bottom w:val="none" w:sz="0" w:space="0" w:color="auto"/>
            <w:right w:val="none" w:sz="0" w:space="0" w:color="auto"/>
          </w:divBdr>
          <w:divsChild>
            <w:div w:id="1579442259">
              <w:marLeft w:val="0"/>
              <w:marRight w:val="0"/>
              <w:marTop w:val="0"/>
              <w:marBottom w:val="0"/>
              <w:divBdr>
                <w:top w:val="none" w:sz="0" w:space="0" w:color="auto"/>
                <w:left w:val="none" w:sz="0" w:space="0" w:color="auto"/>
                <w:bottom w:val="none" w:sz="0" w:space="0" w:color="auto"/>
                <w:right w:val="none" w:sz="0" w:space="0" w:color="auto"/>
              </w:divBdr>
            </w:div>
          </w:divsChild>
        </w:div>
        <w:div w:id="1700616940">
          <w:marLeft w:val="0"/>
          <w:marRight w:val="0"/>
          <w:marTop w:val="0"/>
          <w:marBottom w:val="0"/>
          <w:divBdr>
            <w:top w:val="none" w:sz="0" w:space="0" w:color="auto"/>
            <w:left w:val="none" w:sz="0" w:space="0" w:color="auto"/>
            <w:bottom w:val="none" w:sz="0" w:space="0" w:color="auto"/>
            <w:right w:val="none" w:sz="0" w:space="0" w:color="auto"/>
          </w:divBdr>
          <w:divsChild>
            <w:div w:id="204220287">
              <w:marLeft w:val="0"/>
              <w:marRight w:val="0"/>
              <w:marTop w:val="0"/>
              <w:marBottom w:val="0"/>
              <w:divBdr>
                <w:top w:val="none" w:sz="0" w:space="0" w:color="auto"/>
                <w:left w:val="none" w:sz="0" w:space="0" w:color="auto"/>
                <w:bottom w:val="none" w:sz="0" w:space="0" w:color="auto"/>
                <w:right w:val="none" w:sz="0" w:space="0" w:color="auto"/>
              </w:divBdr>
            </w:div>
            <w:div w:id="1029641893">
              <w:marLeft w:val="0"/>
              <w:marRight w:val="0"/>
              <w:marTop w:val="0"/>
              <w:marBottom w:val="0"/>
              <w:divBdr>
                <w:top w:val="none" w:sz="0" w:space="0" w:color="auto"/>
                <w:left w:val="none" w:sz="0" w:space="0" w:color="auto"/>
                <w:bottom w:val="none" w:sz="0" w:space="0" w:color="auto"/>
                <w:right w:val="none" w:sz="0" w:space="0" w:color="auto"/>
              </w:divBdr>
            </w:div>
            <w:div w:id="1038816467">
              <w:marLeft w:val="0"/>
              <w:marRight w:val="0"/>
              <w:marTop w:val="0"/>
              <w:marBottom w:val="0"/>
              <w:divBdr>
                <w:top w:val="none" w:sz="0" w:space="0" w:color="auto"/>
                <w:left w:val="none" w:sz="0" w:space="0" w:color="auto"/>
                <w:bottom w:val="none" w:sz="0" w:space="0" w:color="auto"/>
                <w:right w:val="none" w:sz="0" w:space="0" w:color="auto"/>
              </w:divBdr>
            </w:div>
            <w:div w:id="1384914066">
              <w:marLeft w:val="0"/>
              <w:marRight w:val="0"/>
              <w:marTop w:val="0"/>
              <w:marBottom w:val="0"/>
              <w:divBdr>
                <w:top w:val="none" w:sz="0" w:space="0" w:color="auto"/>
                <w:left w:val="none" w:sz="0" w:space="0" w:color="auto"/>
                <w:bottom w:val="none" w:sz="0" w:space="0" w:color="auto"/>
                <w:right w:val="none" w:sz="0" w:space="0" w:color="auto"/>
              </w:divBdr>
            </w:div>
          </w:divsChild>
        </w:div>
        <w:div w:id="1711612700">
          <w:marLeft w:val="0"/>
          <w:marRight w:val="0"/>
          <w:marTop w:val="0"/>
          <w:marBottom w:val="0"/>
          <w:divBdr>
            <w:top w:val="none" w:sz="0" w:space="0" w:color="auto"/>
            <w:left w:val="none" w:sz="0" w:space="0" w:color="auto"/>
            <w:bottom w:val="none" w:sz="0" w:space="0" w:color="auto"/>
            <w:right w:val="none" w:sz="0" w:space="0" w:color="auto"/>
          </w:divBdr>
        </w:div>
        <w:div w:id="1730616494">
          <w:marLeft w:val="0"/>
          <w:marRight w:val="0"/>
          <w:marTop w:val="0"/>
          <w:marBottom w:val="0"/>
          <w:divBdr>
            <w:top w:val="none" w:sz="0" w:space="0" w:color="auto"/>
            <w:left w:val="none" w:sz="0" w:space="0" w:color="auto"/>
            <w:bottom w:val="none" w:sz="0" w:space="0" w:color="auto"/>
            <w:right w:val="none" w:sz="0" w:space="0" w:color="auto"/>
          </w:divBdr>
        </w:div>
        <w:div w:id="1734499618">
          <w:marLeft w:val="0"/>
          <w:marRight w:val="0"/>
          <w:marTop w:val="0"/>
          <w:marBottom w:val="0"/>
          <w:divBdr>
            <w:top w:val="none" w:sz="0" w:space="0" w:color="auto"/>
            <w:left w:val="none" w:sz="0" w:space="0" w:color="auto"/>
            <w:bottom w:val="none" w:sz="0" w:space="0" w:color="auto"/>
            <w:right w:val="none" w:sz="0" w:space="0" w:color="auto"/>
          </w:divBdr>
        </w:div>
        <w:div w:id="1754274748">
          <w:marLeft w:val="0"/>
          <w:marRight w:val="0"/>
          <w:marTop w:val="0"/>
          <w:marBottom w:val="0"/>
          <w:divBdr>
            <w:top w:val="none" w:sz="0" w:space="0" w:color="auto"/>
            <w:left w:val="none" w:sz="0" w:space="0" w:color="auto"/>
            <w:bottom w:val="none" w:sz="0" w:space="0" w:color="auto"/>
            <w:right w:val="none" w:sz="0" w:space="0" w:color="auto"/>
          </w:divBdr>
        </w:div>
        <w:div w:id="1754353885">
          <w:marLeft w:val="0"/>
          <w:marRight w:val="0"/>
          <w:marTop w:val="0"/>
          <w:marBottom w:val="0"/>
          <w:divBdr>
            <w:top w:val="none" w:sz="0" w:space="0" w:color="auto"/>
            <w:left w:val="none" w:sz="0" w:space="0" w:color="auto"/>
            <w:bottom w:val="none" w:sz="0" w:space="0" w:color="auto"/>
            <w:right w:val="none" w:sz="0" w:space="0" w:color="auto"/>
          </w:divBdr>
        </w:div>
        <w:div w:id="1796173412">
          <w:marLeft w:val="0"/>
          <w:marRight w:val="0"/>
          <w:marTop w:val="0"/>
          <w:marBottom w:val="0"/>
          <w:divBdr>
            <w:top w:val="none" w:sz="0" w:space="0" w:color="auto"/>
            <w:left w:val="none" w:sz="0" w:space="0" w:color="auto"/>
            <w:bottom w:val="none" w:sz="0" w:space="0" w:color="auto"/>
            <w:right w:val="none" w:sz="0" w:space="0" w:color="auto"/>
          </w:divBdr>
        </w:div>
        <w:div w:id="1816948517">
          <w:marLeft w:val="0"/>
          <w:marRight w:val="0"/>
          <w:marTop w:val="0"/>
          <w:marBottom w:val="0"/>
          <w:divBdr>
            <w:top w:val="none" w:sz="0" w:space="0" w:color="auto"/>
            <w:left w:val="none" w:sz="0" w:space="0" w:color="auto"/>
            <w:bottom w:val="none" w:sz="0" w:space="0" w:color="auto"/>
            <w:right w:val="none" w:sz="0" w:space="0" w:color="auto"/>
          </w:divBdr>
        </w:div>
        <w:div w:id="1817258387">
          <w:marLeft w:val="0"/>
          <w:marRight w:val="0"/>
          <w:marTop w:val="0"/>
          <w:marBottom w:val="0"/>
          <w:divBdr>
            <w:top w:val="none" w:sz="0" w:space="0" w:color="auto"/>
            <w:left w:val="none" w:sz="0" w:space="0" w:color="auto"/>
            <w:bottom w:val="none" w:sz="0" w:space="0" w:color="auto"/>
            <w:right w:val="none" w:sz="0" w:space="0" w:color="auto"/>
          </w:divBdr>
        </w:div>
        <w:div w:id="1847132780">
          <w:marLeft w:val="0"/>
          <w:marRight w:val="0"/>
          <w:marTop w:val="0"/>
          <w:marBottom w:val="0"/>
          <w:divBdr>
            <w:top w:val="none" w:sz="0" w:space="0" w:color="auto"/>
            <w:left w:val="none" w:sz="0" w:space="0" w:color="auto"/>
            <w:bottom w:val="none" w:sz="0" w:space="0" w:color="auto"/>
            <w:right w:val="none" w:sz="0" w:space="0" w:color="auto"/>
          </w:divBdr>
        </w:div>
        <w:div w:id="1877158272">
          <w:marLeft w:val="0"/>
          <w:marRight w:val="0"/>
          <w:marTop w:val="0"/>
          <w:marBottom w:val="0"/>
          <w:divBdr>
            <w:top w:val="none" w:sz="0" w:space="0" w:color="auto"/>
            <w:left w:val="none" w:sz="0" w:space="0" w:color="auto"/>
            <w:bottom w:val="none" w:sz="0" w:space="0" w:color="auto"/>
            <w:right w:val="none" w:sz="0" w:space="0" w:color="auto"/>
          </w:divBdr>
        </w:div>
        <w:div w:id="1918898323">
          <w:marLeft w:val="0"/>
          <w:marRight w:val="0"/>
          <w:marTop w:val="0"/>
          <w:marBottom w:val="0"/>
          <w:divBdr>
            <w:top w:val="none" w:sz="0" w:space="0" w:color="auto"/>
            <w:left w:val="none" w:sz="0" w:space="0" w:color="auto"/>
            <w:bottom w:val="none" w:sz="0" w:space="0" w:color="auto"/>
            <w:right w:val="none" w:sz="0" w:space="0" w:color="auto"/>
          </w:divBdr>
        </w:div>
        <w:div w:id="1920407877">
          <w:marLeft w:val="0"/>
          <w:marRight w:val="0"/>
          <w:marTop w:val="0"/>
          <w:marBottom w:val="0"/>
          <w:divBdr>
            <w:top w:val="none" w:sz="0" w:space="0" w:color="auto"/>
            <w:left w:val="none" w:sz="0" w:space="0" w:color="auto"/>
            <w:bottom w:val="none" w:sz="0" w:space="0" w:color="auto"/>
            <w:right w:val="none" w:sz="0" w:space="0" w:color="auto"/>
          </w:divBdr>
        </w:div>
        <w:div w:id="1955554731">
          <w:marLeft w:val="0"/>
          <w:marRight w:val="0"/>
          <w:marTop w:val="0"/>
          <w:marBottom w:val="0"/>
          <w:divBdr>
            <w:top w:val="none" w:sz="0" w:space="0" w:color="auto"/>
            <w:left w:val="none" w:sz="0" w:space="0" w:color="auto"/>
            <w:bottom w:val="none" w:sz="0" w:space="0" w:color="auto"/>
            <w:right w:val="none" w:sz="0" w:space="0" w:color="auto"/>
          </w:divBdr>
        </w:div>
        <w:div w:id="1963073499">
          <w:marLeft w:val="0"/>
          <w:marRight w:val="0"/>
          <w:marTop w:val="0"/>
          <w:marBottom w:val="0"/>
          <w:divBdr>
            <w:top w:val="none" w:sz="0" w:space="0" w:color="auto"/>
            <w:left w:val="none" w:sz="0" w:space="0" w:color="auto"/>
            <w:bottom w:val="none" w:sz="0" w:space="0" w:color="auto"/>
            <w:right w:val="none" w:sz="0" w:space="0" w:color="auto"/>
          </w:divBdr>
        </w:div>
        <w:div w:id="1992324980">
          <w:marLeft w:val="0"/>
          <w:marRight w:val="0"/>
          <w:marTop w:val="0"/>
          <w:marBottom w:val="0"/>
          <w:divBdr>
            <w:top w:val="none" w:sz="0" w:space="0" w:color="auto"/>
            <w:left w:val="none" w:sz="0" w:space="0" w:color="auto"/>
            <w:bottom w:val="none" w:sz="0" w:space="0" w:color="auto"/>
            <w:right w:val="none" w:sz="0" w:space="0" w:color="auto"/>
          </w:divBdr>
        </w:div>
        <w:div w:id="2012490164">
          <w:marLeft w:val="0"/>
          <w:marRight w:val="0"/>
          <w:marTop w:val="0"/>
          <w:marBottom w:val="0"/>
          <w:divBdr>
            <w:top w:val="none" w:sz="0" w:space="0" w:color="auto"/>
            <w:left w:val="none" w:sz="0" w:space="0" w:color="auto"/>
            <w:bottom w:val="none" w:sz="0" w:space="0" w:color="auto"/>
            <w:right w:val="none" w:sz="0" w:space="0" w:color="auto"/>
          </w:divBdr>
          <w:divsChild>
            <w:div w:id="454956112">
              <w:marLeft w:val="0"/>
              <w:marRight w:val="0"/>
              <w:marTop w:val="0"/>
              <w:marBottom w:val="0"/>
              <w:divBdr>
                <w:top w:val="none" w:sz="0" w:space="0" w:color="auto"/>
                <w:left w:val="none" w:sz="0" w:space="0" w:color="auto"/>
                <w:bottom w:val="none" w:sz="0" w:space="0" w:color="auto"/>
                <w:right w:val="none" w:sz="0" w:space="0" w:color="auto"/>
              </w:divBdr>
            </w:div>
            <w:div w:id="1204976155">
              <w:marLeft w:val="0"/>
              <w:marRight w:val="0"/>
              <w:marTop w:val="0"/>
              <w:marBottom w:val="0"/>
              <w:divBdr>
                <w:top w:val="none" w:sz="0" w:space="0" w:color="auto"/>
                <w:left w:val="none" w:sz="0" w:space="0" w:color="auto"/>
                <w:bottom w:val="none" w:sz="0" w:space="0" w:color="auto"/>
                <w:right w:val="none" w:sz="0" w:space="0" w:color="auto"/>
              </w:divBdr>
            </w:div>
            <w:div w:id="1643386381">
              <w:marLeft w:val="0"/>
              <w:marRight w:val="0"/>
              <w:marTop w:val="0"/>
              <w:marBottom w:val="0"/>
              <w:divBdr>
                <w:top w:val="none" w:sz="0" w:space="0" w:color="auto"/>
                <w:left w:val="none" w:sz="0" w:space="0" w:color="auto"/>
                <w:bottom w:val="none" w:sz="0" w:space="0" w:color="auto"/>
                <w:right w:val="none" w:sz="0" w:space="0" w:color="auto"/>
              </w:divBdr>
            </w:div>
          </w:divsChild>
        </w:div>
        <w:div w:id="2041011472">
          <w:marLeft w:val="0"/>
          <w:marRight w:val="0"/>
          <w:marTop w:val="0"/>
          <w:marBottom w:val="0"/>
          <w:divBdr>
            <w:top w:val="none" w:sz="0" w:space="0" w:color="auto"/>
            <w:left w:val="none" w:sz="0" w:space="0" w:color="auto"/>
            <w:bottom w:val="none" w:sz="0" w:space="0" w:color="auto"/>
            <w:right w:val="none" w:sz="0" w:space="0" w:color="auto"/>
          </w:divBdr>
        </w:div>
        <w:div w:id="2046054725">
          <w:marLeft w:val="0"/>
          <w:marRight w:val="0"/>
          <w:marTop w:val="0"/>
          <w:marBottom w:val="0"/>
          <w:divBdr>
            <w:top w:val="none" w:sz="0" w:space="0" w:color="auto"/>
            <w:left w:val="none" w:sz="0" w:space="0" w:color="auto"/>
            <w:bottom w:val="none" w:sz="0" w:space="0" w:color="auto"/>
            <w:right w:val="none" w:sz="0" w:space="0" w:color="auto"/>
          </w:divBdr>
          <w:divsChild>
            <w:div w:id="276986665">
              <w:marLeft w:val="0"/>
              <w:marRight w:val="0"/>
              <w:marTop w:val="0"/>
              <w:marBottom w:val="0"/>
              <w:divBdr>
                <w:top w:val="none" w:sz="0" w:space="0" w:color="auto"/>
                <w:left w:val="none" w:sz="0" w:space="0" w:color="auto"/>
                <w:bottom w:val="none" w:sz="0" w:space="0" w:color="auto"/>
                <w:right w:val="none" w:sz="0" w:space="0" w:color="auto"/>
              </w:divBdr>
            </w:div>
            <w:div w:id="312373902">
              <w:marLeft w:val="0"/>
              <w:marRight w:val="0"/>
              <w:marTop w:val="0"/>
              <w:marBottom w:val="0"/>
              <w:divBdr>
                <w:top w:val="none" w:sz="0" w:space="0" w:color="auto"/>
                <w:left w:val="none" w:sz="0" w:space="0" w:color="auto"/>
                <w:bottom w:val="none" w:sz="0" w:space="0" w:color="auto"/>
                <w:right w:val="none" w:sz="0" w:space="0" w:color="auto"/>
              </w:divBdr>
            </w:div>
            <w:div w:id="542407825">
              <w:marLeft w:val="0"/>
              <w:marRight w:val="0"/>
              <w:marTop w:val="0"/>
              <w:marBottom w:val="0"/>
              <w:divBdr>
                <w:top w:val="none" w:sz="0" w:space="0" w:color="auto"/>
                <w:left w:val="none" w:sz="0" w:space="0" w:color="auto"/>
                <w:bottom w:val="none" w:sz="0" w:space="0" w:color="auto"/>
                <w:right w:val="none" w:sz="0" w:space="0" w:color="auto"/>
              </w:divBdr>
            </w:div>
            <w:div w:id="692614597">
              <w:marLeft w:val="0"/>
              <w:marRight w:val="0"/>
              <w:marTop w:val="0"/>
              <w:marBottom w:val="0"/>
              <w:divBdr>
                <w:top w:val="none" w:sz="0" w:space="0" w:color="auto"/>
                <w:left w:val="none" w:sz="0" w:space="0" w:color="auto"/>
                <w:bottom w:val="none" w:sz="0" w:space="0" w:color="auto"/>
                <w:right w:val="none" w:sz="0" w:space="0" w:color="auto"/>
              </w:divBdr>
            </w:div>
            <w:div w:id="1288779023">
              <w:marLeft w:val="0"/>
              <w:marRight w:val="0"/>
              <w:marTop w:val="0"/>
              <w:marBottom w:val="0"/>
              <w:divBdr>
                <w:top w:val="none" w:sz="0" w:space="0" w:color="auto"/>
                <w:left w:val="none" w:sz="0" w:space="0" w:color="auto"/>
                <w:bottom w:val="none" w:sz="0" w:space="0" w:color="auto"/>
                <w:right w:val="none" w:sz="0" w:space="0" w:color="auto"/>
              </w:divBdr>
            </w:div>
          </w:divsChild>
        </w:div>
        <w:div w:id="2078819759">
          <w:marLeft w:val="0"/>
          <w:marRight w:val="0"/>
          <w:marTop w:val="0"/>
          <w:marBottom w:val="0"/>
          <w:divBdr>
            <w:top w:val="none" w:sz="0" w:space="0" w:color="auto"/>
            <w:left w:val="none" w:sz="0" w:space="0" w:color="auto"/>
            <w:bottom w:val="none" w:sz="0" w:space="0" w:color="auto"/>
            <w:right w:val="none" w:sz="0" w:space="0" w:color="auto"/>
          </w:divBdr>
        </w:div>
        <w:div w:id="2080201477">
          <w:marLeft w:val="0"/>
          <w:marRight w:val="0"/>
          <w:marTop w:val="0"/>
          <w:marBottom w:val="0"/>
          <w:divBdr>
            <w:top w:val="none" w:sz="0" w:space="0" w:color="auto"/>
            <w:left w:val="none" w:sz="0" w:space="0" w:color="auto"/>
            <w:bottom w:val="none" w:sz="0" w:space="0" w:color="auto"/>
            <w:right w:val="none" w:sz="0" w:space="0" w:color="auto"/>
          </w:divBdr>
        </w:div>
        <w:div w:id="2083749192">
          <w:marLeft w:val="0"/>
          <w:marRight w:val="0"/>
          <w:marTop w:val="0"/>
          <w:marBottom w:val="0"/>
          <w:divBdr>
            <w:top w:val="none" w:sz="0" w:space="0" w:color="auto"/>
            <w:left w:val="none" w:sz="0" w:space="0" w:color="auto"/>
            <w:bottom w:val="none" w:sz="0" w:space="0" w:color="auto"/>
            <w:right w:val="none" w:sz="0" w:space="0" w:color="auto"/>
          </w:divBdr>
          <w:divsChild>
            <w:div w:id="1376586999">
              <w:marLeft w:val="0"/>
              <w:marRight w:val="0"/>
              <w:marTop w:val="0"/>
              <w:marBottom w:val="0"/>
              <w:divBdr>
                <w:top w:val="none" w:sz="0" w:space="0" w:color="auto"/>
                <w:left w:val="none" w:sz="0" w:space="0" w:color="auto"/>
                <w:bottom w:val="none" w:sz="0" w:space="0" w:color="auto"/>
                <w:right w:val="none" w:sz="0" w:space="0" w:color="auto"/>
              </w:divBdr>
            </w:div>
          </w:divsChild>
        </w:div>
        <w:div w:id="2083796960">
          <w:marLeft w:val="0"/>
          <w:marRight w:val="0"/>
          <w:marTop w:val="0"/>
          <w:marBottom w:val="0"/>
          <w:divBdr>
            <w:top w:val="none" w:sz="0" w:space="0" w:color="auto"/>
            <w:left w:val="none" w:sz="0" w:space="0" w:color="auto"/>
            <w:bottom w:val="none" w:sz="0" w:space="0" w:color="auto"/>
            <w:right w:val="none" w:sz="0" w:space="0" w:color="auto"/>
          </w:divBdr>
        </w:div>
        <w:div w:id="2101024795">
          <w:marLeft w:val="0"/>
          <w:marRight w:val="0"/>
          <w:marTop w:val="0"/>
          <w:marBottom w:val="0"/>
          <w:divBdr>
            <w:top w:val="none" w:sz="0" w:space="0" w:color="auto"/>
            <w:left w:val="none" w:sz="0" w:space="0" w:color="auto"/>
            <w:bottom w:val="none" w:sz="0" w:space="0" w:color="auto"/>
            <w:right w:val="none" w:sz="0" w:space="0" w:color="auto"/>
          </w:divBdr>
        </w:div>
        <w:div w:id="2114399265">
          <w:marLeft w:val="0"/>
          <w:marRight w:val="0"/>
          <w:marTop w:val="0"/>
          <w:marBottom w:val="0"/>
          <w:divBdr>
            <w:top w:val="none" w:sz="0" w:space="0" w:color="auto"/>
            <w:left w:val="none" w:sz="0" w:space="0" w:color="auto"/>
            <w:bottom w:val="none" w:sz="0" w:space="0" w:color="auto"/>
            <w:right w:val="none" w:sz="0" w:space="0" w:color="auto"/>
          </w:divBdr>
        </w:div>
        <w:div w:id="2122260364">
          <w:marLeft w:val="0"/>
          <w:marRight w:val="0"/>
          <w:marTop w:val="0"/>
          <w:marBottom w:val="0"/>
          <w:divBdr>
            <w:top w:val="none" w:sz="0" w:space="0" w:color="auto"/>
            <w:left w:val="none" w:sz="0" w:space="0" w:color="auto"/>
            <w:bottom w:val="none" w:sz="0" w:space="0" w:color="auto"/>
            <w:right w:val="none" w:sz="0" w:space="0" w:color="auto"/>
          </w:divBdr>
        </w:div>
        <w:div w:id="2128503990">
          <w:marLeft w:val="0"/>
          <w:marRight w:val="0"/>
          <w:marTop w:val="0"/>
          <w:marBottom w:val="0"/>
          <w:divBdr>
            <w:top w:val="none" w:sz="0" w:space="0" w:color="auto"/>
            <w:left w:val="none" w:sz="0" w:space="0" w:color="auto"/>
            <w:bottom w:val="none" w:sz="0" w:space="0" w:color="auto"/>
            <w:right w:val="none" w:sz="0" w:space="0" w:color="auto"/>
          </w:divBdr>
        </w:div>
        <w:div w:id="2131050673">
          <w:marLeft w:val="0"/>
          <w:marRight w:val="0"/>
          <w:marTop w:val="0"/>
          <w:marBottom w:val="0"/>
          <w:divBdr>
            <w:top w:val="none" w:sz="0" w:space="0" w:color="auto"/>
            <w:left w:val="none" w:sz="0" w:space="0" w:color="auto"/>
            <w:bottom w:val="none" w:sz="0" w:space="0" w:color="auto"/>
            <w:right w:val="none" w:sz="0" w:space="0" w:color="auto"/>
          </w:divBdr>
        </w:div>
        <w:div w:id="2134596089">
          <w:marLeft w:val="0"/>
          <w:marRight w:val="0"/>
          <w:marTop w:val="0"/>
          <w:marBottom w:val="0"/>
          <w:divBdr>
            <w:top w:val="none" w:sz="0" w:space="0" w:color="auto"/>
            <w:left w:val="none" w:sz="0" w:space="0" w:color="auto"/>
            <w:bottom w:val="none" w:sz="0" w:space="0" w:color="auto"/>
            <w:right w:val="none" w:sz="0" w:space="0" w:color="auto"/>
          </w:divBdr>
        </w:div>
        <w:div w:id="2142578711">
          <w:marLeft w:val="0"/>
          <w:marRight w:val="0"/>
          <w:marTop w:val="0"/>
          <w:marBottom w:val="0"/>
          <w:divBdr>
            <w:top w:val="none" w:sz="0" w:space="0" w:color="auto"/>
            <w:left w:val="none" w:sz="0" w:space="0" w:color="auto"/>
            <w:bottom w:val="none" w:sz="0" w:space="0" w:color="auto"/>
            <w:right w:val="none" w:sz="0" w:space="0" w:color="auto"/>
          </w:divBdr>
        </w:div>
      </w:divsChild>
    </w:div>
    <w:div w:id="1113981497">
      <w:bodyDiv w:val="1"/>
      <w:marLeft w:val="0"/>
      <w:marRight w:val="0"/>
      <w:marTop w:val="0"/>
      <w:marBottom w:val="0"/>
      <w:divBdr>
        <w:top w:val="none" w:sz="0" w:space="0" w:color="auto"/>
        <w:left w:val="none" w:sz="0" w:space="0" w:color="auto"/>
        <w:bottom w:val="none" w:sz="0" w:space="0" w:color="auto"/>
        <w:right w:val="none" w:sz="0" w:space="0" w:color="auto"/>
      </w:divBdr>
    </w:div>
    <w:div w:id="1143892726">
      <w:bodyDiv w:val="1"/>
      <w:marLeft w:val="0"/>
      <w:marRight w:val="0"/>
      <w:marTop w:val="0"/>
      <w:marBottom w:val="0"/>
      <w:divBdr>
        <w:top w:val="none" w:sz="0" w:space="0" w:color="auto"/>
        <w:left w:val="none" w:sz="0" w:space="0" w:color="auto"/>
        <w:bottom w:val="none" w:sz="0" w:space="0" w:color="auto"/>
        <w:right w:val="none" w:sz="0" w:space="0" w:color="auto"/>
      </w:divBdr>
    </w:div>
    <w:div w:id="1150706928">
      <w:bodyDiv w:val="1"/>
      <w:marLeft w:val="0"/>
      <w:marRight w:val="0"/>
      <w:marTop w:val="0"/>
      <w:marBottom w:val="0"/>
      <w:divBdr>
        <w:top w:val="none" w:sz="0" w:space="0" w:color="auto"/>
        <w:left w:val="none" w:sz="0" w:space="0" w:color="auto"/>
        <w:bottom w:val="none" w:sz="0" w:space="0" w:color="auto"/>
        <w:right w:val="none" w:sz="0" w:space="0" w:color="auto"/>
      </w:divBdr>
    </w:div>
    <w:div w:id="1251743040">
      <w:bodyDiv w:val="1"/>
      <w:marLeft w:val="0"/>
      <w:marRight w:val="0"/>
      <w:marTop w:val="0"/>
      <w:marBottom w:val="0"/>
      <w:divBdr>
        <w:top w:val="none" w:sz="0" w:space="0" w:color="auto"/>
        <w:left w:val="none" w:sz="0" w:space="0" w:color="auto"/>
        <w:bottom w:val="none" w:sz="0" w:space="0" w:color="auto"/>
        <w:right w:val="none" w:sz="0" w:space="0" w:color="auto"/>
      </w:divBdr>
    </w:div>
    <w:div w:id="1264726726">
      <w:bodyDiv w:val="1"/>
      <w:marLeft w:val="0"/>
      <w:marRight w:val="0"/>
      <w:marTop w:val="0"/>
      <w:marBottom w:val="0"/>
      <w:divBdr>
        <w:top w:val="none" w:sz="0" w:space="0" w:color="auto"/>
        <w:left w:val="none" w:sz="0" w:space="0" w:color="auto"/>
        <w:bottom w:val="none" w:sz="0" w:space="0" w:color="auto"/>
        <w:right w:val="none" w:sz="0" w:space="0" w:color="auto"/>
      </w:divBdr>
    </w:div>
    <w:div w:id="1282686144">
      <w:bodyDiv w:val="1"/>
      <w:marLeft w:val="0"/>
      <w:marRight w:val="0"/>
      <w:marTop w:val="0"/>
      <w:marBottom w:val="0"/>
      <w:divBdr>
        <w:top w:val="none" w:sz="0" w:space="0" w:color="auto"/>
        <w:left w:val="none" w:sz="0" w:space="0" w:color="auto"/>
        <w:bottom w:val="none" w:sz="0" w:space="0" w:color="auto"/>
        <w:right w:val="none" w:sz="0" w:space="0" w:color="auto"/>
      </w:divBdr>
    </w:div>
    <w:div w:id="1284850424">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344361485">
      <w:bodyDiv w:val="1"/>
      <w:marLeft w:val="0"/>
      <w:marRight w:val="0"/>
      <w:marTop w:val="0"/>
      <w:marBottom w:val="0"/>
      <w:divBdr>
        <w:top w:val="none" w:sz="0" w:space="0" w:color="auto"/>
        <w:left w:val="none" w:sz="0" w:space="0" w:color="auto"/>
        <w:bottom w:val="none" w:sz="0" w:space="0" w:color="auto"/>
        <w:right w:val="none" w:sz="0" w:space="0" w:color="auto"/>
      </w:divBdr>
    </w:div>
    <w:div w:id="1420639073">
      <w:bodyDiv w:val="1"/>
      <w:marLeft w:val="0"/>
      <w:marRight w:val="0"/>
      <w:marTop w:val="0"/>
      <w:marBottom w:val="0"/>
      <w:divBdr>
        <w:top w:val="none" w:sz="0" w:space="0" w:color="auto"/>
        <w:left w:val="none" w:sz="0" w:space="0" w:color="auto"/>
        <w:bottom w:val="none" w:sz="0" w:space="0" w:color="auto"/>
        <w:right w:val="none" w:sz="0" w:space="0" w:color="auto"/>
      </w:divBdr>
    </w:div>
    <w:div w:id="1428693323">
      <w:bodyDiv w:val="1"/>
      <w:marLeft w:val="0"/>
      <w:marRight w:val="0"/>
      <w:marTop w:val="0"/>
      <w:marBottom w:val="0"/>
      <w:divBdr>
        <w:top w:val="none" w:sz="0" w:space="0" w:color="auto"/>
        <w:left w:val="none" w:sz="0" w:space="0" w:color="auto"/>
        <w:bottom w:val="none" w:sz="0" w:space="0" w:color="auto"/>
        <w:right w:val="none" w:sz="0" w:space="0" w:color="auto"/>
      </w:divBdr>
    </w:div>
    <w:div w:id="1529222936">
      <w:bodyDiv w:val="1"/>
      <w:marLeft w:val="0"/>
      <w:marRight w:val="0"/>
      <w:marTop w:val="0"/>
      <w:marBottom w:val="0"/>
      <w:divBdr>
        <w:top w:val="none" w:sz="0" w:space="0" w:color="auto"/>
        <w:left w:val="none" w:sz="0" w:space="0" w:color="auto"/>
        <w:bottom w:val="none" w:sz="0" w:space="0" w:color="auto"/>
        <w:right w:val="none" w:sz="0" w:space="0" w:color="auto"/>
      </w:divBdr>
    </w:div>
    <w:div w:id="1537042021">
      <w:bodyDiv w:val="1"/>
      <w:marLeft w:val="0"/>
      <w:marRight w:val="0"/>
      <w:marTop w:val="0"/>
      <w:marBottom w:val="0"/>
      <w:divBdr>
        <w:top w:val="none" w:sz="0" w:space="0" w:color="auto"/>
        <w:left w:val="none" w:sz="0" w:space="0" w:color="auto"/>
        <w:bottom w:val="none" w:sz="0" w:space="0" w:color="auto"/>
        <w:right w:val="none" w:sz="0" w:space="0" w:color="auto"/>
      </w:divBdr>
    </w:div>
    <w:div w:id="1548906794">
      <w:bodyDiv w:val="1"/>
      <w:marLeft w:val="0"/>
      <w:marRight w:val="0"/>
      <w:marTop w:val="0"/>
      <w:marBottom w:val="0"/>
      <w:divBdr>
        <w:top w:val="none" w:sz="0" w:space="0" w:color="auto"/>
        <w:left w:val="none" w:sz="0" w:space="0" w:color="auto"/>
        <w:bottom w:val="none" w:sz="0" w:space="0" w:color="auto"/>
        <w:right w:val="none" w:sz="0" w:space="0" w:color="auto"/>
      </w:divBdr>
    </w:div>
    <w:div w:id="1551258224">
      <w:bodyDiv w:val="1"/>
      <w:marLeft w:val="0"/>
      <w:marRight w:val="0"/>
      <w:marTop w:val="0"/>
      <w:marBottom w:val="0"/>
      <w:divBdr>
        <w:top w:val="none" w:sz="0" w:space="0" w:color="auto"/>
        <w:left w:val="none" w:sz="0" w:space="0" w:color="auto"/>
        <w:bottom w:val="none" w:sz="0" w:space="0" w:color="auto"/>
        <w:right w:val="none" w:sz="0" w:space="0" w:color="auto"/>
      </w:divBdr>
    </w:div>
    <w:div w:id="1574045867">
      <w:bodyDiv w:val="1"/>
      <w:marLeft w:val="0"/>
      <w:marRight w:val="0"/>
      <w:marTop w:val="0"/>
      <w:marBottom w:val="0"/>
      <w:divBdr>
        <w:top w:val="none" w:sz="0" w:space="0" w:color="auto"/>
        <w:left w:val="none" w:sz="0" w:space="0" w:color="auto"/>
        <w:bottom w:val="none" w:sz="0" w:space="0" w:color="auto"/>
        <w:right w:val="none" w:sz="0" w:space="0" w:color="auto"/>
      </w:divBdr>
    </w:div>
    <w:div w:id="1661158280">
      <w:bodyDiv w:val="1"/>
      <w:marLeft w:val="0"/>
      <w:marRight w:val="0"/>
      <w:marTop w:val="0"/>
      <w:marBottom w:val="0"/>
      <w:divBdr>
        <w:top w:val="none" w:sz="0" w:space="0" w:color="auto"/>
        <w:left w:val="none" w:sz="0" w:space="0" w:color="auto"/>
        <w:bottom w:val="none" w:sz="0" w:space="0" w:color="auto"/>
        <w:right w:val="none" w:sz="0" w:space="0" w:color="auto"/>
      </w:divBdr>
    </w:div>
    <w:div w:id="1663117301">
      <w:bodyDiv w:val="1"/>
      <w:marLeft w:val="0"/>
      <w:marRight w:val="0"/>
      <w:marTop w:val="0"/>
      <w:marBottom w:val="0"/>
      <w:divBdr>
        <w:top w:val="none" w:sz="0" w:space="0" w:color="auto"/>
        <w:left w:val="none" w:sz="0" w:space="0" w:color="auto"/>
        <w:bottom w:val="none" w:sz="0" w:space="0" w:color="auto"/>
        <w:right w:val="none" w:sz="0" w:space="0" w:color="auto"/>
      </w:divBdr>
    </w:div>
    <w:div w:id="1664506136">
      <w:bodyDiv w:val="1"/>
      <w:marLeft w:val="0"/>
      <w:marRight w:val="0"/>
      <w:marTop w:val="0"/>
      <w:marBottom w:val="0"/>
      <w:divBdr>
        <w:top w:val="none" w:sz="0" w:space="0" w:color="auto"/>
        <w:left w:val="none" w:sz="0" w:space="0" w:color="auto"/>
        <w:bottom w:val="none" w:sz="0" w:space="0" w:color="auto"/>
        <w:right w:val="none" w:sz="0" w:space="0" w:color="auto"/>
      </w:divBdr>
    </w:div>
    <w:div w:id="1838576186">
      <w:bodyDiv w:val="1"/>
      <w:marLeft w:val="0"/>
      <w:marRight w:val="0"/>
      <w:marTop w:val="0"/>
      <w:marBottom w:val="0"/>
      <w:divBdr>
        <w:top w:val="none" w:sz="0" w:space="0" w:color="auto"/>
        <w:left w:val="none" w:sz="0" w:space="0" w:color="auto"/>
        <w:bottom w:val="none" w:sz="0" w:space="0" w:color="auto"/>
        <w:right w:val="none" w:sz="0" w:space="0" w:color="auto"/>
      </w:divBdr>
    </w:div>
    <w:div w:id="1892689365">
      <w:bodyDiv w:val="1"/>
      <w:marLeft w:val="0"/>
      <w:marRight w:val="0"/>
      <w:marTop w:val="0"/>
      <w:marBottom w:val="0"/>
      <w:divBdr>
        <w:top w:val="none" w:sz="0" w:space="0" w:color="auto"/>
        <w:left w:val="none" w:sz="0" w:space="0" w:color="auto"/>
        <w:bottom w:val="none" w:sz="0" w:space="0" w:color="auto"/>
        <w:right w:val="none" w:sz="0" w:space="0" w:color="auto"/>
      </w:divBdr>
      <w:divsChild>
        <w:div w:id="9916411">
          <w:marLeft w:val="0"/>
          <w:marRight w:val="0"/>
          <w:marTop w:val="0"/>
          <w:marBottom w:val="0"/>
          <w:divBdr>
            <w:top w:val="none" w:sz="0" w:space="0" w:color="auto"/>
            <w:left w:val="none" w:sz="0" w:space="0" w:color="auto"/>
            <w:bottom w:val="none" w:sz="0" w:space="0" w:color="auto"/>
            <w:right w:val="none" w:sz="0" w:space="0" w:color="auto"/>
          </w:divBdr>
          <w:divsChild>
            <w:div w:id="332949875">
              <w:marLeft w:val="0"/>
              <w:marRight w:val="0"/>
              <w:marTop w:val="0"/>
              <w:marBottom w:val="0"/>
              <w:divBdr>
                <w:top w:val="none" w:sz="0" w:space="0" w:color="auto"/>
                <w:left w:val="none" w:sz="0" w:space="0" w:color="auto"/>
                <w:bottom w:val="none" w:sz="0" w:space="0" w:color="auto"/>
                <w:right w:val="none" w:sz="0" w:space="0" w:color="auto"/>
              </w:divBdr>
            </w:div>
          </w:divsChild>
        </w:div>
        <w:div w:id="68045130">
          <w:marLeft w:val="0"/>
          <w:marRight w:val="0"/>
          <w:marTop w:val="0"/>
          <w:marBottom w:val="0"/>
          <w:divBdr>
            <w:top w:val="none" w:sz="0" w:space="0" w:color="auto"/>
            <w:left w:val="none" w:sz="0" w:space="0" w:color="auto"/>
            <w:bottom w:val="none" w:sz="0" w:space="0" w:color="auto"/>
            <w:right w:val="none" w:sz="0" w:space="0" w:color="auto"/>
          </w:divBdr>
          <w:divsChild>
            <w:div w:id="96099550">
              <w:marLeft w:val="0"/>
              <w:marRight w:val="0"/>
              <w:marTop w:val="0"/>
              <w:marBottom w:val="0"/>
              <w:divBdr>
                <w:top w:val="none" w:sz="0" w:space="0" w:color="auto"/>
                <w:left w:val="none" w:sz="0" w:space="0" w:color="auto"/>
                <w:bottom w:val="none" w:sz="0" w:space="0" w:color="auto"/>
                <w:right w:val="none" w:sz="0" w:space="0" w:color="auto"/>
              </w:divBdr>
            </w:div>
            <w:div w:id="1079786871">
              <w:marLeft w:val="0"/>
              <w:marRight w:val="0"/>
              <w:marTop w:val="0"/>
              <w:marBottom w:val="0"/>
              <w:divBdr>
                <w:top w:val="none" w:sz="0" w:space="0" w:color="auto"/>
                <w:left w:val="none" w:sz="0" w:space="0" w:color="auto"/>
                <w:bottom w:val="none" w:sz="0" w:space="0" w:color="auto"/>
                <w:right w:val="none" w:sz="0" w:space="0" w:color="auto"/>
              </w:divBdr>
            </w:div>
            <w:div w:id="1379083139">
              <w:marLeft w:val="0"/>
              <w:marRight w:val="0"/>
              <w:marTop w:val="0"/>
              <w:marBottom w:val="0"/>
              <w:divBdr>
                <w:top w:val="none" w:sz="0" w:space="0" w:color="auto"/>
                <w:left w:val="none" w:sz="0" w:space="0" w:color="auto"/>
                <w:bottom w:val="none" w:sz="0" w:space="0" w:color="auto"/>
                <w:right w:val="none" w:sz="0" w:space="0" w:color="auto"/>
              </w:divBdr>
            </w:div>
            <w:div w:id="2030065547">
              <w:marLeft w:val="0"/>
              <w:marRight w:val="0"/>
              <w:marTop w:val="0"/>
              <w:marBottom w:val="0"/>
              <w:divBdr>
                <w:top w:val="none" w:sz="0" w:space="0" w:color="auto"/>
                <w:left w:val="none" w:sz="0" w:space="0" w:color="auto"/>
                <w:bottom w:val="none" w:sz="0" w:space="0" w:color="auto"/>
                <w:right w:val="none" w:sz="0" w:space="0" w:color="auto"/>
              </w:divBdr>
            </w:div>
          </w:divsChild>
        </w:div>
        <w:div w:id="87389177">
          <w:marLeft w:val="0"/>
          <w:marRight w:val="0"/>
          <w:marTop w:val="0"/>
          <w:marBottom w:val="0"/>
          <w:divBdr>
            <w:top w:val="none" w:sz="0" w:space="0" w:color="auto"/>
            <w:left w:val="none" w:sz="0" w:space="0" w:color="auto"/>
            <w:bottom w:val="none" w:sz="0" w:space="0" w:color="auto"/>
            <w:right w:val="none" w:sz="0" w:space="0" w:color="auto"/>
          </w:divBdr>
        </w:div>
        <w:div w:id="107749375">
          <w:marLeft w:val="0"/>
          <w:marRight w:val="0"/>
          <w:marTop w:val="0"/>
          <w:marBottom w:val="0"/>
          <w:divBdr>
            <w:top w:val="none" w:sz="0" w:space="0" w:color="auto"/>
            <w:left w:val="none" w:sz="0" w:space="0" w:color="auto"/>
            <w:bottom w:val="none" w:sz="0" w:space="0" w:color="auto"/>
            <w:right w:val="none" w:sz="0" w:space="0" w:color="auto"/>
          </w:divBdr>
        </w:div>
        <w:div w:id="118380828">
          <w:marLeft w:val="0"/>
          <w:marRight w:val="0"/>
          <w:marTop w:val="0"/>
          <w:marBottom w:val="0"/>
          <w:divBdr>
            <w:top w:val="none" w:sz="0" w:space="0" w:color="auto"/>
            <w:left w:val="none" w:sz="0" w:space="0" w:color="auto"/>
            <w:bottom w:val="none" w:sz="0" w:space="0" w:color="auto"/>
            <w:right w:val="none" w:sz="0" w:space="0" w:color="auto"/>
          </w:divBdr>
        </w:div>
        <w:div w:id="120611123">
          <w:marLeft w:val="0"/>
          <w:marRight w:val="0"/>
          <w:marTop w:val="0"/>
          <w:marBottom w:val="0"/>
          <w:divBdr>
            <w:top w:val="none" w:sz="0" w:space="0" w:color="auto"/>
            <w:left w:val="none" w:sz="0" w:space="0" w:color="auto"/>
            <w:bottom w:val="none" w:sz="0" w:space="0" w:color="auto"/>
            <w:right w:val="none" w:sz="0" w:space="0" w:color="auto"/>
          </w:divBdr>
        </w:div>
        <w:div w:id="137259575">
          <w:marLeft w:val="0"/>
          <w:marRight w:val="0"/>
          <w:marTop w:val="0"/>
          <w:marBottom w:val="0"/>
          <w:divBdr>
            <w:top w:val="none" w:sz="0" w:space="0" w:color="auto"/>
            <w:left w:val="none" w:sz="0" w:space="0" w:color="auto"/>
            <w:bottom w:val="none" w:sz="0" w:space="0" w:color="auto"/>
            <w:right w:val="none" w:sz="0" w:space="0" w:color="auto"/>
          </w:divBdr>
        </w:div>
        <w:div w:id="141511134">
          <w:marLeft w:val="0"/>
          <w:marRight w:val="0"/>
          <w:marTop w:val="0"/>
          <w:marBottom w:val="0"/>
          <w:divBdr>
            <w:top w:val="none" w:sz="0" w:space="0" w:color="auto"/>
            <w:left w:val="none" w:sz="0" w:space="0" w:color="auto"/>
            <w:bottom w:val="none" w:sz="0" w:space="0" w:color="auto"/>
            <w:right w:val="none" w:sz="0" w:space="0" w:color="auto"/>
          </w:divBdr>
          <w:divsChild>
            <w:div w:id="1485316325">
              <w:marLeft w:val="0"/>
              <w:marRight w:val="0"/>
              <w:marTop w:val="0"/>
              <w:marBottom w:val="0"/>
              <w:divBdr>
                <w:top w:val="none" w:sz="0" w:space="0" w:color="auto"/>
                <w:left w:val="none" w:sz="0" w:space="0" w:color="auto"/>
                <w:bottom w:val="none" w:sz="0" w:space="0" w:color="auto"/>
                <w:right w:val="none" w:sz="0" w:space="0" w:color="auto"/>
              </w:divBdr>
            </w:div>
          </w:divsChild>
        </w:div>
        <w:div w:id="149293180">
          <w:marLeft w:val="0"/>
          <w:marRight w:val="0"/>
          <w:marTop w:val="0"/>
          <w:marBottom w:val="0"/>
          <w:divBdr>
            <w:top w:val="none" w:sz="0" w:space="0" w:color="auto"/>
            <w:left w:val="none" w:sz="0" w:space="0" w:color="auto"/>
            <w:bottom w:val="none" w:sz="0" w:space="0" w:color="auto"/>
            <w:right w:val="none" w:sz="0" w:space="0" w:color="auto"/>
          </w:divBdr>
        </w:div>
        <w:div w:id="155532501">
          <w:marLeft w:val="0"/>
          <w:marRight w:val="0"/>
          <w:marTop w:val="0"/>
          <w:marBottom w:val="0"/>
          <w:divBdr>
            <w:top w:val="none" w:sz="0" w:space="0" w:color="auto"/>
            <w:left w:val="none" w:sz="0" w:space="0" w:color="auto"/>
            <w:bottom w:val="none" w:sz="0" w:space="0" w:color="auto"/>
            <w:right w:val="none" w:sz="0" w:space="0" w:color="auto"/>
          </w:divBdr>
        </w:div>
        <w:div w:id="165827793">
          <w:marLeft w:val="0"/>
          <w:marRight w:val="0"/>
          <w:marTop w:val="0"/>
          <w:marBottom w:val="0"/>
          <w:divBdr>
            <w:top w:val="none" w:sz="0" w:space="0" w:color="auto"/>
            <w:left w:val="none" w:sz="0" w:space="0" w:color="auto"/>
            <w:bottom w:val="none" w:sz="0" w:space="0" w:color="auto"/>
            <w:right w:val="none" w:sz="0" w:space="0" w:color="auto"/>
          </w:divBdr>
        </w:div>
        <w:div w:id="224873630">
          <w:marLeft w:val="0"/>
          <w:marRight w:val="0"/>
          <w:marTop w:val="0"/>
          <w:marBottom w:val="0"/>
          <w:divBdr>
            <w:top w:val="none" w:sz="0" w:space="0" w:color="auto"/>
            <w:left w:val="none" w:sz="0" w:space="0" w:color="auto"/>
            <w:bottom w:val="none" w:sz="0" w:space="0" w:color="auto"/>
            <w:right w:val="none" w:sz="0" w:space="0" w:color="auto"/>
          </w:divBdr>
        </w:div>
        <w:div w:id="231700899">
          <w:marLeft w:val="0"/>
          <w:marRight w:val="0"/>
          <w:marTop w:val="0"/>
          <w:marBottom w:val="0"/>
          <w:divBdr>
            <w:top w:val="none" w:sz="0" w:space="0" w:color="auto"/>
            <w:left w:val="none" w:sz="0" w:space="0" w:color="auto"/>
            <w:bottom w:val="none" w:sz="0" w:space="0" w:color="auto"/>
            <w:right w:val="none" w:sz="0" w:space="0" w:color="auto"/>
          </w:divBdr>
          <w:divsChild>
            <w:div w:id="108285199">
              <w:marLeft w:val="0"/>
              <w:marRight w:val="0"/>
              <w:marTop w:val="0"/>
              <w:marBottom w:val="0"/>
              <w:divBdr>
                <w:top w:val="none" w:sz="0" w:space="0" w:color="auto"/>
                <w:left w:val="none" w:sz="0" w:space="0" w:color="auto"/>
                <w:bottom w:val="none" w:sz="0" w:space="0" w:color="auto"/>
                <w:right w:val="none" w:sz="0" w:space="0" w:color="auto"/>
              </w:divBdr>
            </w:div>
            <w:div w:id="243759286">
              <w:marLeft w:val="0"/>
              <w:marRight w:val="0"/>
              <w:marTop w:val="0"/>
              <w:marBottom w:val="0"/>
              <w:divBdr>
                <w:top w:val="none" w:sz="0" w:space="0" w:color="auto"/>
                <w:left w:val="none" w:sz="0" w:space="0" w:color="auto"/>
                <w:bottom w:val="none" w:sz="0" w:space="0" w:color="auto"/>
                <w:right w:val="none" w:sz="0" w:space="0" w:color="auto"/>
              </w:divBdr>
            </w:div>
            <w:div w:id="1048532163">
              <w:marLeft w:val="0"/>
              <w:marRight w:val="0"/>
              <w:marTop w:val="0"/>
              <w:marBottom w:val="0"/>
              <w:divBdr>
                <w:top w:val="none" w:sz="0" w:space="0" w:color="auto"/>
                <w:left w:val="none" w:sz="0" w:space="0" w:color="auto"/>
                <w:bottom w:val="none" w:sz="0" w:space="0" w:color="auto"/>
                <w:right w:val="none" w:sz="0" w:space="0" w:color="auto"/>
              </w:divBdr>
            </w:div>
          </w:divsChild>
        </w:div>
        <w:div w:id="234121816">
          <w:marLeft w:val="0"/>
          <w:marRight w:val="0"/>
          <w:marTop w:val="0"/>
          <w:marBottom w:val="0"/>
          <w:divBdr>
            <w:top w:val="none" w:sz="0" w:space="0" w:color="auto"/>
            <w:left w:val="none" w:sz="0" w:space="0" w:color="auto"/>
            <w:bottom w:val="none" w:sz="0" w:space="0" w:color="auto"/>
            <w:right w:val="none" w:sz="0" w:space="0" w:color="auto"/>
          </w:divBdr>
        </w:div>
        <w:div w:id="247347220">
          <w:marLeft w:val="0"/>
          <w:marRight w:val="0"/>
          <w:marTop w:val="0"/>
          <w:marBottom w:val="0"/>
          <w:divBdr>
            <w:top w:val="none" w:sz="0" w:space="0" w:color="auto"/>
            <w:left w:val="none" w:sz="0" w:space="0" w:color="auto"/>
            <w:bottom w:val="none" w:sz="0" w:space="0" w:color="auto"/>
            <w:right w:val="none" w:sz="0" w:space="0" w:color="auto"/>
          </w:divBdr>
        </w:div>
        <w:div w:id="252082467">
          <w:marLeft w:val="0"/>
          <w:marRight w:val="0"/>
          <w:marTop w:val="0"/>
          <w:marBottom w:val="0"/>
          <w:divBdr>
            <w:top w:val="none" w:sz="0" w:space="0" w:color="auto"/>
            <w:left w:val="none" w:sz="0" w:space="0" w:color="auto"/>
            <w:bottom w:val="none" w:sz="0" w:space="0" w:color="auto"/>
            <w:right w:val="none" w:sz="0" w:space="0" w:color="auto"/>
          </w:divBdr>
          <w:divsChild>
            <w:div w:id="924189757">
              <w:marLeft w:val="0"/>
              <w:marRight w:val="0"/>
              <w:marTop w:val="30"/>
              <w:marBottom w:val="30"/>
              <w:divBdr>
                <w:top w:val="none" w:sz="0" w:space="0" w:color="auto"/>
                <w:left w:val="none" w:sz="0" w:space="0" w:color="auto"/>
                <w:bottom w:val="none" w:sz="0" w:space="0" w:color="auto"/>
                <w:right w:val="none" w:sz="0" w:space="0" w:color="auto"/>
              </w:divBdr>
              <w:divsChild>
                <w:div w:id="504633357">
                  <w:marLeft w:val="0"/>
                  <w:marRight w:val="0"/>
                  <w:marTop w:val="0"/>
                  <w:marBottom w:val="0"/>
                  <w:divBdr>
                    <w:top w:val="none" w:sz="0" w:space="0" w:color="auto"/>
                    <w:left w:val="none" w:sz="0" w:space="0" w:color="auto"/>
                    <w:bottom w:val="none" w:sz="0" w:space="0" w:color="auto"/>
                    <w:right w:val="none" w:sz="0" w:space="0" w:color="auto"/>
                  </w:divBdr>
                  <w:divsChild>
                    <w:div w:id="1740134556">
                      <w:marLeft w:val="0"/>
                      <w:marRight w:val="0"/>
                      <w:marTop w:val="0"/>
                      <w:marBottom w:val="0"/>
                      <w:divBdr>
                        <w:top w:val="none" w:sz="0" w:space="0" w:color="auto"/>
                        <w:left w:val="none" w:sz="0" w:space="0" w:color="auto"/>
                        <w:bottom w:val="none" w:sz="0" w:space="0" w:color="auto"/>
                        <w:right w:val="none" w:sz="0" w:space="0" w:color="auto"/>
                      </w:divBdr>
                    </w:div>
                    <w:div w:id="2113474719">
                      <w:marLeft w:val="0"/>
                      <w:marRight w:val="0"/>
                      <w:marTop w:val="0"/>
                      <w:marBottom w:val="0"/>
                      <w:divBdr>
                        <w:top w:val="none" w:sz="0" w:space="0" w:color="auto"/>
                        <w:left w:val="none" w:sz="0" w:space="0" w:color="auto"/>
                        <w:bottom w:val="none" w:sz="0" w:space="0" w:color="auto"/>
                        <w:right w:val="none" w:sz="0" w:space="0" w:color="auto"/>
                      </w:divBdr>
                    </w:div>
                  </w:divsChild>
                </w:div>
                <w:div w:id="951324264">
                  <w:marLeft w:val="0"/>
                  <w:marRight w:val="0"/>
                  <w:marTop w:val="0"/>
                  <w:marBottom w:val="0"/>
                  <w:divBdr>
                    <w:top w:val="none" w:sz="0" w:space="0" w:color="auto"/>
                    <w:left w:val="none" w:sz="0" w:space="0" w:color="auto"/>
                    <w:bottom w:val="none" w:sz="0" w:space="0" w:color="auto"/>
                    <w:right w:val="none" w:sz="0" w:space="0" w:color="auto"/>
                  </w:divBdr>
                  <w:divsChild>
                    <w:div w:id="8719155">
                      <w:marLeft w:val="0"/>
                      <w:marRight w:val="0"/>
                      <w:marTop w:val="0"/>
                      <w:marBottom w:val="0"/>
                      <w:divBdr>
                        <w:top w:val="none" w:sz="0" w:space="0" w:color="auto"/>
                        <w:left w:val="none" w:sz="0" w:space="0" w:color="auto"/>
                        <w:bottom w:val="none" w:sz="0" w:space="0" w:color="auto"/>
                        <w:right w:val="none" w:sz="0" w:space="0" w:color="auto"/>
                      </w:divBdr>
                    </w:div>
                    <w:div w:id="589391769">
                      <w:marLeft w:val="0"/>
                      <w:marRight w:val="0"/>
                      <w:marTop w:val="0"/>
                      <w:marBottom w:val="0"/>
                      <w:divBdr>
                        <w:top w:val="none" w:sz="0" w:space="0" w:color="auto"/>
                        <w:left w:val="none" w:sz="0" w:space="0" w:color="auto"/>
                        <w:bottom w:val="none" w:sz="0" w:space="0" w:color="auto"/>
                        <w:right w:val="none" w:sz="0" w:space="0" w:color="auto"/>
                      </w:divBdr>
                    </w:div>
                    <w:div w:id="922450306">
                      <w:marLeft w:val="0"/>
                      <w:marRight w:val="0"/>
                      <w:marTop w:val="0"/>
                      <w:marBottom w:val="0"/>
                      <w:divBdr>
                        <w:top w:val="none" w:sz="0" w:space="0" w:color="auto"/>
                        <w:left w:val="none" w:sz="0" w:space="0" w:color="auto"/>
                        <w:bottom w:val="none" w:sz="0" w:space="0" w:color="auto"/>
                        <w:right w:val="none" w:sz="0" w:space="0" w:color="auto"/>
                      </w:divBdr>
                    </w:div>
                    <w:div w:id="2125272974">
                      <w:marLeft w:val="0"/>
                      <w:marRight w:val="0"/>
                      <w:marTop w:val="0"/>
                      <w:marBottom w:val="0"/>
                      <w:divBdr>
                        <w:top w:val="none" w:sz="0" w:space="0" w:color="auto"/>
                        <w:left w:val="none" w:sz="0" w:space="0" w:color="auto"/>
                        <w:bottom w:val="none" w:sz="0" w:space="0" w:color="auto"/>
                        <w:right w:val="none" w:sz="0" w:space="0" w:color="auto"/>
                      </w:divBdr>
                    </w:div>
                  </w:divsChild>
                </w:div>
                <w:div w:id="1215579229">
                  <w:marLeft w:val="0"/>
                  <w:marRight w:val="0"/>
                  <w:marTop w:val="0"/>
                  <w:marBottom w:val="0"/>
                  <w:divBdr>
                    <w:top w:val="none" w:sz="0" w:space="0" w:color="auto"/>
                    <w:left w:val="none" w:sz="0" w:space="0" w:color="auto"/>
                    <w:bottom w:val="none" w:sz="0" w:space="0" w:color="auto"/>
                    <w:right w:val="none" w:sz="0" w:space="0" w:color="auto"/>
                  </w:divBdr>
                  <w:divsChild>
                    <w:div w:id="993069619">
                      <w:marLeft w:val="0"/>
                      <w:marRight w:val="0"/>
                      <w:marTop w:val="0"/>
                      <w:marBottom w:val="0"/>
                      <w:divBdr>
                        <w:top w:val="none" w:sz="0" w:space="0" w:color="auto"/>
                        <w:left w:val="none" w:sz="0" w:space="0" w:color="auto"/>
                        <w:bottom w:val="none" w:sz="0" w:space="0" w:color="auto"/>
                        <w:right w:val="none" w:sz="0" w:space="0" w:color="auto"/>
                      </w:divBdr>
                    </w:div>
                  </w:divsChild>
                </w:div>
                <w:div w:id="1424106799">
                  <w:marLeft w:val="0"/>
                  <w:marRight w:val="0"/>
                  <w:marTop w:val="0"/>
                  <w:marBottom w:val="0"/>
                  <w:divBdr>
                    <w:top w:val="none" w:sz="0" w:space="0" w:color="auto"/>
                    <w:left w:val="none" w:sz="0" w:space="0" w:color="auto"/>
                    <w:bottom w:val="none" w:sz="0" w:space="0" w:color="auto"/>
                    <w:right w:val="none" w:sz="0" w:space="0" w:color="auto"/>
                  </w:divBdr>
                  <w:divsChild>
                    <w:div w:id="1563443470">
                      <w:marLeft w:val="0"/>
                      <w:marRight w:val="0"/>
                      <w:marTop w:val="0"/>
                      <w:marBottom w:val="0"/>
                      <w:divBdr>
                        <w:top w:val="none" w:sz="0" w:space="0" w:color="auto"/>
                        <w:left w:val="none" w:sz="0" w:space="0" w:color="auto"/>
                        <w:bottom w:val="none" w:sz="0" w:space="0" w:color="auto"/>
                        <w:right w:val="none" w:sz="0" w:space="0" w:color="auto"/>
                      </w:divBdr>
                    </w:div>
                  </w:divsChild>
                </w:div>
                <w:div w:id="1628970127">
                  <w:marLeft w:val="0"/>
                  <w:marRight w:val="0"/>
                  <w:marTop w:val="0"/>
                  <w:marBottom w:val="0"/>
                  <w:divBdr>
                    <w:top w:val="none" w:sz="0" w:space="0" w:color="auto"/>
                    <w:left w:val="none" w:sz="0" w:space="0" w:color="auto"/>
                    <w:bottom w:val="none" w:sz="0" w:space="0" w:color="auto"/>
                    <w:right w:val="none" w:sz="0" w:space="0" w:color="auto"/>
                  </w:divBdr>
                  <w:divsChild>
                    <w:div w:id="775296204">
                      <w:marLeft w:val="0"/>
                      <w:marRight w:val="0"/>
                      <w:marTop w:val="0"/>
                      <w:marBottom w:val="0"/>
                      <w:divBdr>
                        <w:top w:val="none" w:sz="0" w:space="0" w:color="auto"/>
                        <w:left w:val="none" w:sz="0" w:space="0" w:color="auto"/>
                        <w:bottom w:val="none" w:sz="0" w:space="0" w:color="auto"/>
                        <w:right w:val="none" w:sz="0" w:space="0" w:color="auto"/>
                      </w:divBdr>
                    </w:div>
                  </w:divsChild>
                </w:div>
                <w:div w:id="1820069454">
                  <w:marLeft w:val="0"/>
                  <w:marRight w:val="0"/>
                  <w:marTop w:val="0"/>
                  <w:marBottom w:val="0"/>
                  <w:divBdr>
                    <w:top w:val="none" w:sz="0" w:space="0" w:color="auto"/>
                    <w:left w:val="none" w:sz="0" w:space="0" w:color="auto"/>
                    <w:bottom w:val="none" w:sz="0" w:space="0" w:color="auto"/>
                    <w:right w:val="none" w:sz="0" w:space="0" w:color="auto"/>
                  </w:divBdr>
                  <w:divsChild>
                    <w:div w:id="989014489">
                      <w:marLeft w:val="0"/>
                      <w:marRight w:val="0"/>
                      <w:marTop w:val="0"/>
                      <w:marBottom w:val="0"/>
                      <w:divBdr>
                        <w:top w:val="none" w:sz="0" w:space="0" w:color="auto"/>
                        <w:left w:val="none" w:sz="0" w:space="0" w:color="auto"/>
                        <w:bottom w:val="none" w:sz="0" w:space="0" w:color="auto"/>
                        <w:right w:val="none" w:sz="0" w:space="0" w:color="auto"/>
                      </w:divBdr>
                    </w:div>
                  </w:divsChild>
                </w:div>
                <w:div w:id="1931618782">
                  <w:marLeft w:val="0"/>
                  <w:marRight w:val="0"/>
                  <w:marTop w:val="0"/>
                  <w:marBottom w:val="0"/>
                  <w:divBdr>
                    <w:top w:val="none" w:sz="0" w:space="0" w:color="auto"/>
                    <w:left w:val="none" w:sz="0" w:space="0" w:color="auto"/>
                    <w:bottom w:val="none" w:sz="0" w:space="0" w:color="auto"/>
                    <w:right w:val="none" w:sz="0" w:space="0" w:color="auto"/>
                  </w:divBdr>
                  <w:divsChild>
                    <w:div w:id="217937618">
                      <w:marLeft w:val="0"/>
                      <w:marRight w:val="0"/>
                      <w:marTop w:val="0"/>
                      <w:marBottom w:val="0"/>
                      <w:divBdr>
                        <w:top w:val="none" w:sz="0" w:space="0" w:color="auto"/>
                        <w:left w:val="none" w:sz="0" w:space="0" w:color="auto"/>
                        <w:bottom w:val="none" w:sz="0" w:space="0" w:color="auto"/>
                        <w:right w:val="none" w:sz="0" w:space="0" w:color="auto"/>
                      </w:divBdr>
                    </w:div>
                  </w:divsChild>
                </w:div>
                <w:div w:id="2113357471">
                  <w:marLeft w:val="0"/>
                  <w:marRight w:val="0"/>
                  <w:marTop w:val="0"/>
                  <w:marBottom w:val="0"/>
                  <w:divBdr>
                    <w:top w:val="none" w:sz="0" w:space="0" w:color="auto"/>
                    <w:left w:val="none" w:sz="0" w:space="0" w:color="auto"/>
                    <w:bottom w:val="none" w:sz="0" w:space="0" w:color="auto"/>
                    <w:right w:val="none" w:sz="0" w:space="0" w:color="auto"/>
                  </w:divBdr>
                  <w:divsChild>
                    <w:div w:id="2105758048">
                      <w:marLeft w:val="0"/>
                      <w:marRight w:val="0"/>
                      <w:marTop w:val="0"/>
                      <w:marBottom w:val="0"/>
                      <w:divBdr>
                        <w:top w:val="none" w:sz="0" w:space="0" w:color="auto"/>
                        <w:left w:val="none" w:sz="0" w:space="0" w:color="auto"/>
                        <w:bottom w:val="none" w:sz="0" w:space="0" w:color="auto"/>
                        <w:right w:val="none" w:sz="0" w:space="0" w:color="auto"/>
                      </w:divBdr>
                    </w:div>
                  </w:divsChild>
                </w:div>
                <w:div w:id="2125994576">
                  <w:marLeft w:val="0"/>
                  <w:marRight w:val="0"/>
                  <w:marTop w:val="0"/>
                  <w:marBottom w:val="0"/>
                  <w:divBdr>
                    <w:top w:val="none" w:sz="0" w:space="0" w:color="auto"/>
                    <w:left w:val="none" w:sz="0" w:space="0" w:color="auto"/>
                    <w:bottom w:val="none" w:sz="0" w:space="0" w:color="auto"/>
                    <w:right w:val="none" w:sz="0" w:space="0" w:color="auto"/>
                  </w:divBdr>
                  <w:divsChild>
                    <w:div w:id="6423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4469">
          <w:marLeft w:val="0"/>
          <w:marRight w:val="0"/>
          <w:marTop w:val="0"/>
          <w:marBottom w:val="0"/>
          <w:divBdr>
            <w:top w:val="none" w:sz="0" w:space="0" w:color="auto"/>
            <w:left w:val="none" w:sz="0" w:space="0" w:color="auto"/>
            <w:bottom w:val="none" w:sz="0" w:space="0" w:color="auto"/>
            <w:right w:val="none" w:sz="0" w:space="0" w:color="auto"/>
          </w:divBdr>
        </w:div>
        <w:div w:id="272596031">
          <w:marLeft w:val="0"/>
          <w:marRight w:val="0"/>
          <w:marTop w:val="0"/>
          <w:marBottom w:val="0"/>
          <w:divBdr>
            <w:top w:val="none" w:sz="0" w:space="0" w:color="auto"/>
            <w:left w:val="none" w:sz="0" w:space="0" w:color="auto"/>
            <w:bottom w:val="none" w:sz="0" w:space="0" w:color="auto"/>
            <w:right w:val="none" w:sz="0" w:space="0" w:color="auto"/>
          </w:divBdr>
          <w:divsChild>
            <w:div w:id="327754854">
              <w:marLeft w:val="0"/>
              <w:marRight w:val="0"/>
              <w:marTop w:val="0"/>
              <w:marBottom w:val="0"/>
              <w:divBdr>
                <w:top w:val="none" w:sz="0" w:space="0" w:color="auto"/>
                <w:left w:val="none" w:sz="0" w:space="0" w:color="auto"/>
                <w:bottom w:val="none" w:sz="0" w:space="0" w:color="auto"/>
                <w:right w:val="none" w:sz="0" w:space="0" w:color="auto"/>
              </w:divBdr>
            </w:div>
            <w:div w:id="736559956">
              <w:marLeft w:val="0"/>
              <w:marRight w:val="0"/>
              <w:marTop w:val="0"/>
              <w:marBottom w:val="0"/>
              <w:divBdr>
                <w:top w:val="none" w:sz="0" w:space="0" w:color="auto"/>
                <w:left w:val="none" w:sz="0" w:space="0" w:color="auto"/>
                <w:bottom w:val="none" w:sz="0" w:space="0" w:color="auto"/>
                <w:right w:val="none" w:sz="0" w:space="0" w:color="auto"/>
              </w:divBdr>
            </w:div>
            <w:div w:id="1309748405">
              <w:marLeft w:val="0"/>
              <w:marRight w:val="0"/>
              <w:marTop w:val="0"/>
              <w:marBottom w:val="0"/>
              <w:divBdr>
                <w:top w:val="none" w:sz="0" w:space="0" w:color="auto"/>
                <w:left w:val="none" w:sz="0" w:space="0" w:color="auto"/>
                <w:bottom w:val="none" w:sz="0" w:space="0" w:color="auto"/>
                <w:right w:val="none" w:sz="0" w:space="0" w:color="auto"/>
              </w:divBdr>
            </w:div>
            <w:div w:id="1686634560">
              <w:marLeft w:val="0"/>
              <w:marRight w:val="0"/>
              <w:marTop w:val="0"/>
              <w:marBottom w:val="0"/>
              <w:divBdr>
                <w:top w:val="none" w:sz="0" w:space="0" w:color="auto"/>
                <w:left w:val="none" w:sz="0" w:space="0" w:color="auto"/>
                <w:bottom w:val="none" w:sz="0" w:space="0" w:color="auto"/>
                <w:right w:val="none" w:sz="0" w:space="0" w:color="auto"/>
              </w:divBdr>
            </w:div>
            <w:div w:id="1938059974">
              <w:marLeft w:val="0"/>
              <w:marRight w:val="0"/>
              <w:marTop w:val="0"/>
              <w:marBottom w:val="0"/>
              <w:divBdr>
                <w:top w:val="none" w:sz="0" w:space="0" w:color="auto"/>
                <w:left w:val="none" w:sz="0" w:space="0" w:color="auto"/>
                <w:bottom w:val="none" w:sz="0" w:space="0" w:color="auto"/>
                <w:right w:val="none" w:sz="0" w:space="0" w:color="auto"/>
              </w:divBdr>
            </w:div>
          </w:divsChild>
        </w:div>
        <w:div w:id="277418853">
          <w:marLeft w:val="0"/>
          <w:marRight w:val="0"/>
          <w:marTop w:val="0"/>
          <w:marBottom w:val="0"/>
          <w:divBdr>
            <w:top w:val="none" w:sz="0" w:space="0" w:color="auto"/>
            <w:left w:val="none" w:sz="0" w:space="0" w:color="auto"/>
            <w:bottom w:val="none" w:sz="0" w:space="0" w:color="auto"/>
            <w:right w:val="none" w:sz="0" w:space="0" w:color="auto"/>
          </w:divBdr>
        </w:div>
        <w:div w:id="290330892">
          <w:marLeft w:val="0"/>
          <w:marRight w:val="0"/>
          <w:marTop w:val="0"/>
          <w:marBottom w:val="0"/>
          <w:divBdr>
            <w:top w:val="none" w:sz="0" w:space="0" w:color="auto"/>
            <w:left w:val="none" w:sz="0" w:space="0" w:color="auto"/>
            <w:bottom w:val="none" w:sz="0" w:space="0" w:color="auto"/>
            <w:right w:val="none" w:sz="0" w:space="0" w:color="auto"/>
          </w:divBdr>
          <w:divsChild>
            <w:div w:id="33972731">
              <w:marLeft w:val="0"/>
              <w:marRight w:val="0"/>
              <w:marTop w:val="0"/>
              <w:marBottom w:val="0"/>
              <w:divBdr>
                <w:top w:val="none" w:sz="0" w:space="0" w:color="auto"/>
                <w:left w:val="none" w:sz="0" w:space="0" w:color="auto"/>
                <w:bottom w:val="none" w:sz="0" w:space="0" w:color="auto"/>
                <w:right w:val="none" w:sz="0" w:space="0" w:color="auto"/>
              </w:divBdr>
            </w:div>
            <w:div w:id="483622006">
              <w:marLeft w:val="0"/>
              <w:marRight w:val="0"/>
              <w:marTop w:val="0"/>
              <w:marBottom w:val="0"/>
              <w:divBdr>
                <w:top w:val="none" w:sz="0" w:space="0" w:color="auto"/>
                <w:left w:val="none" w:sz="0" w:space="0" w:color="auto"/>
                <w:bottom w:val="none" w:sz="0" w:space="0" w:color="auto"/>
                <w:right w:val="none" w:sz="0" w:space="0" w:color="auto"/>
              </w:divBdr>
            </w:div>
            <w:div w:id="1860580626">
              <w:marLeft w:val="0"/>
              <w:marRight w:val="0"/>
              <w:marTop w:val="0"/>
              <w:marBottom w:val="0"/>
              <w:divBdr>
                <w:top w:val="none" w:sz="0" w:space="0" w:color="auto"/>
                <w:left w:val="none" w:sz="0" w:space="0" w:color="auto"/>
                <w:bottom w:val="none" w:sz="0" w:space="0" w:color="auto"/>
                <w:right w:val="none" w:sz="0" w:space="0" w:color="auto"/>
              </w:divBdr>
            </w:div>
          </w:divsChild>
        </w:div>
        <w:div w:id="309944257">
          <w:marLeft w:val="0"/>
          <w:marRight w:val="0"/>
          <w:marTop w:val="0"/>
          <w:marBottom w:val="0"/>
          <w:divBdr>
            <w:top w:val="none" w:sz="0" w:space="0" w:color="auto"/>
            <w:left w:val="none" w:sz="0" w:space="0" w:color="auto"/>
            <w:bottom w:val="none" w:sz="0" w:space="0" w:color="auto"/>
            <w:right w:val="none" w:sz="0" w:space="0" w:color="auto"/>
          </w:divBdr>
          <w:divsChild>
            <w:div w:id="989989794">
              <w:marLeft w:val="0"/>
              <w:marRight w:val="0"/>
              <w:marTop w:val="0"/>
              <w:marBottom w:val="0"/>
              <w:divBdr>
                <w:top w:val="none" w:sz="0" w:space="0" w:color="auto"/>
                <w:left w:val="none" w:sz="0" w:space="0" w:color="auto"/>
                <w:bottom w:val="none" w:sz="0" w:space="0" w:color="auto"/>
                <w:right w:val="none" w:sz="0" w:space="0" w:color="auto"/>
              </w:divBdr>
            </w:div>
            <w:div w:id="1077239835">
              <w:marLeft w:val="0"/>
              <w:marRight w:val="0"/>
              <w:marTop w:val="0"/>
              <w:marBottom w:val="0"/>
              <w:divBdr>
                <w:top w:val="none" w:sz="0" w:space="0" w:color="auto"/>
                <w:left w:val="none" w:sz="0" w:space="0" w:color="auto"/>
                <w:bottom w:val="none" w:sz="0" w:space="0" w:color="auto"/>
                <w:right w:val="none" w:sz="0" w:space="0" w:color="auto"/>
              </w:divBdr>
            </w:div>
            <w:div w:id="1281843021">
              <w:marLeft w:val="0"/>
              <w:marRight w:val="0"/>
              <w:marTop w:val="0"/>
              <w:marBottom w:val="0"/>
              <w:divBdr>
                <w:top w:val="none" w:sz="0" w:space="0" w:color="auto"/>
                <w:left w:val="none" w:sz="0" w:space="0" w:color="auto"/>
                <w:bottom w:val="none" w:sz="0" w:space="0" w:color="auto"/>
                <w:right w:val="none" w:sz="0" w:space="0" w:color="auto"/>
              </w:divBdr>
            </w:div>
          </w:divsChild>
        </w:div>
        <w:div w:id="318198373">
          <w:marLeft w:val="0"/>
          <w:marRight w:val="0"/>
          <w:marTop w:val="0"/>
          <w:marBottom w:val="0"/>
          <w:divBdr>
            <w:top w:val="none" w:sz="0" w:space="0" w:color="auto"/>
            <w:left w:val="none" w:sz="0" w:space="0" w:color="auto"/>
            <w:bottom w:val="none" w:sz="0" w:space="0" w:color="auto"/>
            <w:right w:val="none" w:sz="0" w:space="0" w:color="auto"/>
          </w:divBdr>
        </w:div>
        <w:div w:id="327293085">
          <w:marLeft w:val="0"/>
          <w:marRight w:val="0"/>
          <w:marTop w:val="0"/>
          <w:marBottom w:val="0"/>
          <w:divBdr>
            <w:top w:val="none" w:sz="0" w:space="0" w:color="auto"/>
            <w:left w:val="none" w:sz="0" w:space="0" w:color="auto"/>
            <w:bottom w:val="none" w:sz="0" w:space="0" w:color="auto"/>
            <w:right w:val="none" w:sz="0" w:space="0" w:color="auto"/>
          </w:divBdr>
        </w:div>
        <w:div w:id="344286648">
          <w:marLeft w:val="0"/>
          <w:marRight w:val="0"/>
          <w:marTop w:val="0"/>
          <w:marBottom w:val="0"/>
          <w:divBdr>
            <w:top w:val="none" w:sz="0" w:space="0" w:color="auto"/>
            <w:left w:val="none" w:sz="0" w:space="0" w:color="auto"/>
            <w:bottom w:val="none" w:sz="0" w:space="0" w:color="auto"/>
            <w:right w:val="none" w:sz="0" w:space="0" w:color="auto"/>
          </w:divBdr>
        </w:div>
        <w:div w:id="377781409">
          <w:marLeft w:val="0"/>
          <w:marRight w:val="0"/>
          <w:marTop w:val="0"/>
          <w:marBottom w:val="0"/>
          <w:divBdr>
            <w:top w:val="none" w:sz="0" w:space="0" w:color="auto"/>
            <w:left w:val="none" w:sz="0" w:space="0" w:color="auto"/>
            <w:bottom w:val="none" w:sz="0" w:space="0" w:color="auto"/>
            <w:right w:val="none" w:sz="0" w:space="0" w:color="auto"/>
          </w:divBdr>
        </w:div>
        <w:div w:id="384565838">
          <w:marLeft w:val="0"/>
          <w:marRight w:val="0"/>
          <w:marTop w:val="0"/>
          <w:marBottom w:val="0"/>
          <w:divBdr>
            <w:top w:val="none" w:sz="0" w:space="0" w:color="auto"/>
            <w:left w:val="none" w:sz="0" w:space="0" w:color="auto"/>
            <w:bottom w:val="none" w:sz="0" w:space="0" w:color="auto"/>
            <w:right w:val="none" w:sz="0" w:space="0" w:color="auto"/>
          </w:divBdr>
          <w:divsChild>
            <w:div w:id="144132185">
              <w:marLeft w:val="0"/>
              <w:marRight w:val="0"/>
              <w:marTop w:val="0"/>
              <w:marBottom w:val="0"/>
              <w:divBdr>
                <w:top w:val="none" w:sz="0" w:space="0" w:color="auto"/>
                <w:left w:val="none" w:sz="0" w:space="0" w:color="auto"/>
                <w:bottom w:val="none" w:sz="0" w:space="0" w:color="auto"/>
                <w:right w:val="none" w:sz="0" w:space="0" w:color="auto"/>
              </w:divBdr>
            </w:div>
            <w:div w:id="212231618">
              <w:marLeft w:val="0"/>
              <w:marRight w:val="0"/>
              <w:marTop w:val="0"/>
              <w:marBottom w:val="0"/>
              <w:divBdr>
                <w:top w:val="none" w:sz="0" w:space="0" w:color="auto"/>
                <w:left w:val="none" w:sz="0" w:space="0" w:color="auto"/>
                <w:bottom w:val="none" w:sz="0" w:space="0" w:color="auto"/>
                <w:right w:val="none" w:sz="0" w:space="0" w:color="auto"/>
              </w:divBdr>
            </w:div>
            <w:div w:id="342627960">
              <w:marLeft w:val="0"/>
              <w:marRight w:val="0"/>
              <w:marTop w:val="0"/>
              <w:marBottom w:val="0"/>
              <w:divBdr>
                <w:top w:val="none" w:sz="0" w:space="0" w:color="auto"/>
                <w:left w:val="none" w:sz="0" w:space="0" w:color="auto"/>
                <w:bottom w:val="none" w:sz="0" w:space="0" w:color="auto"/>
                <w:right w:val="none" w:sz="0" w:space="0" w:color="auto"/>
              </w:divBdr>
            </w:div>
            <w:div w:id="673383777">
              <w:marLeft w:val="0"/>
              <w:marRight w:val="0"/>
              <w:marTop w:val="0"/>
              <w:marBottom w:val="0"/>
              <w:divBdr>
                <w:top w:val="none" w:sz="0" w:space="0" w:color="auto"/>
                <w:left w:val="none" w:sz="0" w:space="0" w:color="auto"/>
                <w:bottom w:val="none" w:sz="0" w:space="0" w:color="auto"/>
                <w:right w:val="none" w:sz="0" w:space="0" w:color="auto"/>
              </w:divBdr>
            </w:div>
            <w:div w:id="1801218917">
              <w:marLeft w:val="0"/>
              <w:marRight w:val="0"/>
              <w:marTop w:val="0"/>
              <w:marBottom w:val="0"/>
              <w:divBdr>
                <w:top w:val="none" w:sz="0" w:space="0" w:color="auto"/>
                <w:left w:val="none" w:sz="0" w:space="0" w:color="auto"/>
                <w:bottom w:val="none" w:sz="0" w:space="0" w:color="auto"/>
                <w:right w:val="none" w:sz="0" w:space="0" w:color="auto"/>
              </w:divBdr>
            </w:div>
          </w:divsChild>
        </w:div>
        <w:div w:id="395666702">
          <w:marLeft w:val="0"/>
          <w:marRight w:val="0"/>
          <w:marTop w:val="0"/>
          <w:marBottom w:val="0"/>
          <w:divBdr>
            <w:top w:val="none" w:sz="0" w:space="0" w:color="auto"/>
            <w:left w:val="none" w:sz="0" w:space="0" w:color="auto"/>
            <w:bottom w:val="none" w:sz="0" w:space="0" w:color="auto"/>
            <w:right w:val="none" w:sz="0" w:space="0" w:color="auto"/>
          </w:divBdr>
        </w:div>
        <w:div w:id="433786874">
          <w:marLeft w:val="0"/>
          <w:marRight w:val="0"/>
          <w:marTop w:val="0"/>
          <w:marBottom w:val="0"/>
          <w:divBdr>
            <w:top w:val="none" w:sz="0" w:space="0" w:color="auto"/>
            <w:left w:val="none" w:sz="0" w:space="0" w:color="auto"/>
            <w:bottom w:val="none" w:sz="0" w:space="0" w:color="auto"/>
            <w:right w:val="none" w:sz="0" w:space="0" w:color="auto"/>
          </w:divBdr>
        </w:div>
        <w:div w:id="442504267">
          <w:marLeft w:val="0"/>
          <w:marRight w:val="0"/>
          <w:marTop w:val="0"/>
          <w:marBottom w:val="0"/>
          <w:divBdr>
            <w:top w:val="none" w:sz="0" w:space="0" w:color="auto"/>
            <w:left w:val="none" w:sz="0" w:space="0" w:color="auto"/>
            <w:bottom w:val="none" w:sz="0" w:space="0" w:color="auto"/>
            <w:right w:val="none" w:sz="0" w:space="0" w:color="auto"/>
          </w:divBdr>
        </w:div>
        <w:div w:id="485702766">
          <w:marLeft w:val="0"/>
          <w:marRight w:val="0"/>
          <w:marTop w:val="0"/>
          <w:marBottom w:val="0"/>
          <w:divBdr>
            <w:top w:val="none" w:sz="0" w:space="0" w:color="auto"/>
            <w:left w:val="none" w:sz="0" w:space="0" w:color="auto"/>
            <w:bottom w:val="none" w:sz="0" w:space="0" w:color="auto"/>
            <w:right w:val="none" w:sz="0" w:space="0" w:color="auto"/>
          </w:divBdr>
        </w:div>
        <w:div w:id="495148207">
          <w:marLeft w:val="0"/>
          <w:marRight w:val="0"/>
          <w:marTop w:val="0"/>
          <w:marBottom w:val="0"/>
          <w:divBdr>
            <w:top w:val="none" w:sz="0" w:space="0" w:color="auto"/>
            <w:left w:val="none" w:sz="0" w:space="0" w:color="auto"/>
            <w:bottom w:val="none" w:sz="0" w:space="0" w:color="auto"/>
            <w:right w:val="none" w:sz="0" w:space="0" w:color="auto"/>
          </w:divBdr>
        </w:div>
        <w:div w:id="518546320">
          <w:marLeft w:val="0"/>
          <w:marRight w:val="0"/>
          <w:marTop w:val="0"/>
          <w:marBottom w:val="0"/>
          <w:divBdr>
            <w:top w:val="none" w:sz="0" w:space="0" w:color="auto"/>
            <w:left w:val="none" w:sz="0" w:space="0" w:color="auto"/>
            <w:bottom w:val="none" w:sz="0" w:space="0" w:color="auto"/>
            <w:right w:val="none" w:sz="0" w:space="0" w:color="auto"/>
          </w:divBdr>
        </w:div>
        <w:div w:id="561797663">
          <w:marLeft w:val="0"/>
          <w:marRight w:val="0"/>
          <w:marTop w:val="0"/>
          <w:marBottom w:val="0"/>
          <w:divBdr>
            <w:top w:val="none" w:sz="0" w:space="0" w:color="auto"/>
            <w:left w:val="none" w:sz="0" w:space="0" w:color="auto"/>
            <w:bottom w:val="none" w:sz="0" w:space="0" w:color="auto"/>
            <w:right w:val="none" w:sz="0" w:space="0" w:color="auto"/>
          </w:divBdr>
          <w:divsChild>
            <w:div w:id="1025904891">
              <w:marLeft w:val="0"/>
              <w:marRight w:val="0"/>
              <w:marTop w:val="0"/>
              <w:marBottom w:val="0"/>
              <w:divBdr>
                <w:top w:val="none" w:sz="0" w:space="0" w:color="auto"/>
                <w:left w:val="none" w:sz="0" w:space="0" w:color="auto"/>
                <w:bottom w:val="none" w:sz="0" w:space="0" w:color="auto"/>
                <w:right w:val="none" w:sz="0" w:space="0" w:color="auto"/>
              </w:divBdr>
            </w:div>
            <w:div w:id="1140196490">
              <w:marLeft w:val="0"/>
              <w:marRight w:val="0"/>
              <w:marTop w:val="0"/>
              <w:marBottom w:val="0"/>
              <w:divBdr>
                <w:top w:val="none" w:sz="0" w:space="0" w:color="auto"/>
                <w:left w:val="none" w:sz="0" w:space="0" w:color="auto"/>
                <w:bottom w:val="none" w:sz="0" w:space="0" w:color="auto"/>
                <w:right w:val="none" w:sz="0" w:space="0" w:color="auto"/>
              </w:divBdr>
            </w:div>
            <w:div w:id="1703937149">
              <w:marLeft w:val="0"/>
              <w:marRight w:val="0"/>
              <w:marTop w:val="0"/>
              <w:marBottom w:val="0"/>
              <w:divBdr>
                <w:top w:val="none" w:sz="0" w:space="0" w:color="auto"/>
                <w:left w:val="none" w:sz="0" w:space="0" w:color="auto"/>
                <w:bottom w:val="none" w:sz="0" w:space="0" w:color="auto"/>
                <w:right w:val="none" w:sz="0" w:space="0" w:color="auto"/>
              </w:divBdr>
            </w:div>
            <w:div w:id="2098667210">
              <w:marLeft w:val="0"/>
              <w:marRight w:val="0"/>
              <w:marTop w:val="0"/>
              <w:marBottom w:val="0"/>
              <w:divBdr>
                <w:top w:val="none" w:sz="0" w:space="0" w:color="auto"/>
                <w:left w:val="none" w:sz="0" w:space="0" w:color="auto"/>
                <w:bottom w:val="none" w:sz="0" w:space="0" w:color="auto"/>
                <w:right w:val="none" w:sz="0" w:space="0" w:color="auto"/>
              </w:divBdr>
            </w:div>
          </w:divsChild>
        </w:div>
        <w:div w:id="595672938">
          <w:marLeft w:val="0"/>
          <w:marRight w:val="0"/>
          <w:marTop w:val="0"/>
          <w:marBottom w:val="0"/>
          <w:divBdr>
            <w:top w:val="none" w:sz="0" w:space="0" w:color="auto"/>
            <w:left w:val="none" w:sz="0" w:space="0" w:color="auto"/>
            <w:bottom w:val="none" w:sz="0" w:space="0" w:color="auto"/>
            <w:right w:val="none" w:sz="0" w:space="0" w:color="auto"/>
          </w:divBdr>
        </w:div>
        <w:div w:id="665592766">
          <w:marLeft w:val="0"/>
          <w:marRight w:val="0"/>
          <w:marTop w:val="0"/>
          <w:marBottom w:val="0"/>
          <w:divBdr>
            <w:top w:val="none" w:sz="0" w:space="0" w:color="auto"/>
            <w:left w:val="none" w:sz="0" w:space="0" w:color="auto"/>
            <w:bottom w:val="none" w:sz="0" w:space="0" w:color="auto"/>
            <w:right w:val="none" w:sz="0" w:space="0" w:color="auto"/>
          </w:divBdr>
        </w:div>
        <w:div w:id="673146584">
          <w:marLeft w:val="0"/>
          <w:marRight w:val="0"/>
          <w:marTop w:val="0"/>
          <w:marBottom w:val="0"/>
          <w:divBdr>
            <w:top w:val="none" w:sz="0" w:space="0" w:color="auto"/>
            <w:left w:val="none" w:sz="0" w:space="0" w:color="auto"/>
            <w:bottom w:val="none" w:sz="0" w:space="0" w:color="auto"/>
            <w:right w:val="none" w:sz="0" w:space="0" w:color="auto"/>
          </w:divBdr>
        </w:div>
        <w:div w:id="693186548">
          <w:marLeft w:val="0"/>
          <w:marRight w:val="0"/>
          <w:marTop w:val="0"/>
          <w:marBottom w:val="0"/>
          <w:divBdr>
            <w:top w:val="none" w:sz="0" w:space="0" w:color="auto"/>
            <w:left w:val="none" w:sz="0" w:space="0" w:color="auto"/>
            <w:bottom w:val="none" w:sz="0" w:space="0" w:color="auto"/>
            <w:right w:val="none" w:sz="0" w:space="0" w:color="auto"/>
          </w:divBdr>
        </w:div>
        <w:div w:id="732124464">
          <w:marLeft w:val="0"/>
          <w:marRight w:val="0"/>
          <w:marTop w:val="0"/>
          <w:marBottom w:val="0"/>
          <w:divBdr>
            <w:top w:val="none" w:sz="0" w:space="0" w:color="auto"/>
            <w:left w:val="none" w:sz="0" w:space="0" w:color="auto"/>
            <w:bottom w:val="none" w:sz="0" w:space="0" w:color="auto"/>
            <w:right w:val="none" w:sz="0" w:space="0" w:color="auto"/>
          </w:divBdr>
        </w:div>
        <w:div w:id="744961048">
          <w:marLeft w:val="0"/>
          <w:marRight w:val="0"/>
          <w:marTop w:val="0"/>
          <w:marBottom w:val="0"/>
          <w:divBdr>
            <w:top w:val="none" w:sz="0" w:space="0" w:color="auto"/>
            <w:left w:val="none" w:sz="0" w:space="0" w:color="auto"/>
            <w:bottom w:val="none" w:sz="0" w:space="0" w:color="auto"/>
            <w:right w:val="none" w:sz="0" w:space="0" w:color="auto"/>
          </w:divBdr>
        </w:div>
        <w:div w:id="830365469">
          <w:marLeft w:val="0"/>
          <w:marRight w:val="0"/>
          <w:marTop w:val="0"/>
          <w:marBottom w:val="0"/>
          <w:divBdr>
            <w:top w:val="none" w:sz="0" w:space="0" w:color="auto"/>
            <w:left w:val="none" w:sz="0" w:space="0" w:color="auto"/>
            <w:bottom w:val="none" w:sz="0" w:space="0" w:color="auto"/>
            <w:right w:val="none" w:sz="0" w:space="0" w:color="auto"/>
          </w:divBdr>
          <w:divsChild>
            <w:div w:id="760763896">
              <w:marLeft w:val="0"/>
              <w:marRight w:val="0"/>
              <w:marTop w:val="0"/>
              <w:marBottom w:val="0"/>
              <w:divBdr>
                <w:top w:val="none" w:sz="0" w:space="0" w:color="auto"/>
                <w:left w:val="none" w:sz="0" w:space="0" w:color="auto"/>
                <w:bottom w:val="none" w:sz="0" w:space="0" w:color="auto"/>
                <w:right w:val="none" w:sz="0" w:space="0" w:color="auto"/>
              </w:divBdr>
            </w:div>
            <w:div w:id="995765350">
              <w:marLeft w:val="0"/>
              <w:marRight w:val="0"/>
              <w:marTop w:val="0"/>
              <w:marBottom w:val="0"/>
              <w:divBdr>
                <w:top w:val="none" w:sz="0" w:space="0" w:color="auto"/>
                <w:left w:val="none" w:sz="0" w:space="0" w:color="auto"/>
                <w:bottom w:val="none" w:sz="0" w:space="0" w:color="auto"/>
                <w:right w:val="none" w:sz="0" w:space="0" w:color="auto"/>
              </w:divBdr>
            </w:div>
            <w:div w:id="1766925532">
              <w:marLeft w:val="0"/>
              <w:marRight w:val="0"/>
              <w:marTop w:val="0"/>
              <w:marBottom w:val="0"/>
              <w:divBdr>
                <w:top w:val="none" w:sz="0" w:space="0" w:color="auto"/>
                <w:left w:val="none" w:sz="0" w:space="0" w:color="auto"/>
                <w:bottom w:val="none" w:sz="0" w:space="0" w:color="auto"/>
                <w:right w:val="none" w:sz="0" w:space="0" w:color="auto"/>
              </w:divBdr>
            </w:div>
          </w:divsChild>
        </w:div>
        <w:div w:id="850340632">
          <w:marLeft w:val="0"/>
          <w:marRight w:val="0"/>
          <w:marTop w:val="0"/>
          <w:marBottom w:val="0"/>
          <w:divBdr>
            <w:top w:val="none" w:sz="0" w:space="0" w:color="auto"/>
            <w:left w:val="none" w:sz="0" w:space="0" w:color="auto"/>
            <w:bottom w:val="none" w:sz="0" w:space="0" w:color="auto"/>
            <w:right w:val="none" w:sz="0" w:space="0" w:color="auto"/>
          </w:divBdr>
          <w:divsChild>
            <w:div w:id="150878577">
              <w:marLeft w:val="0"/>
              <w:marRight w:val="0"/>
              <w:marTop w:val="0"/>
              <w:marBottom w:val="0"/>
              <w:divBdr>
                <w:top w:val="none" w:sz="0" w:space="0" w:color="auto"/>
                <w:left w:val="none" w:sz="0" w:space="0" w:color="auto"/>
                <w:bottom w:val="none" w:sz="0" w:space="0" w:color="auto"/>
                <w:right w:val="none" w:sz="0" w:space="0" w:color="auto"/>
              </w:divBdr>
            </w:div>
            <w:div w:id="163862737">
              <w:marLeft w:val="0"/>
              <w:marRight w:val="0"/>
              <w:marTop w:val="0"/>
              <w:marBottom w:val="0"/>
              <w:divBdr>
                <w:top w:val="none" w:sz="0" w:space="0" w:color="auto"/>
                <w:left w:val="none" w:sz="0" w:space="0" w:color="auto"/>
                <w:bottom w:val="none" w:sz="0" w:space="0" w:color="auto"/>
                <w:right w:val="none" w:sz="0" w:space="0" w:color="auto"/>
              </w:divBdr>
            </w:div>
            <w:div w:id="207450610">
              <w:marLeft w:val="0"/>
              <w:marRight w:val="0"/>
              <w:marTop w:val="0"/>
              <w:marBottom w:val="0"/>
              <w:divBdr>
                <w:top w:val="none" w:sz="0" w:space="0" w:color="auto"/>
                <w:left w:val="none" w:sz="0" w:space="0" w:color="auto"/>
                <w:bottom w:val="none" w:sz="0" w:space="0" w:color="auto"/>
                <w:right w:val="none" w:sz="0" w:space="0" w:color="auto"/>
              </w:divBdr>
            </w:div>
            <w:div w:id="1755084045">
              <w:marLeft w:val="0"/>
              <w:marRight w:val="0"/>
              <w:marTop w:val="0"/>
              <w:marBottom w:val="0"/>
              <w:divBdr>
                <w:top w:val="none" w:sz="0" w:space="0" w:color="auto"/>
                <w:left w:val="none" w:sz="0" w:space="0" w:color="auto"/>
                <w:bottom w:val="none" w:sz="0" w:space="0" w:color="auto"/>
                <w:right w:val="none" w:sz="0" w:space="0" w:color="auto"/>
              </w:divBdr>
            </w:div>
            <w:div w:id="1834174042">
              <w:marLeft w:val="0"/>
              <w:marRight w:val="0"/>
              <w:marTop w:val="0"/>
              <w:marBottom w:val="0"/>
              <w:divBdr>
                <w:top w:val="none" w:sz="0" w:space="0" w:color="auto"/>
                <w:left w:val="none" w:sz="0" w:space="0" w:color="auto"/>
                <w:bottom w:val="none" w:sz="0" w:space="0" w:color="auto"/>
                <w:right w:val="none" w:sz="0" w:space="0" w:color="auto"/>
              </w:divBdr>
            </w:div>
          </w:divsChild>
        </w:div>
        <w:div w:id="885412048">
          <w:marLeft w:val="0"/>
          <w:marRight w:val="0"/>
          <w:marTop w:val="0"/>
          <w:marBottom w:val="0"/>
          <w:divBdr>
            <w:top w:val="none" w:sz="0" w:space="0" w:color="auto"/>
            <w:left w:val="none" w:sz="0" w:space="0" w:color="auto"/>
            <w:bottom w:val="none" w:sz="0" w:space="0" w:color="auto"/>
            <w:right w:val="none" w:sz="0" w:space="0" w:color="auto"/>
          </w:divBdr>
        </w:div>
        <w:div w:id="903641795">
          <w:marLeft w:val="0"/>
          <w:marRight w:val="0"/>
          <w:marTop w:val="0"/>
          <w:marBottom w:val="0"/>
          <w:divBdr>
            <w:top w:val="none" w:sz="0" w:space="0" w:color="auto"/>
            <w:left w:val="none" w:sz="0" w:space="0" w:color="auto"/>
            <w:bottom w:val="none" w:sz="0" w:space="0" w:color="auto"/>
            <w:right w:val="none" w:sz="0" w:space="0" w:color="auto"/>
          </w:divBdr>
        </w:div>
        <w:div w:id="908227233">
          <w:marLeft w:val="0"/>
          <w:marRight w:val="0"/>
          <w:marTop w:val="0"/>
          <w:marBottom w:val="0"/>
          <w:divBdr>
            <w:top w:val="none" w:sz="0" w:space="0" w:color="auto"/>
            <w:left w:val="none" w:sz="0" w:space="0" w:color="auto"/>
            <w:bottom w:val="none" w:sz="0" w:space="0" w:color="auto"/>
            <w:right w:val="none" w:sz="0" w:space="0" w:color="auto"/>
          </w:divBdr>
        </w:div>
        <w:div w:id="949245932">
          <w:marLeft w:val="0"/>
          <w:marRight w:val="0"/>
          <w:marTop w:val="0"/>
          <w:marBottom w:val="0"/>
          <w:divBdr>
            <w:top w:val="none" w:sz="0" w:space="0" w:color="auto"/>
            <w:left w:val="none" w:sz="0" w:space="0" w:color="auto"/>
            <w:bottom w:val="none" w:sz="0" w:space="0" w:color="auto"/>
            <w:right w:val="none" w:sz="0" w:space="0" w:color="auto"/>
          </w:divBdr>
        </w:div>
        <w:div w:id="970675796">
          <w:marLeft w:val="0"/>
          <w:marRight w:val="0"/>
          <w:marTop w:val="0"/>
          <w:marBottom w:val="0"/>
          <w:divBdr>
            <w:top w:val="none" w:sz="0" w:space="0" w:color="auto"/>
            <w:left w:val="none" w:sz="0" w:space="0" w:color="auto"/>
            <w:bottom w:val="none" w:sz="0" w:space="0" w:color="auto"/>
            <w:right w:val="none" w:sz="0" w:space="0" w:color="auto"/>
          </w:divBdr>
        </w:div>
        <w:div w:id="980812580">
          <w:marLeft w:val="0"/>
          <w:marRight w:val="0"/>
          <w:marTop w:val="0"/>
          <w:marBottom w:val="0"/>
          <w:divBdr>
            <w:top w:val="none" w:sz="0" w:space="0" w:color="auto"/>
            <w:left w:val="none" w:sz="0" w:space="0" w:color="auto"/>
            <w:bottom w:val="none" w:sz="0" w:space="0" w:color="auto"/>
            <w:right w:val="none" w:sz="0" w:space="0" w:color="auto"/>
          </w:divBdr>
        </w:div>
        <w:div w:id="996809481">
          <w:marLeft w:val="0"/>
          <w:marRight w:val="0"/>
          <w:marTop w:val="0"/>
          <w:marBottom w:val="0"/>
          <w:divBdr>
            <w:top w:val="none" w:sz="0" w:space="0" w:color="auto"/>
            <w:left w:val="none" w:sz="0" w:space="0" w:color="auto"/>
            <w:bottom w:val="none" w:sz="0" w:space="0" w:color="auto"/>
            <w:right w:val="none" w:sz="0" w:space="0" w:color="auto"/>
          </w:divBdr>
        </w:div>
        <w:div w:id="1019043515">
          <w:marLeft w:val="0"/>
          <w:marRight w:val="0"/>
          <w:marTop w:val="0"/>
          <w:marBottom w:val="0"/>
          <w:divBdr>
            <w:top w:val="none" w:sz="0" w:space="0" w:color="auto"/>
            <w:left w:val="none" w:sz="0" w:space="0" w:color="auto"/>
            <w:bottom w:val="none" w:sz="0" w:space="0" w:color="auto"/>
            <w:right w:val="none" w:sz="0" w:space="0" w:color="auto"/>
          </w:divBdr>
        </w:div>
        <w:div w:id="1026253386">
          <w:marLeft w:val="0"/>
          <w:marRight w:val="0"/>
          <w:marTop w:val="0"/>
          <w:marBottom w:val="0"/>
          <w:divBdr>
            <w:top w:val="none" w:sz="0" w:space="0" w:color="auto"/>
            <w:left w:val="none" w:sz="0" w:space="0" w:color="auto"/>
            <w:bottom w:val="none" w:sz="0" w:space="0" w:color="auto"/>
            <w:right w:val="none" w:sz="0" w:space="0" w:color="auto"/>
          </w:divBdr>
        </w:div>
        <w:div w:id="1038360962">
          <w:marLeft w:val="0"/>
          <w:marRight w:val="0"/>
          <w:marTop w:val="0"/>
          <w:marBottom w:val="0"/>
          <w:divBdr>
            <w:top w:val="none" w:sz="0" w:space="0" w:color="auto"/>
            <w:left w:val="none" w:sz="0" w:space="0" w:color="auto"/>
            <w:bottom w:val="none" w:sz="0" w:space="0" w:color="auto"/>
            <w:right w:val="none" w:sz="0" w:space="0" w:color="auto"/>
          </w:divBdr>
        </w:div>
        <w:div w:id="1055588542">
          <w:marLeft w:val="0"/>
          <w:marRight w:val="0"/>
          <w:marTop w:val="0"/>
          <w:marBottom w:val="0"/>
          <w:divBdr>
            <w:top w:val="none" w:sz="0" w:space="0" w:color="auto"/>
            <w:left w:val="none" w:sz="0" w:space="0" w:color="auto"/>
            <w:bottom w:val="none" w:sz="0" w:space="0" w:color="auto"/>
            <w:right w:val="none" w:sz="0" w:space="0" w:color="auto"/>
          </w:divBdr>
        </w:div>
        <w:div w:id="1059598842">
          <w:marLeft w:val="0"/>
          <w:marRight w:val="0"/>
          <w:marTop w:val="0"/>
          <w:marBottom w:val="0"/>
          <w:divBdr>
            <w:top w:val="none" w:sz="0" w:space="0" w:color="auto"/>
            <w:left w:val="none" w:sz="0" w:space="0" w:color="auto"/>
            <w:bottom w:val="none" w:sz="0" w:space="0" w:color="auto"/>
            <w:right w:val="none" w:sz="0" w:space="0" w:color="auto"/>
          </w:divBdr>
        </w:div>
        <w:div w:id="1068572822">
          <w:marLeft w:val="0"/>
          <w:marRight w:val="0"/>
          <w:marTop w:val="0"/>
          <w:marBottom w:val="0"/>
          <w:divBdr>
            <w:top w:val="none" w:sz="0" w:space="0" w:color="auto"/>
            <w:left w:val="none" w:sz="0" w:space="0" w:color="auto"/>
            <w:bottom w:val="none" w:sz="0" w:space="0" w:color="auto"/>
            <w:right w:val="none" w:sz="0" w:space="0" w:color="auto"/>
          </w:divBdr>
          <w:divsChild>
            <w:div w:id="266930565">
              <w:marLeft w:val="0"/>
              <w:marRight w:val="0"/>
              <w:marTop w:val="0"/>
              <w:marBottom w:val="0"/>
              <w:divBdr>
                <w:top w:val="none" w:sz="0" w:space="0" w:color="auto"/>
                <w:left w:val="none" w:sz="0" w:space="0" w:color="auto"/>
                <w:bottom w:val="none" w:sz="0" w:space="0" w:color="auto"/>
                <w:right w:val="none" w:sz="0" w:space="0" w:color="auto"/>
              </w:divBdr>
            </w:div>
            <w:div w:id="1259171662">
              <w:marLeft w:val="0"/>
              <w:marRight w:val="0"/>
              <w:marTop w:val="0"/>
              <w:marBottom w:val="0"/>
              <w:divBdr>
                <w:top w:val="none" w:sz="0" w:space="0" w:color="auto"/>
                <w:left w:val="none" w:sz="0" w:space="0" w:color="auto"/>
                <w:bottom w:val="none" w:sz="0" w:space="0" w:color="auto"/>
                <w:right w:val="none" w:sz="0" w:space="0" w:color="auto"/>
              </w:divBdr>
            </w:div>
            <w:div w:id="1993480455">
              <w:marLeft w:val="0"/>
              <w:marRight w:val="0"/>
              <w:marTop w:val="0"/>
              <w:marBottom w:val="0"/>
              <w:divBdr>
                <w:top w:val="none" w:sz="0" w:space="0" w:color="auto"/>
                <w:left w:val="none" w:sz="0" w:space="0" w:color="auto"/>
                <w:bottom w:val="none" w:sz="0" w:space="0" w:color="auto"/>
                <w:right w:val="none" w:sz="0" w:space="0" w:color="auto"/>
              </w:divBdr>
            </w:div>
          </w:divsChild>
        </w:div>
        <w:div w:id="1071849512">
          <w:marLeft w:val="0"/>
          <w:marRight w:val="0"/>
          <w:marTop w:val="0"/>
          <w:marBottom w:val="0"/>
          <w:divBdr>
            <w:top w:val="none" w:sz="0" w:space="0" w:color="auto"/>
            <w:left w:val="none" w:sz="0" w:space="0" w:color="auto"/>
            <w:bottom w:val="none" w:sz="0" w:space="0" w:color="auto"/>
            <w:right w:val="none" w:sz="0" w:space="0" w:color="auto"/>
          </w:divBdr>
        </w:div>
        <w:div w:id="1078018989">
          <w:marLeft w:val="0"/>
          <w:marRight w:val="0"/>
          <w:marTop w:val="0"/>
          <w:marBottom w:val="0"/>
          <w:divBdr>
            <w:top w:val="none" w:sz="0" w:space="0" w:color="auto"/>
            <w:left w:val="none" w:sz="0" w:space="0" w:color="auto"/>
            <w:bottom w:val="none" w:sz="0" w:space="0" w:color="auto"/>
            <w:right w:val="none" w:sz="0" w:space="0" w:color="auto"/>
          </w:divBdr>
        </w:div>
        <w:div w:id="1097679500">
          <w:marLeft w:val="0"/>
          <w:marRight w:val="0"/>
          <w:marTop w:val="0"/>
          <w:marBottom w:val="0"/>
          <w:divBdr>
            <w:top w:val="none" w:sz="0" w:space="0" w:color="auto"/>
            <w:left w:val="none" w:sz="0" w:space="0" w:color="auto"/>
            <w:bottom w:val="none" w:sz="0" w:space="0" w:color="auto"/>
            <w:right w:val="none" w:sz="0" w:space="0" w:color="auto"/>
          </w:divBdr>
        </w:div>
        <w:div w:id="1106191206">
          <w:marLeft w:val="0"/>
          <w:marRight w:val="0"/>
          <w:marTop w:val="0"/>
          <w:marBottom w:val="0"/>
          <w:divBdr>
            <w:top w:val="none" w:sz="0" w:space="0" w:color="auto"/>
            <w:left w:val="none" w:sz="0" w:space="0" w:color="auto"/>
            <w:bottom w:val="none" w:sz="0" w:space="0" w:color="auto"/>
            <w:right w:val="none" w:sz="0" w:space="0" w:color="auto"/>
          </w:divBdr>
        </w:div>
        <w:div w:id="1126313238">
          <w:marLeft w:val="0"/>
          <w:marRight w:val="0"/>
          <w:marTop w:val="0"/>
          <w:marBottom w:val="0"/>
          <w:divBdr>
            <w:top w:val="none" w:sz="0" w:space="0" w:color="auto"/>
            <w:left w:val="none" w:sz="0" w:space="0" w:color="auto"/>
            <w:bottom w:val="none" w:sz="0" w:space="0" w:color="auto"/>
            <w:right w:val="none" w:sz="0" w:space="0" w:color="auto"/>
          </w:divBdr>
        </w:div>
        <w:div w:id="1140227847">
          <w:marLeft w:val="0"/>
          <w:marRight w:val="0"/>
          <w:marTop w:val="0"/>
          <w:marBottom w:val="0"/>
          <w:divBdr>
            <w:top w:val="none" w:sz="0" w:space="0" w:color="auto"/>
            <w:left w:val="none" w:sz="0" w:space="0" w:color="auto"/>
            <w:bottom w:val="none" w:sz="0" w:space="0" w:color="auto"/>
            <w:right w:val="none" w:sz="0" w:space="0" w:color="auto"/>
          </w:divBdr>
        </w:div>
        <w:div w:id="1148400577">
          <w:marLeft w:val="0"/>
          <w:marRight w:val="0"/>
          <w:marTop w:val="0"/>
          <w:marBottom w:val="0"/>
          <w:divBdr>
            <w:top w:val="none" w:sz="0" w:space="0" w:color="auto"/>
            <w:left w:val="none" w:sz="0" w:space="0" w:color="auto"/>
            <w:bottom w:val="none" w:sz="0" w:space="0" w:color="auto"/>
            <w:right w:val="none" w:sz="0" w:space="0" w:color="auto"/>
          </w:divBdr>
          <w:divsChild>
            <w:div w:id="857891736">
              <w:marLeft w:val="0"/>
              <w:marRight w:val="0"/>
              <w:marTop w:val="0"/>
              <w:marBottom w:val="0"/>
              <w:divBdr>
                <w:top w:val="none" w:sz="0" w:space="0" w:color="auto"/>
                <w:left w:val="none" w:sz="0" w:space="0" w:color="auto"/>
                <w:bottom w:val="none" w:sz="0" w:space="0" w:color="auto"/>
                <w:right w:val="none" w:sz="0" w:space="0" w:color="auto"/>
              </w:divBdr>
            </w:div>
            <w:div w:id="1235047612">
              <w:marLeft w:val="0"/>
              <w:marRight w:val="0"/>
              <w:marTop w:val="0"/>
              <w:marBottom w:val="0"/>
              <w:divBdr>
                <w:top w:val="none" w:sz="0" w:space="0" w:color="auto"/>
                <w:left w:val="none" w:sz="0" w:space="0" w:color="auto"/>
                <w:bottom w:val="none" w:sz="0" w:space="0" w:color="auto"/>
                <w:right w:val="none" w:sz="0" w:space="0" w:color="auto"/>
              </w:divBdr>
            </w:div>
            <w:div w:id="1519660289">
              <w:marLeft w:val="0"/>
              <w:marRight w:val="0"/>
              <w:marTop w:val="0"/>
              <w:marBottom w:val="0"/>
              <w:divBdr>
                <w:top w:val="none" w:sz="0" w:space="0" w:color="auto"/>
                <w:left w:val="none" w:sz="0" w:space="0" w:color="auto"/>
                <w:bottom w:val="none" w:sz="0" w:space="0" w:color="auto"/>
                <w:right w:val="none" w:sz="0" w:space="0" w:color="auto"/>
              </w:divBdr>
            </w:div>
          </w:divsChild>
        </w:div>
        <w:div w:id="1150436528">
          <w:marLeft w:val="0"/>
          <w:marRight w:val="0"/>
          <w:marTop w:val="0"/>
          <w:marBottom w:val="0"/>
          <w:divBdr>
            <w:top w:val="none" w:sz="0" w:space="0" w:color="auto"/>
            <w:left w:val="none" w:sz="0" w:space="0" w:color="auto"/>
            <w:bottom w:val="none" w:sz="0" w:space="0" w:color="auto"/>
            <w:right w:val="none" w:sz="0" w:space="0" w:color="auto"/>
          </w:divBdr>
        </w:div>
        <w:div w:id="1178038487">
          <w:marLeft w:val="0"/>
          <w:marRight w:val="0"/>
          <w:marTop w:val="0"/>
          <w:marBottom w:val="0"/>
          <w:divBdr>
            <w:top w:val="none" w:sz="0" w:space="0" w:color="auto"/>
            <w:left w:val="none" w:sz="0" w:space="0" w:color="auto"/>
            <w:bottom w:val="none" w:sz="0" w:space="0" w:color="auto"/>
            <w:right w:val="none" w:sz="0" w:space="0" w:color="auto"/>
          </w:divBdr>
        </w:div>
        <w:div w:id="1204755184">
          <w:marLeft w:val="0"/>
          <w:marRight w:val="0"/>
          <w:marTop w:val="0"/>
          <w:marBottom w:val="0"/>
          <w:divBdr>
            <w:top w:val="none" w:sz="0" w:space="0" w:color="auto"/>
            <w:left w:val="none" w:sz="0" w:space="0" w:color="auto"/>
            <w:bottom w:val="none" w:sz="0" w:space="0" w:color="auto"/>
            <w:right w:val="none" w:sz="0" w:space="0" w:color="auto"/>
          </w:divBdr>
        </w:div>
        <w:div w:id="1207833098">
          <w:marLeft w:val="0"/>
          <w:marRight w:val="0"/>
          <w:marTop w:val="0"/>
          <w:marBottom w:val="0"/>
          <w:divBdr>
            <w:top w:val="none" w:sz="0" w:space="0" w:color="auto"/>
            <w:left w:val="none" w:sz="0" w:space="0" w:color="auto"/>
            <w:bottom w:val="none" w:sz="0" w:space="0" w:color="auto"/>
            <w:right w:val="none" w:sz="0" w:space="0" w:color="auto"/>
          </w:divBdr>
        </w:div>
        <w:div w:id="1241866919">
          <w:marLeft w:val="0"/>
          <w:marRight w:val="0"/>
          <w:marTop w:val="0"/>
          <w:marBottom w:val="0"/>
          <w:divBdr>
            <w:top w:val="none" w:sz="0" w:space="0" w:color="auto"/>
            <w:left w:val="none" w:sz="0" w:space="0" w:color="auto"/>
            <w:bottom w:val="none" w:sz="0" w:space="0" w:color="auto"/>
            <w:right w:val="none" w:sz="0" w:space="0" w:color="auto"/>
          </w:divBdr>
        </w:div>
        <w:div w:id="1261178845">
          <w:marLeft w:val="0"/>
          <w:marRight w:val="0"/>
          <w:marTop w:val="0"/>
          <w:marBottom w:val="0"/>
          <w:divBdr>
            <w:top w:val="none" w:sz="0" w:space="0" w:color="auto"/>
            <w:left w:val="none" w:sz="0" w:space="0" w:color="auto"/>
            <w:bottom w:val="none" w:sz="0" w:space="0" w:color="auto"/>
            <w:right w:val="none" w:sz="0" w:space="0" w:color="auto"/>
          </w:divBdr>
          <w:divsChild>
            <w:div w:id="305553543">
              <w:marLeft w:val="0"/>
              <w:marRight w:val="0"/>
              <w:marTop w:val="0"/>
              <w:marBottom w:val="0"/>
              <w:divBdr>
                <w:top w:val="none" w:sz="0" w:space="0" w:color="auto"/>
                <w:left w:val="none" w:sz="0" w:space="0" w:color="auto"/>
                <w:bottom w:val="none" w:sz="0" w:space="0" w:color="auto"/>
                <w:right w:val="none" w:sz="0" w:space="0" w:color="auto"/>
              </w:divBdr>
            </w:div>
            <w:div w:id="1673336351">
              <w:marLeft w:val="0"/>
              <w:marRight w:val="0"/>
              <w:marTop w:val="0"/>
              <w:marBottom w:val="0"/>
              <w:divBdr>
                <w:top w:val="none" w:sz="0" w:space="0" w:color="auto"/>
                <w:left w:val="none" w:sz="0" w:space="0" w:color="auto"/>
                <w:bottom w:val="none" w:sz="0" w:space="0" w:color="auto"/>
                <w:right w:val="none" w:sz="0" w:space="0" w:color="auto"/>
              </w:divBdr>
            </w:div>
          </w:divsChild>
        </w:div>
        <w:div w:id="1285962975">
          <w:marLeft w:val="0"/>
          <w:marRight w:val="0"/>
          <w:marTop w:val="0"/>
          <w:marBottom w:val="0"/>
          <w:divBdr>
            <w:top w:val="none" w:sz="0" w:space="0" w:color="auto"/>
            <w:left w:val="none" w:sz="0" w:space="0" w:color="auto"/>
            <w:bottom w:val="none" w:sz="0" w:space="0" w:color="auto"/>
            <w:right w:val="none" w:sz="0" w:space="0" w:color="auto"/>
          </w:divBdr>
          <w:divsChild>
            <w:div w:id="807405484">
              <w:marLeft w:val="0"/>
              <w:marRight w:val="0"/>
              <w:marTop w:val="0"/>
              <w:marBottom w:val="0"/>
              <w:divBdr>
                <w:top w:val="none" w:sz="0" w:space="0" w:color="auto"/>
                <w:left w:val="none" w:sz="0" w:space="0" w:color="auto"/>
                <w:bottom w:val="none" w:sz="0" w:space="0" w:color="auto"/>
                <w:right w:val="none" w:sz="0" w:space="0" w:color="auto"/>
              </w:divBdr>
            </w:div>
            <w:div w:id="1583561856">
              <w:marLeft w:val="0"/>
              <w:marRight w:val="0"/>
              <w:marTop w:val="0"/>
              <w:marBottom w:val="0"/>
              <w:divBdr>
                <w:top w:val="none" w:sz="0" w:space="0" w:color="auto"/>
                <w:left w:val="none" w:sz="0" w:space="0" w:color="auto"/>
                <w:bottom w:val="none" w:sz="0" w:space="0" w:color="auto"/>
                <w:right w:val="none" w:sz="0" w:space="0" w:color="auto"/>
              </w:divBdr>
            </w:div>
            <w:div w:id="1719011624">
              <w:marLeft w:val="0"/>
              <w:marRight w:val="0"/>
              <w:marTop w:val="0"/>
              <w:marBottom w:val="0"/>
              <w:divBdr>
                <w:top w:val="none" w:sz="0" w:space="0" w:color="auto"/>
                <w:left w:val="none" w:sz="0" w:space="0" w:color="auto"/>
                <w:bottom w:val="none" w:sz="0" w:space="0" w:color="auto"/>
                <w:right w:val="none" w:sz="0" w:space="0" w:color="auto"/>
              </w:divBdr>
            </w:div>
          </w:divsChild>
        </w:div>
        <w:div w:id="1290355666">
          <w:marLeft w:val="0"/>
          <w:marRight w:val="0"/>
          <w:marTop w:val="0"/>
          <w:marBottom w:val="0"/>
          <w:divBdr>
            <w:top w:val="none" w:sz="0" w:space="0" w:color="auto"/>
            <w:left w:val="none" w:sz="0" w:space="0" w:color="auto"/>
            <w:bottom w:val="none" w:sz="0" w:space="0" w:color="auto"/>
            <w:right w:val="none" w:sz="0" w:space="0" w:color="auto"/>
          </w:divBdr>
        </w:div>
        <w:div w:id="1303533941">
          <w:marLeft w:val="0"/>
          <w:marRight w:val="0"/>
          <w:marTop w:val="0"/>
          <w:marBottom w:val="0"/>
          <w:divBdr>
            <w:top w:val="none" w:sz="0" w:space="0" w:color="auto"/>
            <w:left w:val="none" w:sz="0" w:space="0" w:color="auto"/>
            <w:bottom w:val="none" w:sz="0" w:space="0" w:color="auto"/>
            <w:right w:val="none" w:sz="0" w:space="0" w:color="auto"/>
          </w:divBdr>
        </w:div>
        <w:div w:id="1309558748">
          <w:marLeft w:val="0"/>
          <w:marRight w:val="0"/>
          <w:marTop w:val="0"/>
          <w:marBottom w:val="0"/>
          <w:divBdr>
            <w:top w:val="none" w:sz="0" w:space="0" w:color="auto"/>
            <w:left w:val="none" w:sz="0" w:space="0" w:color="auto"/>
            <w:bottom w:val="none" w:sz="0" w:space="0" w:color="auto"/>
            <w:right w:val="none" w:sz="0" w:space="0" w:color="auto"/>
          </w:divBdr>
        </w:div>
        <w:div w:id="1311210560">
          <w:marLeft w:val="0"/>
          <w:marRight w:val="0"/>
          <w:marTop w:val="0"/>
          <w:marBottom w:val="0"/>
          <w:divBdr>
            <w:top w:val="none" w:sz="0" w:space="0" w:color="auto"/>
            <w:left w:val="none" w:sz="0" w:space="0" w:color="auto"/>
            <w:bottom w:val="none" w:sz="0" w:space="0" w:color="auto"/>
            <w:right w:val="none" w:sz="0" w:space="0" w:color="auto"/>
          </w:divBdr>
        </w:div>
        <w:div w:id="1314406965">
          <w:marLeft w:val="0"/>
          <w:marRight w:val="0"/>
          <w:marTop w:val="0"/>
          <w:marBottom w:val="0"/>
          <w:divBdr>
            <w:top w:val="none" w:sz="0" w:space="0" w:color="auto"/>
            <w:left w:val="none" w:sz="0" w:space="0" w:color="auto"/>
            <w:bottom w:val="none" w:sz="0" w:space="0" w:color="auto"/>
            <w:right w:val="none" w:sz="0" w:space="0" w:color="auto"/>
          </w:divBdr>
        </w:div>
        <w:div w:id="1344359406">
          <w:marLeft w:val="0"/>
          <w:marRight w:val="0"/>
          <w:marTop w:val="0"/>
          <w:marBottom w:val="0"/>
          <w:divBdr>
            <w:top w:val="none" w:sz="0" w:space="0" w:color="auto"/>
            <w:left w:val="none" w:sz="0" w:space="0" w:color="auto"/>
            <w:bottom w:val="none" w:sz="0" w:space="0" w:color="auto"/>
            <w:right w:val="none" w:sz="0" w:space="0" w:color="auto"/>
          </w:divBdr>
        </w:div>
        <w:div w:id="1345018192">
          <w:marLeft w:val="0"/>
          <w:marRight w:val="0"/>
          <w:marTop w:val="0"/>
          <w:marBottom w:val="0"/>
          <w:divBdr>
            <w:top w:val="none" w:sz="0" w:space="0" w:color="auto"/>
            <w:left w:val="none" w:sz="0" w:space="0" w:color="auto"/>
            <w:bottom w:val="none" w:sz="0" w:space="0" w:color="auto"/>
            <w:right w:val="none" w:sz="0" w:space="0" w:color="auto"/>
          </w:divBdr>
        </w:div>
        <w:div w:id="1357461883">
          <w:marLeft w:val="0"/>
          <w:marRight w:val="0"/>
          <w:marTop w:val="0"/>
          <w:marBottom w:val="0"/>
          <w:divBdr>
            <w:top w:val="none" w:sz="0" w:space="0" w:color="auto"/>
            <w:left w:val="none" w:sz="0" w:space="0" w:color="auto"/>
            <w:bottom w:val="none" w:sz="0" w:space="0" w:color="auto"/>
            <w:right w:val="none" w:sz="0" w:space="0" w:color="auto"/>
          </w:divBdr>
          <w:divsChild>
            <w:div w:id="83956720">
              <w:marLeft w:val="0"/>
              <w:marRight w:val="0"/>
              <w:marTop w:val="0"/>
              <w:marBottom w:val="0"/>
              <w:divBdr>
                <w:top w:val="none" w:sz="0" w:space="0" w:color="auto"/>
                <w:left w:val="none" w:sz="0" w:space="0" w:color="auto"/>
                <w:bottom w:val="none" w:sz="0" w:space="0" w:color="auto"/>
                <w:right w:val="none" w:sz="0" w:space="0" w:color="auto"/>
              </w:divBdr>
            </w:div>
            <w:div w:id="1344160674">
              <w:marLeft w:val="0"/>
              <w:marRight w:val="0"/>
              <w:marTop w:val="0"/>
              <w:marBottom w:val="0"/>
              <w:divBdr>
                <w:top w:val="none" w:sz="0" w:space="0" w:color="auto"/>
                <w:left w:val="none" w:sz="0" w:space="0" w:color="auto"/>
                <w:bottom w:val="none" w:sz="0" w:space="0" w:color="auto"/>
                <w:right w:val="none" w:sz="0" w:space="0" w:color="auto"/>
              </w:divBdr>
            </w:div>
            <w:div w:id="1678115842">
              <w:marLeft w:val="0"/>
              <w:marRight w:val="0"/>
              <w:marTop w:val="0"/>
              <w:marBottom w:val="0"/>
              <w:divBdr>
                <w:top w:val="none" w:sz="0" w:space="0" w:color="auto"/>
                <w:left w:val="none" w:sz="0" w:space="0" w:color="auto"/>
                <w:bottom w:val="none" w:sz="0" w:space="0" w:color="auto"/>
                <w:right w:val="none" w:sz="0" w:space="0" w:color="auto"/>
              </w:divBdr>
            </w:div>
            <w:div w:id="2088111544">
              <w:marLeft w:val="0"/>
              <w:marRight w:val="0"/>
              <w:marTop w:val="0"/>
              <w:marBottom w:val="0"/>
              <w:divBdr>
                <w:top w:val="none" w:sz="0" w:space="0" w:color="auto"/>
                <w:left w:val="none" w:sz="0" w:space="0" w:color="auto"/>
                <w:bottom w:val="none" w:sz="0" w:space="0" w:color="auto"/>
                <w:right w:val="none" w:sz="0" w:space="0" w:color="auto"/>
              </w:divBdr>
            </w:div>
          </w:divsChild>
        </w:div>
        <w:div w:id="1382900547">
          <w:marLeft w:val="0"/>
          <w:marRight w:val="0"/>
          <w:marTop w:val="0"/>
          <w:marBottom w:val="0"/>
          <w:divBdr>
            <w:top w:val="none" w:sz="0" w:space="0" w:color="auto"/>
            <w:left w:val="none" w:sz="0" w:space="0" w:color="auto"/>
            <w:bottom w:val="none" w:sz="0" w:space="0" w:color="auto"/>
            <w:right w:val="none" w:sz="0" w:space="0" w:color="auto"/>
          </w:divBdr>
          <w:divsChild>
            <w:div w:id="1363751611">
              <w:marLeft w:val="0"/>
              <w:marRight w:val="0"/>
              <w:marTop w:val="0"/>
              <w:marBottom w:val="0"/>
              <w:divBdr>
                <w:top w:val="none" w:sz="0" w:space="0" w:color="auto"/>
                <w:left w:val="none" w:sz="0" w:space="0" w:color="auto"/>
                <w:bottom w:val="none" w:sz="0" w:space="0" w:color="auto"/>
                <w:right w:val="none" w:sz="0" w:space="0" w:color="auto"/>
              </w:divBdr>
            </w:div>
          </w:divsChild>
        </w:div>
        <w:div w:id="1415974773">
          <w:marLeft w:val="0"/>
          <w:marRight w:val="0"/>
          <w:marTop w:val="0"/>
          <w:marBottom w:val="0"/>
          <w:divBdr>
            <w:top w:val="none" w:sz="0" w:space="0" w:color="auto"/>
            <w:left w:val="none" w:sz="0" w:space="0" w:color="auto"/>
            <w:bottom w:val="none" w:sz="0" w:space="0" w:color="auto"/>
            <w:right w:val="none" w:sz="0" w:space="0" w:color="auto"/>
          </w:divBdr>
        </w:div>
        <w:div w:id="1422097502">
          <w:marLeft w:val="0"/>
          <w:marRight w:val="0"/>
          <w:marTop w:val="0"/>
          <w:marBottom w:val="0"/>
          <w:divBdr>
            <w:top w:val="none" w:sz="0" w:space="0" w:color="auto"/>
            <w:left w:val="none" w:sz="0" w:space="0" w:color="auto"/>
            <w:bottom w:val="none" w:sz="0" w:space="0" w:color="auto"/>
            <w:right w:val="none" w:sz="0" w:space="0" w:color="auto"/>
          </w:divBdr>
        </w:div>
        <w:div w:id="1427730537">
          <w:marLeft w:val="0"/>
          <w:marRight w:val="0"/>
          <w:marTop w:val="0"/>
          <w:marBottom w:val="0"/>
          <w:divBdr>
            <w:top w:val="none" w:sz="0" w:space="0" w:color="auto"/>
            <w:left w:val="none" w:sz="0" w:space="0" w:color="auto"/>
            <w:bottom w:val="none" w:sz="0" w:space="0" w:color="auto"/>
            <w:right w:val="none" w:sz="0" w:space="0" w:color="auto"/>
          </w:divBdr>
        </w:div>
        <w:div w:id="1443064344">
          <w:marLeft w:val="0"/>
          <w:marRight w:val="0"/>
          <w:marTop w:val="0"/>
          <w:marBottom w:val="0"/>
          <w:divBdr>
            <w:top w:val="none" w:sz="0" w:space="0" w:color="auto"/>
            <w:left w:val="none" w:sz="0" w:space="0" w:color="auto"/>
            <w:bottom w:val="none" w:sz="0" w:space="0" w:color="auto"/>
            <w:right w:val="none" w:sz="0" w:space="0" w:color="auto"/>
          </w:divBdr>
        </w:div>
        <w:div w:id="1443266289">
          <w:marLeft w:val="0"/>
          <w:marRight w:val="0"/>
          <w:marTop w:val="0"/>
          <w:marBottom w:val="0"/>
          <w:divBdr>
            <w:top w:val="none" w:sz="0" w:space="0" w:color="auto"/>
            <w:left w:val="none" w:sz="0" w:space="0" w:color="auto"/>
            <w:bottom w:val="none" w:sz="0" w:space="0" w:color="auto"/>
            <w:right w:val="none" w:sz="0" w:space="0" w:color="auto"/>
          </w:divBdr>
          <w:divsChild>
            <w:div w:id="97023684">
              <w:marLeft w:val="0"/>
              <w:marRight w:val="0"/>
              <w:marTop w:val="0"/>
              <w:marBottom w:val="0"/>
              <w:divBdr>
                <w:top w:val="none" w:sz="0" w:space="0" w:color="auto"/>
                <w:left w:val="none" w:sz="0" w:space="0" w:color="auto"/>
                <w:bottom w:val="none" w:sz="0" w:space="0" w:color="auto"/>
                <w:right w:val="none" w:sz="0" w:space="0" w:color="auto"/>
              </w:divBdr>
            </w:div>
            <w:div w:id="204802851">
              <w:marLeft w:val="0"/>
              <w:marRight w:val="0"/>
              <w:marTop w:val="0"/>
              <w:marBottom w:val="0"/>
              <w:divBdr>
                <w:top w:val="none" w:sz="0" w:space="0" w:color="auto"/>
                <w:left w:val="none" w:sz="0" w:space="0" w:color="auto"/>
                <w:bottom w:val="none" w:sz="0" w:space="0" w:color="auto"/>
                <w:right w:val="none" w:sz="0" w:space="0" w:color="auto"/>
              </w:divBdr>
            </w:div>
            <w:div w:id="1793134149">
              <w:marLeft w:val="0"/>
              <w:marRight w:val="0"/>
              <w:marTop w:val="0"/>
              <w:marBottom w:val="0"/>
              <w:divBdr>
                <w:top w:val="none" w:sz="0" w:space="0" w:color="auto"/>
                <w:left w:val="none" w:sz="0" w:space="0" w:color="auto"/>
                <w:bottom w:val="none" w:sz="0" w:space="0" w:color="auto"/>
                <w:right w:val="none" w:sz="0" w:space="0" w:color="auto"/>
              </w:divBdr>
            </w:div>
          </w:divsChild>
        </w:div>
        <w:div w:id="1471943713">
          <w:marLeft w:val="0"/>
          <w:marRight w:val="0"/>
          <w:marTop w:val="0"/>
          <w:marBottom w:val="0"/>
          <w:divBdr>
            <w:top w:val="none" w:sz="0" w:space="0" w:color="auto"/>
            <w:left w:val="none" w:sz="0" w:space="0" w:color="auto"/>
            <w:bottom w:val="none" w:sz="0" w:space="0" w:color="auto"/>
            <w:right w:val="none" w:sz="0" w:space="0" w:color="auto"/>
          </w:divBdr>
        </w:div>
        <w:div w:id="1475416645">
          <w:marLeft w:val="0"/>
          <w:marRight w:val="0"/>
          <w:marTop w:val="0"/>
          <w:marBottom w:val="0"/>
          <w:divBdr>
            <w:top w:val="none" w:sz="0" w:space="0" w:color="auto"/>
            <w:left w:val="none" w:sz="0" w:space="0" w:color="auto"/>
            <w:bottom w:val="none" w:sz="0" w:space="0" w:color="auto"/>
            <w:right w:val="none" w:sz="0" w:space="0" w:color="auto"/>
          </w:divBdr>
        </w:div>
        <w:div w:id="1515920314">
          <w:marLeft w:val="0"/>
          <w:marRight w:val="0"/>
          <w:marTop w:val="0"/>
          <w:marBottom w:val="0"/>
          <w:divBdr>
            <w:top w:val="none" w:sz="0" w:space="0" w:color="auto"/>
            <w:left w:val="none" w:sz="0" w:space="0" w:color="auto"/>
            <w:bottom w:val="none" w:sz="0" w:space="0" w:color="auto"/>
            <w:right w:val="none" w:sz="0" w:space="0" w:color="auto"/>
          </w:divBdr>
        </w:div>
        <w:div w:id="1517890566">
          <w:marLeft w:val="0"/>
          <w:marRight w:val="0"/>
          <w:marTop w:val="0"/>
          <w:marBottom w:val="0"/>
          <w:divBdr>
            <w:top w:val="none" w:sz="0" w:space="0" w:color="auto"/>
            <w:left w:val="none" w:sz="0" w:space="0" w:color="auto"/>
            <w:bottom w:val="none" w:sz="0" w:space="0" w:color="auto"/>
            <w:right w:val="none" w:sz="0" w:space="0" w:color="auto"/>
          </w:divBdr>
        </w:div>
        <w:div w:id="1524904777">
          <w:marLeft w:val="0"/>
          <w:marRight w:val="0"/>
          <w:marTop w:val="0"/>
          <w:marBottom w:val="0"/>
          <w:divBdr>
            <w:top w:val="none" w:sz="0" w:space="0" w:color="auto"/>
            <w:left w:val="none" w:sz="0" w:space="0" w:color="auto"/>
            <w:bottom w:val="none" w:sz="0" w:space="0" w:color="auto"/>
            <w:right w:val="none" w:sz="0" w:space="0" w:color="auto"/>
          </w:divBdr>
        </w:div>
        <w:div w:id="1542403909">
          <w:marLeft w:val="0"/>
          <w:marRight w:val="0"/>
          <w:marTop w:val="0"/>
          <w:marBottom w:val="0"/>
          <w:divBdr>
            <w:top w:val="none" w:sz="0" w:space="0" w:color="auto"/>
            <w:left w:val="none" w:sz="0" w:space="0" w:color="auto"/>
            <w:bottom w:val="none" w:sz="0" w:space="0" w:color="auto"/>
            <w:right w:val="none" w:sz="0" w:space="0" w:color="auto"/>
          </w:divBdr>
        </w:div>
        <w:div w:id="1585259848">
          <w:marLeft w:val="0"/>
          <w:marRight w:val="0"/>
          <w:marTop w:val="0"/>
          <w:marBottom w:val="0"/>
          <w:divBdr>
            <w:top w:val="none" w:sz="0" w:space="0" w:color="auto"/>
            <w:left w:val="none" w:sz="0" w:space="0" w:color="auto"/>
            <w:bottom w:val="none" w:sz="0" w:space="0" w:color="auto"/>
            <w:right w:val="none" w:sz="0" w:space="0" w:color="auto"/>
          </w:divBdr>
        </w:div>
        <w:div w:id="1598825871">
          <w:marLeft w:val="0"/>
          <w:marRight w:val="0"/>
          <w:marTop w:val="0"/>
          <w:marBottom w:val="0"/>
          <w:divBdr>
            <w:top w:val="none" w:sz="0" w:space="0" w:color="auto"/>
            <w:left w:val="none" w:sz="0" w:space="0" w:color="auto"/>
            <w:bottom w:val="none" w:sz="0" w:space="0" w:color="auto"/>
            <w:right w:val="none" w:sz="0" w:space="0" w:color="auto"/>
          </w:divBdr>
          <w:divsChild>
            <w:div w:id="1283538023">
              <w:marLeft w:val="0"/>
              <w:marRight w:val="0"/>
              <w:marTop w:val="0"/>
              <w:marBottom w:val="0"/>
              <w:divBdr>
                <w:top w:val="none" w:sz="0" w:space="0" w:color="auto"/>
                <w:left w:val="none" w:sz="0" w:space="0" w:color="auto"/>
                <w:bottom w:val="none" w:sz="0" w:space="0" w:color="auto"/>
                <w:right w:val="none" w:sz="0" w:space="0" w:color="auto"/>
              </w:divBdr>
            </w:div>
            <w:div w:id="1315068450">
              <w:marLeft w:val="0"/>
              <w:marRight w:val="0"/>
              <w:marTop w:val="0"/>
              <w:marBottom w:val="0"/>
              <w:divBdr>
                <w:top w:val="none" w:sz="0" w:space="0" w:color="auto"/>
                <w:left w:val="none" w:sz="0" w:space="0" w:color="auto"/>
                <w:bottom w:val="none" w:sz="0" w:space="0" w:color="auto"/>
                <w:right w:val="none" w:sz="0" w:space="0" w:color="auto"/>
              </w:divBdr>
            </w:div>
            <w:div w:id="1572348966">
              <w:marLeft w:val="0"/>
              <w:marRight w:val="0"/>
              <w:marTop w:val="0"/>
              <w:marBottom w:val="0"/>
              <w:divBdr>
                <w:top w:val="none" w:sz="0" w:space="0" w:color="auto"/>
                <w:left w:val="none" w:sz="0" w:space="0" w:color="auto"/>
                <w:bottom w:val="none" w:sz="0" w:space="0" w:color="auto"/>
                <w:right w:val="none" w:sz="0" w:space="0" w:color="auto"/>
              </w:divBdr>
            </w:div>
          </w:divsChild>
        </w:div>
        <w:div w:id="1613393554">
          <w:marLeft w:val="0"/>
          <w:marRight w:val="0"/>
          <w:marTop w:val="0"/>
          <w:marBottom w:val="0"/>
          <w:divBdr>
            <w:top w:val="none" w:sz="0" w:space="0" w:color="auto"/>
            <w:left w:val="none" w:sz="0" w:space="0" w:color="auto"/>
            <w:bottom w:val="none" w:sz="0" w:space="0" w:color="auto"/>
            <w:right w:val="none" w:sz="0" w:space="0" w:color="auto"/>
          </w:divBdr>
        </w:div>
        <w:div w:id="1643535768">
          <w:marLeft w:val="0"/>
          <w:marRight w:val="0"/>
          <w:marTop w:val="0"/>
          <w:marBottom w:val="0"/>
          <w:divBdr>
            <w:top w:val="none" w:sz="0" w:space="0" w:color="auto"/>
            <w:left w:val="none" w:sz="0" w:space="0" w:color="auto"/>
            <w:bottom w:val="none" w:sz="0" w:space="0" w:color="auto"/>
            <w:right w:val="none" w:sz="0" w:space="0" w:color="auto"/>
          </w:divBdr>
        </w:div>
        <w:div w:id="1663853968">
          <w:marLeft w:val="0"/>
          <w:marRight w:val="0"/>
          <w:marTop w:val="0"/>
          <w:marBottom w:val="0"/>
          <w:divBdr>
            <w:top w:val="none" w:sz="0" w:space="0" w:color="auto"/>
            <w:left w:val="none" w:sz="0" w:space="0" w:color="auto"/>
            <w:bottom w:val="none" w:sz="0" w:space="0" w:color="auto"/>
            <w:right w:val="none" w:sz="0" w:space="0" w:color="auto"/>
          </w:divBdr>
        </w:div>
        <w:div w:id="1664772575">
          <w:marLeft w:val="0"/>
          <w:marRight w:val="0"/>
          <w:marTop w:val="0"/>
          <w:marBottom w:val="0"/>
          <w:divBdr>
            <w:top w:val="none" w:sz="0" w:space="0" w:color="auto"/>
            <w:left w:val="none" w:sz="0" w:space="0" w:color="auto"/>
            <w:bottom w:val="none" w:sz="0" w:space="0" w:color="auto"/>
            <w:right w:val="none" w:sz="0" w:space="0" w:color="auto"/>
          </w:divBdr>
        </w:div>
        <w:div w:id="1724282503">
          <w:marLeft w:val="0"/>
          <w:marRight w:val="0"/>
          <w:marTop w:val="0"/>
          <w:marBottom w:val="0"/>
          <w:divBdr>
            <w:top w:val="none" w:sz="0" w:space="0" w:color="auto"/>
            <w:left w:val="none" w:sz="0" w:space="0" w:color="auto"/>
            <w:bottom w:val="none" w:sz="0" w:space="0" w:color="auto"/>
            <w:right w:val="none" w:sz="0" w:space="0" w:color="auto"/>
          </w:divBdr>
          <w:divsChild>
            <w:div w:id="69934487">
              <w:marLeft w:val="0"/>
              <w:marRight w:val="0"/>
              <w:marTop w:val="0"/>
              <w:marBottom w:val="0"/>
              <w:divBdr>
                <w:top w:val="none" w:sz="0" w:space="0" w:color="auto"/>
                <w:left w:val="none" w:sz="0" w:space="0" w:color="auto"/>
                <w:bottom w:val="none" w:sz="0" w:space="0" w:color="auto"/>
                <w:right w:val="none" w:sz="0" w:space="0" w:color="auto"/>
              </w:divBdr>
            </w:div>
            <w:div w:id="176240944">
              <w:marLeft w:val="0"/>
              <w:marRight w:val="0"/>
              <w:marTop w:val="0"/>
              <w:marBottom w:val="0"/>
              <w:divBdr>
                <w:top w:val="none" w:sz="0" w:space="0" w:color="auto"/>
                <w:left w:val="none" w:sz="0" w:space="0" w:color="auto"/>
                <w:bottom w:val="none" w:sz="0" w:space="0" w:color="auto"/>
                <w:right w:val="none" w:sz="0" w:space="0" w:color="auto"/>
              </w:divBdr>
            </w:div>
            <w:div w:id="685516720">
              <w:marLeft w:val="0"/>
              <w:marRight w:val="0"/>
              <w:marTop w:val="0"/>
              <w:marBottom w:val="0"/>
              <w:divBdr>
                <w:top w:val="none" w:sz="0" w:space="0" w:color="auto"/>
                <w:left w:val="none" w:sz="0" w:space="0" w:color="auto"/>
                <w:bottom w:val="none" w:sz="0" w:space="0" w:color="auto"/>
                <w:right w:val="none" w:sz="0" w:space="0" w:color="auto"/>
              </w:divBdr>
            </w:div>
            <w:div w:id="701782565">
              <w:marLeft w:val="0"/>
              <w:marRight w:val="0"/>
              <w:marTop w:val="0"/>
              <w:marBottom w:val="0"/>
              <w:divBdr>
                <w:top w:val="none" w:sz="0" w:space="0" w:color="auto"/>
                <w:left w:val="none" w:sz="0" w:space="0" w:color="auto"/>
                <w:bottom w:val="none" w:sz="0" w:space="0" w:color="auto"/>
                <w:right w:val="none" w:sz="0" w:space="0" w:color="auto"/>
              </w:divBdr>
            </w:div>
            <w:div w:id="711661104">
              <w:marLeft w:val="0"/>
              <w:marRight w:val="0"/>
              <w:marTop w:val="0"/>
              <w:marBottom w:val="0"/>
              <w:divBdr>
                <w:top w:val="none" w:sz="0" w:space="0" w:color="auto"/>
                <w:left w:val="none" w:sz="0" w:space="0" w:color="auto"/>
                <w:bottom w:val="none" w:sz="0" w:space="0" w:color="auto"/>
                <w:right w:val="none" w:sz="0" w:space="0" w:color="auto"/>
              </w:divBdr>
            </w:div>
          </w:divsChild>
        </w:div>
        <w:div w:id="1730181313">
          <w:marLeft w:val="0"/>
          <w:marRight w:val="0"/>
          <w:marTop w:val="0"/>
          <w:marBottom w:val="0"/>
          <w:divBdr>
            <w:top w:val="none" w:sz="0" w:space="0" w:color="auto"/>
            <w:left w:val="none" w:sz="0" w:space="0" w:color="auto"/>
            <w:bottom w:val="none" w:sz="0" w:space="0" w:color="auto"/>
            <w:right w:val="none" w:sz="0" w:space="0" w:color="auto"/>
          </w:divBdr>
        </w:div>
        <w:div w:id="1743522838">
          <w:marLeft w:val="0"/>
          <w:marRight w:val="0"/>
          <w:marTop w:val="0"/>
          <w:marBottom w:val="0"/>
          <w:divBdr>
            <w:top w:val="none" w:sz="0" w:space="0" w:color="auto"/>
            <w:left w:val="none" w:sz="0" w:space="0" w:color="auto"/>
            <w:bottom w:val="none" w:sz="0" w:space="0" w:color="auto"/>
            <w:right w:val="none" w:sz="0" w:space="0" w:color="auto"/>
          </w:divBdr>
        </w:div>
        <w:div w:id="1744525157">
          <w:marLeft w:val="0"/>
          <w:marRight w:val="0"/>
          <w:marTop w:val="0"/>
          <w:marBottom w:val="0"/>
          <w:divBdr>
            <w:top w:val="none" w:sz="0" w:space="0" w:color="auto"/>
            <w:left w:val="none" w:sz="0" w:space="0" w:color="auto"/>
            <w:bottom w:val="none" w:sz="0" w:space="0" w:color="auto"/>
            <w:right w:val="none" w:sz="0" w:space="0" w:color="auto"/>
          </w:divBdr>
        </w:div>
        <w:div w:id="1764839944">
          <w:marLeft w:val="0"/>
          <w:marRight w:val="0"/>
          <w:marTop w:val="0"/>
          <w:marBottom w:val="0"/>
          <w:divBdr>
            <w:top w:val="none" w:sz="0" w:space="0" w:color="auto"/>
            <w:left w:val="none" w:sz="0" w:space="0" w:color="auto"/>
            <w:bottom w:val="none" w:sz="0" w:space="0" w:color="auto"/>
            <w:right w:val="none" w:sz="0" w:space="0" w:color="auto"/>
          </w:divBdr>
        </w:div>
        <w:div w:id="1793942619">
          <w:marLeft w:val="0"/>
          <w:marRight w:val="0"/>
          <w:marTop w:val="0"/>
          <w:marBottom w:val="0"/>
          <w:divBdr>
            <w:top w:val="none" w:sz="0" w:space="0" w:color="auto"/>
            <w:left w:val="none" w:sz="0" w:space="0" w:color="auto"/>
            <w:bottom w:val="none" w:sz="0" w:space="0" w:color="auto"/>
            <w:right w:val="none" w:sz="0" w:space="0" w:color="auto"/>
          </w:divBdr>
        </w:div>
        <w:div w:id="1800369921">
          <w:marLeft w:val="0"/>
          <w:marRight w:val="0"/>
          <w:marTop w:val="0"/>
          <w:marBottom w:val="0"/>
          <w:divBdr>
            <w:top w:val="none" w:sz="0" w:space="0" w:color="auto"/>
            <w:left w:val="none" w:sz="0" w:space="0" w:color="auto"/>
            <w:bottom w:val="none" w:sz="0" w:space="0" w:color="auto"/>
            <w:right w:val="none" w:sz="0" w:space="0" w:color="auto"/>
          </w:divBdr>
        </w:div>
        <w:div w:id="1816676601">
          <w:marLeft w:val="0"/>
          <w:marRight w:val="0"/>
          <w:marTop w:val="0"/>
          <w:marBottom w:val="0"/>
          <w:divBdr>
            <w:top w:val="none" w:sz="0" w:space="0" w:color="auto"/>
            <w:left w:val="none" w:sz="0" w:space="0" w:color="auto"/>
            <w:bottom w:val="none" w:sz="0" w:space="0" w:color="auto"/>
            <w:right w:val="none" w:sz="0" w:space="0" w:color="auto"/>
          </w:divBdr>
        </w:div>
        <w:div w:id="1824926949">
          <w:marLeft w:val="0"/>
          <w:marRight w:val="0"/>
          <w:marTop w:val="0"/>
          <w:marBottom w:val="0"/>
          <w:divBdr>
            <w:top w:val="none" w:sz="0" w:space="0" w:color="auto"/>
            <w:left w:val="none" w:sz="0" w:space="0" w:color="auto"/>
            <w:bottom w:val="none" w:sz="0" w:space="0" w:color="auto"/>
            <w:right w:val="none" w:sz="0" w:space="0" w:color="auto"/>
          </w:divBdr>
        </w:div>
        <w:div w:id="1847406704">
          <w:marLeft w:val="0"/>
          <w:marRight w:val="0"/>
          <w:marTop w:val="0"/>
          <w:marBottom w:val="0"/>
          <w:divBdr>
            <w:top w:val="none" w:sz="0" w:space="0" w:color="auto"/>
            <w:left w:val="none" w:sz="0" w:space="0" w:color="auto"/>
            <w:bottom w:val="none" w:sz="0" w:space="0" w:color="auto"/>
            <w:right w:val="none" w:sz="0" w:space="0" w:color="auto"/>
          </w:divBdr>
        </w:div>
        <w:div w:id="1851603045">
          <w:marLeft w:val="0"/>
          <w:marRight w:val="0"/>
          <w:marTop w:val="0"/>
          <w:marBottom w:val="0"/>
          <w:divBdr>
            <w:top w:val="none" w:sz="0" w:space="0" w:color="auto"/>
            <w:left w:val="none" w:sz="0" w:space="0" w:color="auto"/>
            <w:bottom w:val="none" w:sz="0" w:space="0" w:color="auto"/>
            <w:right w:val="none" w:sz="0" w:space="0" w:color="auto"/>
          </w:divBdr>
        </w:div>
        <w:div w:id="1864391545">
          <w:marLeft w:val="0"/>
          <w:marRight w:val="0"/>
          <w:marTop w:val="0"/>
          <w:marBottom w:val="0"/>
          <w:divBdr>
            <w:top w:val="none" w:sz="0" w:space="0" w:color="auto"/>
            <w:left w:val="none" w:sz="0" w:space="0" w:color="auto"/>
            <w:bottom w:val="none" w:sz="0" w:space="0" w:color="auto"/>
            <w:right w:val="none" w:sz="0" w:space="0" w:color="auto"/>
          </w:divBdr>
        </w:div>
        <w:div w:id="1877236579">
          <w:marLeft w:val="0"/>
          <w:marRight w:val="0"/>
          <w:marTop w:val="0"/>
          <w:marBottom w:val="0"/>
          <w:divBdr>
            <w:top w:val="none" w:sz="0" w:space="0" w:color="auto"/>
            <w:left w:val="none" w:sz="0" w:space="0" w:color="auto"/>
            <w:bottom w:val="none" w:sz="0" w:space="0" w:color="auto"/>
            <w:right w:val="none" w:sz="0" w:space="0" w:color="auto"/>
          </w:divBdr>
          <w:divsChild>
            <w:div w:id="1730179690">
              <w:marLeft w:val="0"/>
              <w:marRight w:val="0"/>
              <w:marTop w:val="0"/>
              <w:marBottom w:val="0"/>
              <w:divBdr>
                <w:top w:val="none" w:sz="0" w:space="0" w:color="auto"/>
                <w:left w:val="none" w:sz="0" w:space="0" w:color="auto"/>
                <w:bottom w:val="none" w:sz="0" w:space="0" w:color="auto"/>
                <w:right w:val="none" w:sz="0" w:space="0" w:color="auto"/>
              </w:divBdr>
            </w:div>
          </w:divsChild>
        </w:div>
        <w:div w:id="1884631075">
          <w:marLeft w:val="0"/>
          <w:marRight w:val="0"/>
          <w:marTop w:val="0"/>
          <w:marBottom w:val="0"/>
          <w:divBdr>
            <w:top w:val="none" w:sz="0" w:space="0" w:color="auto"/>
            <w:left w:val="none" w:sz="0" w:space="0" w:color="auto"/>
            <w:bottom w:val="none" w:sz="0" w:space="0" w:color="auto"/>
            <w:right w:val="none" w:sz="0" w:space="0" w:color="auto"/>
          </w:divBdr>
        </w:div>
        <w:div w:id="1902521366">
          <w:marLeft w:val="0"/>
          <w:marRight w:val="0"/>
          <w:marTop w:val="0"/>
          <w:marBottom w:val="0"/>
          <w:divBdr>
            <w:top w:val="none" w:sz="0" w:space="0" w:color="auto"/>
            <w:left w:val="none" w:sz="0" w:space="0" w:color="auto"/>
            <w:bottom w:val="none" w:sz="0" w:space="0" w:color="auto"/>
            <w:right w:val="none" w:sz="0" w:space="0" w:color="auto"/>
          </w:divBdr>
        </w:div>
        <w:div w:id="1923374941">
          <w:marLeft w:val="0"/>
          <w:marRight w:val="0"/>
          <w:marTop w:val="0"/>
          <w:marBottom w:val="0"/>
          <w:divBdr>
            <w:top w:val="none" w:sz="0" w:space="0" w:color="auto"/>
            <w:left w:val="none" w:sz="0" w:space="0" w:color="auto"/>
            <w:bottom w:val="none" w:sz="0" w:space="0" w:color="auto"/>
            <w:right w:val="none" w:sz="0" w:space="0" w:color="auto"/>
          </w:divBdr>
        </w:div>
        <w:div w:id="1929653834">
          <w:marLeft w:val="0"/>
          <w:marRight w:val="0"/>
          <w:marTop w:val="0"/>
          <w:marBottom w:val="0"/>
          <w:divBdr>
            <w:top w:val="none" w:sz="0" w:space="0" w:color="auto"/>
            <w:left w:val="none" w:sz="0" w:space="0" w:color="auto"/>
            <w:bottom w:val="none" w:sz="0" w:space="0" w:color="auto"/>
            <w:right w:val="none" w:sz="0" w:space="0" w:color="auto"/>
          </w:divBdr>
        </w:div>
        <w:div w:id="1937055552">
          <w:marLeft w:val="0"/>
          <w:marRight w:val="0"/>
          <w:marTop w:val="0"/>
          <w:marBottom w:val="0"/>
          <w:divBdr>
            <w:top w:val="none" w:sz="0" w:space="0" w:color="auto"/>
            <w:left w:val="none" w:sz="0" w:space="0" w:color="auto"/>
            <w:bottom w:val="none" w:sz="0" w:space="0" w:color="auto"/>
            <w:right w:val="none" w:sz="0" w:space="0" w:color="auto"/>
          </w:divBdr>
        </w:div>
        <w:div w:id="1937322577">
          <w:marLeft w:val="0"/>
          <w:marRight w:val="0"/>
          <w:marTop w:val="0"/>
          <w:marBottom w:val="0"/>
          <w:divBdr>
            <w:top w:val="none" w:sz="0" w:space="0" w:color="auto"/>
            <w:left w:val="none" w:sz="0" w:space="0" w:color="auto"/>
            <w:bottom w:val="none" w:sz="0" w:space="0" w:color="auto"/>
            <w:right w:val="none" w:sz="0" w:space="0" w:color="auto"/>
          </w:divBdr>
        </w:div>
        <w:div w:id="1958173601">
          <w:marLeft w:val="0"/>
          <w:marRight w:val="0"/>
          <w:marTop w:val="0"/>
          <w:marBottom w:val="0"/>
          <w:divBdr>
            <w:top w:val="none" w:sz="0" w:space="0" w:color="auto"/>
            <w:left w:val="none" w:sz="0" w:space="0" w:color="auto"/>
            <w:bottom w:val="none" w:sz="0" w:space="0" w:color="auto"/>
            <w:right w:val="none" w:sz="0" w:space="0" w:color="auto"/>
          </w:divBdr>
        </w:div>
        <w:div w:id="1970623809">
          <w:marLeft w:val="0"/>
          <w:marRight w:val="0"/>
          <w:marTop w:val="0"/>
          <w:marBottom w:val="0"/>
          <w:divBdr>
            <w:top w:val="none" w:sz="0" w:space="0" w:color="auto"/>
            <w:left w:val="none" w:sz="0" w:space="0" w:color="auto"/>
            <w:bottom w:val="none" w:sz="0" w:space="0" w:color="auto"/>
            <w:right w:val="none" w:sz="0" w:space="0" w:color="auto"/>
          </w:divBdr>
        </w:div>
        <w:div w:id="1988050550">
          <w:marLeft w:val="0"/>
          <w:marRight w:val="0"/>
          <w:marTop w:val="0"/>
          <w:marBottom w:val="0"/>
          <w:divBdr>
            <w:top w:val="none" w:sz="0" w:space="0" w:color="auto"/>
            <w:left w:val="none" w:sz="0" w:space="0" w:color="auto"/>
            <w:bottom w:val="none" w:sz="0" w:space="0" w:color="auto"/>
            <w:right w:val="none" w:sz="0" w:space="0" w:color="auto"/>
          </w:divBdr>
        </w:div>
        <w:div w:id="2013335960">
          <w:marLeft w:val="0"/>
          <w:marRight w:val="0"/>
          <w:marTop w:val="0"/>
          <w:marBottom w:val="0"/>
          <w:divBdr>
            <w:top w:val="none" w:sz="0" w:space="0" w:color="auto"/>
            <w:left w:val="none" w:sz="0" w:space="0" w:color="auto"/>
            <w:bottom w:val="none" w:sz="0" w:space="0" w:color="auto"/>
            <w:right w:val="none" w:sz="0" w:space="0" w:color="auto"/>
          </w:divBdr>
        </w:div>
        <w:div w:id="2050295914">
          <w:marLeft w:val="0"/>
          <w:marRight w:val="0"/>
          <w:marTop w:val="0"/>
          <w:marBottom w:val="0"/>
          <w:divBdr>
            <w:top w:val="none" w:sz="0" w:space="0" w:color="auto"/>
            <w:left w:val="none" w:sz="0" w:space="0" w:color="auto"/>
            <w:bottom w:val="none" w:sz="0" w:space="0" w:color="auto"/>
            <w:right w:val="none" w:sz="0" w:space="0" w:color="auto"/>
          </w:divBdr>
        </w:div>
        <w:div w:id="2063750900">
          <w:marLeft w:val="0"/>
          <w:marRight w:val="0"/>
          <w:marTop w:val="0"/>
          <w:marBottom w:val="0"/>
          <w:divBdr>
            <w:top w:val="none" w:sz="0" w:space="0" w:color="auto"/>
            <w:left w:val="none" w:sz="0" w:space="0" w:color="auto"/>
            <w:bottom w:val="none" w:sz="0" w:space="0" w:color="auto"/>
            <w:right w:val="none" w:sz="0" w:space="0" w:color="auto"/>
          </w:divBdr>
        </w:div>
        <w:div w:id="2086803799">
          <w:marLeft w:val="0"/>
          <w:marRight w:val="0"/>
          <w:marTop w:val="0"/>
          <w:marBottom w:val="0"/>
          <w:divBdr>
            <w:top w:val="none" w:sz="0" w:space="0" w:color="auto"/>
            <w:left w:val="none" w:sz="0" w:space="0" w:color="auto"/>
            <w:bottom w:val="none" w:sz="0" w:space="0" w:color="auto"/>
            <w:right w:val="none" w:sz="0" w:space="0" w:color="auto"/>
          </w:divBdr>
        </w:div>
        <w:div w:id="2116752520">
          <w:marLeft w:val="0"/>
          <w:marRight w:val="0"/>
          <w:marTop w:val="0"/>
          <w:marBottom w:val="0"/>
          <w:divBdr>
            <w:top w:val="none" w:sz="0" w:space="0" w:color="auto"/>
            <w:left w:val="none" w:sz="0" w:space="0" w:color="auto"/>
            <w:bottom w:val="none" w:sz="0" w:space="0" w:color="auto"/>
            <w:right w:val="none" w:sz="0" w:space="0" w:color="auto"/>
          </w:divBdr>
        </w:div>
        <w:div w:id="2127386941">
          <w:marLeft w:val="0"/>
          <w:marRight w:val="0"/>
          <w:marTop w:val="0"/>
          <w:marBottom w:val="0"/>
          <w:divBdr>
            <w:top w:val="none" w:sz="0" w:space="0" w:color="auto"/>
            <w:left w:val="none" w:sz="0" w:space="0" w:color="auto"/>
            <w:bottom w:val="none" w:sz="0" w:space="0" w:color="auto"/>
            <w:right w:val="none" w:sz="0" w:space="0" w:color="auto"/>
          </w:divBdr>
        </w:div>
        <w:div w:id="2140955631">
          <w:marLeft w:val="0"/>
          <w:marRight w:val="0"/>
          <w:marTop w:val="0"/>
          <w:marBottom w:val="0"/>
          <w:divBdr>
            <w:top w:val="none" w:sz="0" w:space="0" w:color="auto"/>
            <w:left w:val="none" w:sz="0" w:space="0" w:color="auto"/>
            <w:bottom w:val="none" w:sz="0" w:space="0" w:color="auto"/>
            <w:right w:val="none" w:sz="0" w:space="0" w:color="auto"/>
          </w:divBdr>
        </w:div>
      </w:divsChild>
    </w:div>
    <w:div w:id="1963993455">
      <w:bodyDiv w:val="1"/>
      <w:marLeft w:val="0"/>
      <w:marRight w:val="0"/>
      <w:marTop w:val="0"/>
      <w:marBottom w:val="0"/>
      <w:divBdr>
        <w:top w:val="none" w:sz="0" w:space="0" w:color="auto"/>
        <w:left w:val="none" w:sz="0" w:space="0" w:color="auto"/>
        <w:bottom w:val="none" w:sz="0" w:space="0" w:color="auto"/>
        <w:right w:val="none" w:sz="0" w:space="0" w:color="auto"/>
      </w:divBdr>
    </w:div>
    <w:div w:id="1999530912">
      <w:bodyDiv w:val="1"/>
      <w:marLeft w:val="0"/>
      <w:marRight w:val="0"/>
      <w:marTop w:val="0"/>
      <w:marBottom w:val="0"/>
      <w:divBdr>
        <w:top w:val="none" w:sz="0" w:space="0" w:color="auto"/>
        <w:left w:val="none" w:sz="0" w:space="0" w:color="auto"/>
        <w:bottom w:val="none" w:sz="0" w:space="0" w:color="auto"/>
        <w:right w:val="none" w:sz="0" w:space="0" w:color="auto"/>
      </w:divBdr>
      <w:divsChild>
        <w:div w:id="174421515">
          <w:marLeft w:val="0"/>
          <w:marRight w:val="0"/>
          <w:marTop w:val="0"/>
          <w:marBottom w:val="0"/>
          <w:divBdr>
            <w:top w:val="none" w:sz="0" w:space="0" w:color="auto"/>
            <w:left w:val="none" w:sz="0" w:space="0" w:color="auto"/>
            <w:bottom w:val="none" w:sz="0" w:space="0" w:color="auto"/>
            <w:right w:val="none" w:sz="0" w:space="0" w:color="auto"/>
          </w:divBdr>
        </w:div>
        <w:div w:id="300614905">
          <w:marLeft w:val="0"/>
          <w:marRight w:val="0"/>
          <w:marTop w:val="0"/>
          <w:marBottom w:val="0"/>
          <w:divBdr>
            <w:top w:val="none" w:sz="0" w:space="0" w:color="auto"/>
            <w:left w:val="none" w:sz="0" w:space="0" w:color="auto"/>
            <w:bottom w:val="none" w:sz="0" w:space="0" w:color="auto"/>
            <w:right w:val="none" w:sz="0" w:space="0" w:color="auto"/>
          </w:divBdr>
        </w:div>
        <w:div w:id="324820042">
          <w:marLeft w:val="0"/>
          <w:marRight w:val="0"/>
          <w:marTop w:val="0"/>
          <w:marBottom w:val="0"/>
          <w:divBdr>
            <w:top w:val="none" w:sz="0" w:space="0" w:color="auto"/>
            <w:left w:val="none" w:sz="0" w:space="0" w:color="auto"/>
            <w:bottom w:val="none" w:sz="0" w:space="0" w:color="auto"/>
            <w:right w:val="none" w:sz="0" w:space="0" w:color="auto"/>
          </w:divBdr>
        </w:div>
        <w:div w:id="337461570">
          <w:marLeft w:val="0"/>
          <w:marRight w:val="0"/>
          <w:marTop w:val="0"/>
          <w:marBottom w:val="0"/>
          <w:divBdr>
            <w:top w:val="none" w:sz="0" w:space="0" w:color="auto"/>
            <w:left w:val="none" w:sz="0" w:space="0" w:color="auto"/>
            <w:bottom w:val="none" w:sz="0" w:space="0" w:color="auto"/>
            <w:right w:val="none" w:sz="0" w:space="0" w:color="auto"/>
          </w:divBdr>
        </w:div>
        <w:div w:id="345641568">
          <w:marLeft w:val="0"/>
          <w:marRight w:val="0"/>
          <w:marTop w:val="0"/>
          <w:marBottom w:val="0"/>
          <w:divBdr>
            <w:top w:val="none" w:sz="0" w:space="0" w:color="auto"/>
            <w:left w:val="none" w:sz="0" w:space="0" w:color="auto"/>
            <w:bottom w:val="none" w:sz="0" w:space="0" w:color="auto"/>
            <w:right w:val="none" w:sz="0" w:space="0" w:color="auto"/>
          </w:divBdr>
        </w:div>
        <w:div w:id="416556943">
          <w:marLeft w:val="0"/>
          <w:marRight w:val="0"/>
          <w:marTop w:val="0"/>
          <w:marBottom w:val="0"/>
          <w:divBdr>
            <w:top w:val="none" w:sz="0" w:space="0" w:color="auto"/>
            <w:left w:val="none" w:sz="0" w:space="0" w:color="auto"/>
            <w:bottom w:val="none" w:sz="0" w:space="0" w:color="auto"/>
            <w:right w:val="none" w:sz="0" w:space="0" w:color="auto"/>
          </w:divBdr>
        </w:div>
        <w:div w:id="434136942">
          <w:marLeft w:val="0"/>
          <w:marRight w:val="0"/>
          <w:marTop w:val="0"/>
          <w:marBottom w:val="0"/>
          <w:divBdr>
            <w:top w:val="none" w:sz="0" w:space="0" w:color="auto"/>
            <w:left w:val="none" w:sz="0" w:space="0" w:color="auto"/>
            <w:bottom w:val="none" w:sz="0" w:space="0" w:color="auto"/>
            <w:right w:val="none" w:sz="0" w:space="0" w:color="auto"/>
          </w:divBdr>
        </w:div>
        <w:div w:id="437601844">
          <w:marLeft w:val="0"/>
          <w:marRight w:val="0"/>
          <w:marTop w:val="0"/>
          <w:marBottom w:val="0"/>
          <w:divBdr>
            <w:top w:val="none" w:sz="0" w:space="0" w:color="auto"/>
            <w:left w:val="none" w:sz="0" w:space="0" w:color="auto"/>
            <w:bottom w:val="none" w:sz="0" w:space="0" w:color="auto"/>
            <w:right w:val="none" w:sz="0" w:space="0" w:color="auto"/>
          </w:divBdr>
        </w:div>
        <w:div w:id="511261089">
          <w:marLeft w:val="0"/>
          <w:marRight w:val="0"/>
          <w:marTop w:val="0"/>
          <w:marBottom w:val="0"/>
          <w:divBdr>
            <w:top w:val="none" w:sz="0" w:space="0" w:color="auto"/>
            <w:left w:val="none" w:sz="0" w:space="0" w:color="auto"/>
            <w:bottom w:val="none" w:sz="0" w:space="0" w:color="auto"/>
            <w:right w:val="none" w:sz="0" w:space="0" w:color="auto"/>
          </w:divBdr>
        </w:div>
        <w:div w:id="523517530">
          <w:marLeft w:val="0"/>
          <w:marRight w:val="0"/>
          <w:marTop w:val="0"/>
          <w:marBottom w:val="0"/>
          <w:divBdr>
            <w:top w:val="none" w:sz="0" w:space="0" w:color="auto"/>
            <w:left w:val="none" w:sz="0" w:space="0" w:color="auto"/>
            <w:bottom w:val="none" w:sz="0" w:space="0" w:color="auto"/>
            <w:right w:val="none" w:sz="0" w:space="0" w:color="auto"/>
          </w:divBdr>
        </w:div>
        <w:div w:id="567155390">
          <w:marLeft w:val="0"/>
          <w:marRight w:val="0"/>
          <w:marTop w:val="0"/>
          <w:marBottom w:val="0"/>
          <w:divBdr>
            <w:top w:val="none" w:sz="0" w:space="0" w:color="auto"/>
            <w:left w:val="none" w:sz="0" w:space="0" w:color="auto"/>
            <w:bottom w:val="none" w:sz="0" w:space="0" w:color="auto"/>
            <w:right w:val="none" w:sz="0" w:space="0" w:color="auto"/>
          </w:divBdr>
        </w:div>
        <w:div w:id="659622521">
          <w:marLeft w:val="0"/>
          <w:marRight w:val="0"/>
          <w:marTop w:val="0"/>
          <w:marBottom w:val="0"/>
          <w:divBdr>
            <w:top w:val="none" w:sz="0" w:space="0" w:color="auto"/>
            <w:left w:val="none" w:sz="0" w:space="0" w:color="auto"/>
            <w:bottom w:val="none" w:sz="0" w:space="0" w:color="auto"/>
            <w:right w:val="none" w:sz="0" w:space="0" w:color="auto"/>
          </w:divBdr>
        </w:div>
        <w:div w:id="666372600">
          <w:marLeft w:val="0"/>
          <w:marRight w:val="0"/>
          <w:marTop w:val="0"/>
          <w:marBottom w:val="0"/>
          <w:divBdr>
            <w:top w:val="none" w:sz="0" w:space="0" w:color="auto"/>
            <w:left w:val="none" w:sz="0" w:space="0" w:color="auto"/>
            <w:bottom w:val="none" w:sz="0" w:space="0" w:color="auto"/>
            <w:right w:val="none" w:sz="0" w:space="0" w:color="auto"/>
          </w:divBdr>
        </w:div>
        <w:div w:id="723213276">
          <w:marLeft w:val="0"/>
          <w:marRight w:val="0"/>
          <w:marTop w:val="0"/>
          <w:marBottom w:val="0"/>
          <w:divBdr>
            <w:top w:val="none" w:sz="0" w:space="0" w:color="auto"/>
            <w:left w:val="none" w:sz="0" w:space="0" w:color="auto"/>
            <w:bottom w:val="none" w:sz="0" w:space="0" w:color="auto"/>
            <w:right w:val="none" w:sz="0" w:space="0" w:color="auto"/>
          </w:divBdr>
        </w:div>
        <w:div w:id="781804365">
          <w:marLeft w:val="0"/>
          <w:marRight w:val="0"/>
          <w:marTop w:val="0"/>
          <w:marBottom w:val="0"/>
          <w:divBdr>
            <w:top w:val="none" w:sz="0" w:space="0" w:color="auto"/>
            <w:left w:val="none" w:sz="0" w:space="0" w:color="auto"/>
            <w:bottom w:val="none" w:sz="0" w:space="0" w:color="auto"/>
            <w:right w:val="none" w:sz="0" w:space="0" w:color="auto"/>
          </w:divBdr>
        </w:div>
        <w:div w:id="789979844">
          <w:marLeft w:val="0"/>
          <w:marRight w:val="0"/>
          <w:marTop w:val="0"/>
          <w:marBottom w:val="0"/>
          <w:divBdr>
            <w:top w:val="none" w:sz="0" w:space="0" w:color="auto"/>
            <w:left w:val="none" w:sz="0" w:space="0" w:color="auto"/>
            <w:bottom w:val="none" w:sz="0" w:space="0" w:color="auto"/>
            <w:right w:val="none" w:sz="0" w:space="0" w:color="auto"/>
          </w:divBdr>
        </w:div>
        <w:div w:id="801313546">
          <w:marLeft w:val="0"/>
          <w:marRight w:val="0"/>
          <w:marTop w:val="0"/>
          <w:marBottom w:val="0"/>
          <w:divBdr>
            <w:top w:val="none" w:sz="0" w:space="0" w:color="auto"/>
            <w:left w:val="none" w:sz="0" w:space="0" w:color="auto"/>
            <w:bottom w:val="none" w:sz="0" w:space="0" w:color="auto"/>
            <w:right w:val="none" w:sz="0" w:space="0" w:color="auto"/>
          </w:divBdr>
        </w:div>
        <w:div w:id="1152719883">
          <w:marLeft w:val="0"/>
          <w:marRight w:val="0"/>
          <w:marTop w:val="0"/>
          <w:marBottom w:val="0"/>
          <w:divBdr>
            <w:top w:val="none" w:sz="0" w:space="0" w:color="auto"/>
            <w:left w:val="none" w:sz="0" w:space="0" w:color="auto"/>
            <w:bottom w:val="none" w:sz="0" w:space="0" w:color="auto"/>
            <w:right w:val="none" w:sz="0" w:space="0" w:color="auto"/>
          </w:divBdr>
        </w:div>
        <w:div w:id="1179733404">
          <w:marLeft w:val="0"/>
          <w:marRight w:val="0"/>
          <w:marTop w:val="0"/>
          <w:marBottom w:val="0"/>
          <w:divBdr>
            <w:top w:val="none" w:sz="0" w:space="0" w:color="auto"/>
            <w:left w:val="none" w:sz="0" w:space="0" w:color="auto"/>
            <w:bottom w:val="none" w:sz="0" w:space="0" w:color="auto"/>
            <w:right w:val="none" w:sz="0" w:space="0" w:color="auto"/>
          </w:divBdr>
        </w:div>
        <w:div w:id="1201168861">
          <w:marLeft w:val="0"/>
          <w:marRight w:val="0"/>
          <w:marTop w:val="0"/>
          <w:marBottom w:val="0"/>
          <w:divBdr>
            <w:top w:val="none" w:sz="0" w:space="0" w:color="auto"/>
            <w:left w:val="none" w:sz="0" w:space="0" w:color="auto"/>
            <w:bottom w:val="none" w:sz="0" w:space="0" w:color="auto"/>
            <w:right w:val="none" w:sz="0" w:space="0" w:color="auto"/>
          </w:divBdr>
        </w:div>
        <w:div w:id="1350984201">
          <w:marLeft w:val="0"/>
          <w:marRight w:val="0"/>
          <w:marTop w:val="0"/>
          <w:marBottom w:val="0"/>
          <w:divBdr>
            <w:top w:val="none" w:sz="0" w:space="0" w:color="auto"/>
            <w:left w:val="none" w:sz="0" w:space="0" w:color="auto"/>
            <w:bottom w:val="none" w:sz="0" w:space="0" w:color="auto"/>
            <w:right w:val="none" w:sz="0" w:space="0" w:color="auto"/>
          </w:divBdr>
        </w:div>
        <w:div w:id="1427266818">
          <w:marLeft w:val="0"/>
          <w:marRight w:val="0"/>
          <w:marTop w:val="0"/>
          <w:marBottom w:val="0"/>
          <w:divBdr>
            <w:top w:val="none" w:sz="0" w:space="0" w:color="auto"/>
            <w:left w:val="none" w:sz="0" w:space="0" w:color="auto"/>
            <w:bottom w:val="none" w:sz="0" w:space="0" w:color="auto"/>
            <w:right w:val="none" w:sz="0" w:space="0" w:color="auto"/>
          </w:divBdr>
        </w:div>
        <w:div w:id="1446149786">
          <w:marLeft w:val="0"/>
          <w:marRight w:val="0"/>
          <w:marTop w:val="0"/>
          <w:marBottom w:val="0"/>
          <w:divBdr>
            <w:top w:val="none" w:sz="0" w:space="0" w:color="auto"/>
            <w:left w:val="none" w:sz="0" w:space="0" w:color="auto"/>
            <w:bottom w:val="none" w:sz="0" w:space="0" w:color="auto"/>
            <w:right w:val="none" w:sz="0" w:space="0" w:color="auto"/>
          </w:divBdr>
        </w:div>
        <w:div w:id="1580409850">
          <w:marLeft w:val="0"/>
          <w:marRight w:val="0"/>
          <w:marTop w:val="0"/>
          <w:marBottom w:val="0"/>
          <w:divBdr>
            <w:top w:val="none" w:sz="0" w:space="0" w:color="auto"/>
            <w:left w:val="none" w:sz="0" w:space="0" w:color="auto"/>
            <w:bottom w:val="none" w:sz="0" w:space="0" w:color="auto"/>
            <w:right w:val="none" w:sz="0" w:space="0" w:color="auto"/>
          </w:divBdr>
        </w:div>
        <w:div w:id="1726640565">
          <w:marLeft w:val="0"/>
          <w:marRight w:val="0"/>
          <w:marTop w:val="0"/>
          <w:marBottom w:val="0"/>
          <w:divBdr>
            <w:top w:val="none" w:sz="0" w:space="0" w:color="auto"/>
            <w:left w:val="none" w:sz="0" w:space="0" w:color="auto"/>
            <w:bottom w:val="none" w:sz="0" w:space="0" w:color="auto"/>
            <w:right w:val="none" w:sz="0" w:space="0" w:color="auto"/>
          </w:divBdr>
        </w:div>
        <w:div w:id="1737818275">
          <w:marLeft w:val="0"/>
          <w:marRight w:val="0"/>
          <w:marTop w:val="0"/>
          <w:marBottom w:val="0"/>
          <w:divBdr>
            <w:top w:val="none" w:sz="0" w:space="0" w:color="auto"/>
            <w:left w:val="none" w:sz="0" w:space="0" w:color="auto"/>
            <w:bottom w:val="none" w:sz="0" w:space="0" w:color="auto"/>
            <w:right w:val="none" w:sz="0" w:space="0" w:color="auto"/>
          </w:divBdr>
        </w:div>
        <w:div w:id="1743873452">
          <w:marLeft w:val="0"/>
          <w:marRight w:val="0"/>
          <w:marTop w:val="0"/>
          <w:marBottom w:val="0"/>
          <w:divBdr>
            <w:top w:val="none" w:sz="0" w:space="0" w:color="auto"/>
            <w:left w:val="none" w:sz="0" w:space="0" w:color="auto"/>
            <w:bottom w:val="none" w:sz="0" w:space="0" w:color="auto"/>
            <w:right w:val="none" w:sz="0" w:space="0" w:color="auto"/>
          </w:divBdr>
        </w:div>
        <w:div w:id="1744335798">
          <w:marLeft w:val="0"/>
          <w:marRight w:val="0"/>
          <w:marTop w:val="0"/>
          <w:marBottom w:val="0"/>
          <w:divBdr>
            <w:top w:val="none" w:sz="0" w:space="0" w:color="auto"/>
            <w:left w:val="none" w:sz="0" w:space="0" w:color="auto"/>
            <w:bottom w:val="none" w:sz="0" w:space="0" w:color="auto"/>
            <w:right w:val="none" w:sz="0" w:space="0" w:color="auto"/>
          </w:divBdr>
        </w:div>
        <w:div w:id="1767798996">
          <w:marLeft w:val="0"/>
          <w:marRight w:val="0"/>
          <w:marTop w:val="0"/>
          <w:marBottom w:val="0"/>
          <w:divBdr>
            <w:top w:val="none" w:sz="0" w:space="0" w:color="auto"/>
            <w:left w:val="none" w:sz="0" w:space="0" w:color="auto"/>
            <w:bottom w:val="none" w:sz="0" w:space="0" w:color="auto"/>
            <w:right w:val="none" w:sz="0" w:space="0" w:color="auto"/>
          </w:divBdr>
        </w:div>
        <w:div w:id="1780293310">
          <w:marLeft w:val="0"/>
          <w:marRight w:val="0"/>
          <w:marTop w:val="0"/>
          <w:marBottom w:val="0"/>
          <w:divBdr>
            <w:top w:val="none" w:sz="0" w:space="0" w:color="auto"/>
            <w:left w:val="none" w:sz="0" w:space="0" w:color="auto"/>
            <w:bottom w:val="none" w:sz="0" w:space="0" w:color="auto"/>
            <w:right w:val="none" w:sz="0" w:space="0" w:color="auto"/>
          </w:divBdr>
        </w:div>
        <w:div w:id="1783107261">
          <w:marLeft w:val="0"/>
          <w:marRight w:val="0"/>
          <w:marTop w:val="0"/>
          <w:marBottom w:val="0"/>
          <w:divBdr>
            <w:top w:val="none" w:sz="0" w:space="0" w:color="auto"/>
            <w:left w:val="none" w:sz="0" w:space="0" w:color="auto"/>
            <w:bottom w:val="none" w:sz="0" w:space="0" w:color="auto"/>
            <w:right w:val="none" w:sz="0" w:space="0" w:color="auto"/>
          </w:divBdr>
        </w:div>
        <w:div w:id="1809937519">
          <w:marLeft w:val="0"/>
          <w:marRight w:val="0"/>
          <w:marTop w:val="0"/>
          <w:marBottom w:val="0"/>
          <w:divBdr>
            <w:top w:val="none" w:sz="0" w:space="0" w:color="auto"/>
            <w:left w:val="none" w:sz="0" w:space="0" w:color="auto"/>
            <w:bottom w:val="none" w:sz="0" w:space="0" w:color="auto"/>
            <w:right w:val="none" w:sz="0" w:space="0" w:color="auto"/>
          </w:divBdr>
        </w:div>
        <w:div w:id="1820489280">
          <w:marLeft w:val="0"/>
          <w:marRight w:val="0"/>
          <w:marTop w:val="0"/>
          <w:marBottom w:val="0"/>
          <w:divBdr>
            <w:top w:val="none" w:sz="0" w:space="0" w:color="auto"/>
            <w:left w:val="none" w:sz="0" w:space="0" w:color="auto"/>
            <w:bottom w:val="none" w:sz="0" w:space="0" w:color="auto"/>
            <w:right w:val="none" w:sz="0" w:space="0" w:color="auto"/>
          </w:divBdr>
        </w:div>
        <w:div w:id="1891845157">
          <w:marLeft w:val="0"/>
          <w:marRight w:val="0"/>
          <w:marTop w:val="0"/>
          <w:marBottom w:val="0"/>
          <w:divBdr>
            <w:top w:val="none" w:sz="0" w:space="0" w:color="auto"/>
            <w:left w:val="none" w:sz="0" w:space="0" w:color="auto"/>
            <w:bottom w:val="none" w:sz="0" w:space="0" w:color="auto"/>
            <w:right w:val="none" w:sz="0" w:space="0" w:color="auto"/>
          </w:divBdr>
        </w:div>
        <w:div w:id="2025131619">
          <w:marLeft w:val="0"/>
          <w:marRight w:val="0"/>
          <w:marTop w:val="0"/>
          <w:marBottom w:val="0"/>
          <w:divBdr>
            <w:top w:val="none" w:sz="0" w:space="0" w:color="auto"/>
            <w:left w:val="none" w:sz="0" w:space="0" w:color="auto"/>
            <w:bottom w:val="none" w:sz="0" w:space="0" w:color="auto"/>
            <w:right w:val="none" w:sz="0" w:space="0" w:color="auto"/>
          </w:divBdr>
        </w:div>
      </w:divsChild>
    </w:div>
    <w:div w:id="2041516550">
      <w:bodyDiv w:val="1"/>
      <w:marLeft w:val="0"/>
      <w:marRight w:val="0"/>
      <w:marTop w:val="0"/>
      <w:marBottom w:val="0"/>
      <w:divBdr>
        <w:top w:val="none" w:sz="0" w:space="0" w:color="auto"/>
        <w:left w:val="none" w:sz="0" w:space="0" w:color="auto"/>
        <w:bottom w:val="none" w:sz="0" w:space="0" w:color="auto"/>
        <w:right w:val="none" w:sz="0" w:space="0" w:color="auto"/>
      </w:divBdr>
    </w:div>
    <w:div w:id="2113044324">
      <w:bodyDiv w:val="1"/>
      <w:marLeft w:val="0"/>
      <w:marRight w:val="0"/>
      <w:marTop w:val="0"/>
      <w:marBottom w:val="0"/>
      <w:divBdr>
        <w:top w:val="none" w:sz="0" w:space="0" w:color="auto"/>
        <w:left w:val="none" w:sz="0" w:space="0" w:color="auto"/>
        <w:bottom w:val="none" w:sz="0" w:space="0" w:color="auto"/>
        <w:right w:val="none" w:sz="0" w:space="0" w:color="auto"/>
      </w:divBdr>
    </w:div>
    <w:div w:id="2128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chart" Target="charts/chart2.xml"/><Relationship Id="rId34" Type="http://schemas.openxmlformats.org/officeDocument/2006/relationships/header" Target="header1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1.xml"/><Relationship Id="rId29" Type="http://schemas.openxmlformats.org/officeDocument/2006/relationships/header" Target="header10.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Funding the Revenue Budget 2024/25</a:t>
            </a:r>
            <a:r>
              <a:rPr lang="en-GB" baseline="0"/>
              <a:t> (£m)</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CD4-4417-8ED3-D3D9510AE7A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CD4-4417-8ED3-D3D9510AE7A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CD4-4417-8ED3-D3D9510AE7A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CD4-4417-8ED3-D3D9510AE7A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CD4-4417-8ED3-D3D9510AE7A7}"/>
              </c:ext>
            </c:extLst>
          </c:dPt>
          <c:dLbls>
            <c:dLbl>
              <c:idx val="0"/>
              <c:layout>
                <c:manualLayout>
                  <c:x val="0.16438581540943731"/>
                  <c:y val="-1.988864256045664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D4-4417-8ED3-D3D9510AE7A7}"/>
                </c:ext>
              </c:extLst>
            </c:dLbl>
            <c:dLbl>
              <c:idx val="1"/>
              <c:layout>
                <c:manualLayout>
                  <c:x val="0.12905326228160874"/>
                  <c:y val="4.65229467675763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D4-4417-8ED3-D3D9510AE7A7}"/>
                </c:ext>
              </c:extLst>
            </c:dLbl>
            <c:dLbl>
              <c:idx val="2"/>
              <c:layout>
                <c:manualLayout>
                  <c:x val="-6.7875378558449426E-2"/>
                  <c:y val="1.04926517611029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D4-4417-8ED3-D3D9510AE7A7}"/>
                </c:ext>
              </c:extLst>
            </c:dLbl>
            <c:dLbl>
              <c:idx val="3"/>
              <c:layout>
                <c:manualLayout>
                  <c:x val="-9.5086296031177922E-2"/>
                  <c:y val="-5.445608133934714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D4-4417-8ED3-D3D9510AE7A7}"/>
                </c:ext>
              </c:extLst>
            </c:dLbl>
            <c:dLbl>
              <c:idx val="4"/>
              <c:layout>
                <c:manualLayout>
                  <c:x val="-1.6044661084031197E-2"/>
                  <c:y val="-3.16204163799913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D4-4417-8ED3-D3D9510AE7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Sheet1!$A$5:$A$9</c:f>
              <c:strCache>
                <c:ptCount val="5"/>
                <c:pt idx="0">
                  <c:v>Revenue Support Grant</c:v>
                </c:pt>
                <c:pt idx="1">
                  <c:v>Business Rates</c:v>
                </c:pt>
                <c:pt idx="2">
                  <c:v>Council Tax Income</c:v>
                </c:pt>
                <c:pt idx="3">
                  <c:v>Business Rates Top Up</c:v>
                </c:pt>
                <c:pt idx="4">
                  <c:v>Other Grants</c:v>
                </c:pt>
              </c:strCache>
            </c:strRef>
          </c:cat>
          <c:val>
            <c:numRef>
              <c:f>Sheet1!$B$5:$B$9</c:f>
              <c:numCache>
                <c:formatCode>#,##0.000</c:formatCode>
                <c:ptCount val="5"/>
                <c:pt idx="0">
                  <c:v>2.7014830000000001</c:v>
                </c:pt>
                <c:pt idx="1">
                  <c:v>1.5280959999999999</c:v>
                </c:pt>
                <c:pt idx="2">
                  <c:v>20.169695452988631</c:v>
                </c:pt>
                <c:pt idx="3">
                  <c:v>2.5612919999999999</c:v>
                </c:pt>
                <c:pt idx="4">
                  <c:v>2.2176029779559117</c:v>
                </c:pt>
              </c:numCache>
            </c:numRef>
          </c:val>
          <c:extLst>
            <c:ext xmlns:c16="http://schemas.microsoft.com/office/drawing/2014/chart" uri="{C3380CC4-5D6E-409C-BE32-E72D297353CC}">
              <c16:uniqueId val="{0000000A-6CD4-4417-8ED3-D3D9510AE7A7}"/>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a:p>
            <a:pPr>
              <a:defRPr/>
            </a:pPr>
            <a:r>
              <a:rPr lang="en-GB"/>
              <a:t>Revenue Expenditure 2024/25 (£m)</a:t>
            </a:r>
          </a:p>
          <a:p>
            <a:pPr>
              <a:defRPr/>
            </a:pP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714-4818-B256-FF9E3951FA4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714-4818-B256-FF9E3951FA4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714-4818-B256-FF9E3951FA4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714-4818-B256-FF9E3951FA43}"/>
              </c:ext>
            </c:extLst>
          </c:dPt>
          <c:dLbls>
            <c:dLbl>
              <c:idx val="0"/>
              <c:layout>
                <c:manualLayout>
                  <c:x val="0.10488241751361602"/>
                  <c:y val="-0.1140601277100971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14-4818-B256-FF9E3951FA43}"/>
                </c:ext>
              </c:extLst>
            </c:dLbl>
            <c:dLbl>
              <c:idx val="1"/>
              <c:layout>
                <c:manualLayout>
                  <c:x val="-1.9174580701311256E-2"/>
                  <c:y val="-0.2477643078341117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14-4818-B256-FF9E3951FA43}"/>
                </c:ext>
              </c:extLst>
            </c:dLbl>
            <c:dLbl>
              <c:idx val="2"/>
              <c:layout>
                <c:manualLayout>
                  <c:x val="0.10321941641216864"/>
                  <c:y val="0.1164785558122150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14-4818-B256-FF9E3951FA43}"/>
                </c:ext>
              </c:extLst>
            </c:dLbl>
            <c:dLbl>
              <c:idx val="3"/>
              <c:layout>
                <c:manualLayout>
                  <c:x val="-0.14873075085536872"/>
                  <c:y val="-5.3472566042719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14-4818-B256-FF9E3951FA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Sheet2!$A$3:$A$6</c:f>
              <c:strCache>
                <c:ptCount val="4"/>
                <c:pt idx="0">
                  <c:v>Corporate Governance</c:v>
                </c:pt>
                <c:pt idx="1">
                  <c:v>Executive and Resources</c:v>
                </c:pt>
                <c:pt idx="2">
                  <c:v>Service Delivery</c:v>
                </c:pt>
                <c:pt idx="3">
                  <c:v>Underspend</c:v>
                </c:pt>
              </c:strCache>
            </c:strRef>
          </c:cat>
          <c:val>
            <c:numRef>
              <c:f>Sheet2!$B$3:$B$6</c:f>
              <c:numCache>
                <c:formatCode>#,##0.000</c:formatCode>
                <c:ptCount val="4"/>
                <c:pt idx="0">
                  <c:v>5.0317325500000001</c:v>
                </c:pt>
                <c:pt idx="1">
                  <c:v>5.08834725</c:v>
                </c:pt>
                <c:pt idx="2">
                  <c:v>18.242547579999997</c:v>
                </c:pt>
                <c:pt idx="3">
                  <c:v>0.81537262513541897</c:v>
                </c:pt>
              </c:numCache>
            </c:numRef>
          </c:val>
          <c:extLst>
            <c:ext xmlns:c16="http://schemas.microsoft.com/office/drawing/2014/chart" uri="{C3380CC4-5D6E-409C-BE32-E72D297353CC}">
              <c16:uniqueId val="{00000008-B714-4818-B256-FF9E3951FA43}"/>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EAC9382C9F345872E6422968473A1" ma:contentTypeVersion="19" ma:contentTypeDescription="Create a new document." ma:contentTypeScope="" ma:versionID="c3fb106f1de4504f428f7c5cf74822e1">
  <xsd:schema xmlns:xsd="http://www.w3.org/2001/XMLSchema" xmlns:xs="http://www.w3.org/2001/XMLSchema" xmlns:p="http://schemas.microsoft.com/office/2006/metadata/properties" xmlns:ns2="b546cd23-77e3-4dc4-a5a4-392a7342b1a1" xmlns:ns3="79e02b3f-353e-46c2-bee5-8a2ca22e7b40" xmlns:ns4="75e7be8b-9f81-40b4-9222-b97114df1827" targetNamespace="http://schemas.microsoft.com/office/2006/metadata/properties" ma:root="true" ma:fieldsID="dd31a440d6cb40a72878cd1ff04f3886" ns2:_="" ns3:_="" ns4:_="">
    <xsd:import namespace="b546cd23-77e3-4dc4-a5a4-392a7342b1a1"/>
    <xsd:import namespace="79e02b3f-353e-46c2-bee5-8a2ca22e7b40"/>
    <xsd:import namespace="75e7be8b-9f81-40b4-9222-b97114df1827"/>
    <xsd:element name="properties">
      <xsd:complexType>
        <xsd:sequence>
          <xsd:element name="documentManagement">
            <xsd:complexType>
              <xsd:all>
                <xsd:element ref="ns2:Year" minOccurs="0"/>
                <xsd:element ref="ns2:Folder"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cd23-77e3-4dc4-a5a4-392a7342b1a1" elementFormDefault="qualified">
    <xsd:import namespace="http://schemas.microsoft.com/office/2006/documentManagement/types"/>
    <xsd:import namespace="http://schemas.microsoft.com/office/infopath/2007/PartnerControls"/>
    <xsd:element name="Year" ma:index="8" nillable="true" ma:displayName="Year" ma:default="2024-25" ma:format="Dropdown" ma:internalName="Year">
      <xsd:simpleType>
        <xsd:restriction base="dms:Choice">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restriction>
      </xsd:simpleType>
    </xsd:element>
    <xsd:element name="Folder" ma:index="9" nillable="true" ma:displayName="Folder" ma:default="Statement and Linked Papers" ma:format="Dropdown" ma:internalName="Folder">
      <xsd:simpleType>
        <xsd:restriction base="dms:Choice">
          <xsd:enumeration value="Statement and Linked Papers"/>
          <xsd:enumeration value="Suspense Accounts"/>
          <xsd:enumeration value="Prepayments"/>
          <xsd:enumeration value="Miscellaneous"/>
          <xsd:enumeration value="Stocktakes"/>
          <xsd:enumeration value="IAS19"/>
          <xsd:enumeration value="Pensions"/>
          <xsd:enumeration value="Related Party Letters"/>
          <xsd:enumeration value="Valuations"/>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9aa541-0a60-40c8-83cd-cd350ab61a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da5b79-47c7-45a7-b006-329ecae32e2f}" ma:internalName="TaxCatchAll"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b546cd23-77e3-4dc4-a5a4-392a7342b1a1">2024-25</Year>
    <Folder xmlns="b546cd23-77e3-4dc4-a5a4-392a7342b1a1">Statement and Linked Papers</Folder>
    <SharedWithUsers xmlns="79e02b3f-353e-46c2-bee5-8a2ca22e7b40">
      <UserInfo>
        <DisplayName>Joanne Coadey</DisplayName>
        <AccountId>20</AccountId>
        <AccountType/>
      </UserInfo>
    </SharedWithUsers>
    <TaxCatchAll xmlns="75e7be8b-9f81-40b4-9222-b97114df1827" xsi:nil="true"/>
    <lcf76f155ced4ddcb4097134ff3c332f xmlns="b546cd23-77e3-4dc4-a5a4-392a7342b1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61369-3EA3-42A0-8F3D-F6A7079723D0}">
  <ds:schemaRefs>
    <ds:schemaRef ds:uri="http://schemas.microsoft.com/office/2006/metadata/longProperties"/>
  </ds:schemaRefs>
</ds:datastoreItem>
</file>

<file path=customXml/itemProps2.xml><?xml version="1.0" encoding="utf-8"?>
<ds:datastoreItem xmlns:ds="http://schemas.openxmlformats.org/officeDocument/2006/customXml" ds:itemID="{F3E2A1A0-7419-4FDA-912D-9552DE2BB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cd23-77e3-4dc4-a5a4-392a7342b1a1"/>
    <ds:schemaRef ds:uri="79e02b3f-353e-46c2-bee5-8a2ca22e7b40"/>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B87A5-1402-4279-9D8B-131FE8F8FA0B}">
  <ds:schemaRefs>
    <ds:schemaRef ds:uri="http://schemas.microsoft.com/office/2006/metadata/properties"/>
    <ds:schemaRef ds:uri="b546cd23-77e3-4dc4-a5a4-392a7342b1a1"/>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75e7be8b-9f81-40b4-9222-b97114df1827"/>
    <ds:schemaRef ds:uri="79e02b3f-353e-46c2-bee5-8a2ca22e7b40"/>
  </ds:schemaRefs>
</ds:datastoreItem>
</file>

<file path=customXml/itemProps4.xml><?xml version="1.0" encoding="utf-8"?>
<ds:datastoreItem xmlns:ds="http://schemas.openxmlformats.org/officeDocument/2006/customXml" ds:itemID="{221087CA-92E7-4A62-98C3-680B73906B63}">
  <ds:schemaRefs>
    <ds:schemaRef ds:uri="http://schemas.openxmlformats.org/officeDocument/2006/bibliography"/>
  </ds:schemaRefs>
</ds:datastoreItem>
</file>

<file path=customXml/itemProps5.xml><?xml version="1.0" encoding="utf-8"?>
<ds:datastoreItem xmlns:ds="http://schemas.openxmlformats.org/officeDocument/2006/customXml" ds:itemID="{9080C5DB-5C66-482A-A65A-A9D308EF0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24657</Words>
  <Characters>140546</Characters>
  <Application>Microsoft Office Word</Application>
  <DocSecurity>0</DocSecurity>
  <Lines>1171</Lines>
  <Paragraphs>329</Paragraphs>
  <ScaleCrop>false</ScaleCrop>
  <Company>Shropshire Fire &amp; Rescue Service</Company>
  <LinksUpToDate>false</LinksUpToDate>
  <CharactersWithSpaces>164874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Ellis</dc:creator>
  <cp:keywords>2016/17; Closedown</cp:keywords>
  <dc:description/>
  <cp:lastModifiedBy>Joanne Coadey</cp:lastModifiedBy>
  <cp:revision>2</cp:revision>
  <cp:lastPrinted>2025-07-03T10:29:00Z</cp:lastPrinted>
  <dcterms:created xsi:type="dcterms:W3CDTF">2025-07-11T14:19:00Z</dcterms:created>
  <dcterms:modified xsi:type="dcterms:W3CDTF">2025-07-11T14:19:00Z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33dadb792242fe9b5669aa8757600b">
    <vt:lpwstr>Closedown|913ad0c7-75f5-4434-a2ea-5792716c4bd2</vt:lpwstr>
  </property>
  <property fmtid="{D5CDD505-2E9C-101B-9397-08002B2CF9AE}" pid="3" name="TaxKeywordTaxHTField">
    <vt:lpwstr>2016/17|d6d4ee38-ad88-424c-aeea-ff9b589a2ffb;Closedown|913ad0c7-75f5-4434-a2ea-5792716c4bd2</vt:lpwstr>
  </property>
  <property fmtid="{D5CDD505-2E9C-101B-9397-08002B2CF9AE}" pid="4" name="SFRSTopic">
    <vt:lpwstr>57;#Closedown|913ad0c7-75f5-4434-a2ea-5792716c4bd2</vt:lpwstr>
  </property>
  <property fmtid="{D5CDD505-2E9C-101B-9397-08002B2CF9AE}" pid="5" name="TaxKeyword">
    <vt:lpwstr>62;#2016/17|d6d4ee38-ad88-424c-aeea-ff9b589a2ffb;#370;#Closedown|913ad0c7-75f5-4434-a2ea-5792716c4bd2</vt:lpwstr>
  </property>
  <property fmtid="{D5CDD505-2E9C-101B-9397-08002B2CF9AE}" pid="6" name="TaxCatchAll">
    <vt:lpwstr>62;#2016/17;#370;#Closedown;#57;#Closedown|913ad0c7-75f5-4434-a2ea-5792716c4bd2</vt:lpwstr>
  </property>
  <property fmtid="{D5CDD505-2E9C-101B-9397-08002B2CF9AE}" pid="7" name="ContentTypeId">
    <vt:lpwstr>0x010100A09EAC9382C9F345872E6422968473A1</vt:lpwstr>
  </property>
  <property fmtid="{D5CDD505-2E9C-101B-9397-08002B2CF9AE}" pid="8" name="MediaServiceImageTags">
    <vt:lpwstr/>
  </property>
</Properties>
</file>