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Introduction</w:t>
      </w: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Shropshire Fire and rescue Service spends around £3 million per annum on the procurement of supplies, works and services providing companies of all sizes with a wide range of business opportunities.</w:t>
      </w:r>
    </w:p>
    <w:p w:rsidR="00477440" w:rsidRPr="00EB3935" w:rsidRDefault="00477440" w:rsidP="00477440">
      <w:pPr>
        <w:autoSpaceDE w:val="0"/>
        <w:autoSpaceDN w:val="0"/>
        <w:adjustRightInd w:val="0"/>
        <w:spacing w:after="0" w:line="240" w:lineRule="auto"/>
        <w:rPr>
          <w:rFonts w:cs="HelveticaNeue-Condensed"/>
          <w:color w:val="000000"/>
        </w:rPr>
      </w:pP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The Service has a statutory duty to ensure that the procurement of supplies, works and services represents the most cost-effective solution and that best value for money has</w:t>
      </w:r>
      <w:r w:rsidR="00F240F3">
        <w:rPr>
          <w:rFonts w:cs="HelveticaNeue-Condensed"/>
          <w:color w:val="000000"/>
        </w:rPr>
        <w:t xml:space="preserve"> </w:t>
      </w:r>
      <w:r w:rsidRPr="00EB3935">
        <w:rPr>
          <w:rFonts w:cs="HelveticaNeue-Condensed"/>
          <w:color w:val="000000"/>
        </w:rPr>
        <w:t>been achieved.</w:t>
      </w:r>
    </w:p>
    <w:p w:rsidR="00477440" w:rsidRPr="00EB3935" w:rsidRDefault="00477440" w:rsidP="00477440">
      <w:pPr>
        <w:autoSpaceDE w:val="0"/>
        <w:autoSpaceDN w:val="0"/>
        <w:adjustRightInd w:val="0"/>
        <w:spacing w:after="0" w:line="240" w:lineRule="auto"/>
        <w:rPr>
          <w:rFonts w:cs="HelveticaNeue-Condensed"/>
          <w:color w:val="000000"/>
        </w:rPr>
      </w:pP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The Authority is committed to ensuring that public money is spent in a way that is fair, honest and accountable and that all decisions are transparent. This short guide outlines the</w:t>
      </w:r>
      <w:r w:rsidR="00F240F3">
        <w:rPr>
          <w:rFonts w:cs="HelveticaNeue-Condensed"/>
          <w:color w:val="000000"/>
        </w:rPr>
        <w:t xml:space="preserve"> </w:t>
      </w:r>
      <w:r w:rsidRPr="00EB3935">
        <w:rPr>
          <w:rFonts w:cs="HelveticaNeue-Condensed"/>
          <w:color w:val="000000"/>
        </w:rPr>
        <w:t>procedures that deliver that commitment.</w:t>
      </w:r>
    </w:p>
    <w:p w:rsidR="00477440" w:rsidRPr="00EB3935" w:rsidRDefault="00477440" w:rsidP="00477440">
      <w:pPr>
        <w:autoSpaceDE w:val="0"/>
        <w:autoSpaceDN w:val="0"/>
        <w:adjustRightInd w:val="0"/>
        <w:spacing w:after="0" w:line="240" w:lineRule="auto"/>
        <w:rPr>
          <w:rFonts w:cs="HelveticaNeue-BoldCond"/>
          <w:b/>
          <w:bCs/>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About Us</w:t>
      </w: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The Technical Services department provides specialist support to Fire Service departments in all tasks relating to a wide variety of contractual arrangements.</w:t>
      </w:r>
    </w:p>
    <w:p w:rsidR="00477440" w:rsidRPr="00EB3935" w:rsidRDefault="00477440" w:rsidP="00477440">
      <w:pPr>
        <w:autoSpaceDE w:val="0"/>
        <w:autoSpaceDN w:val="0"/>
        <w:adjustRightInd w:val="0"/>
        <w:spacing w:after="0" w:line="240" w:lineRule="auto"/>
        <w:rPr>
          <w:rFonts w:cs="HelveticaNeue-Condensed"/>
          <w:color w:val="000000"/>
        </w:rPr>
      </w:pP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To obtain best value, most of our procurement is carried out through corporate contracts which have been subject to competition or joint arrangements with other local authorities</w:t>
      </w:r>
      <w:r w:rsidR="00F240F3">
        <w:rPr>
          <w:rFonts w:cs="HelveticaNeue-Condensed"/>
          <w:color w:val="000000"/>
        </w:rPr>
        <w:t xml:space="preserve"> </w:t>
      </w:r>
      <w:r w:rsidRPr="00EB3935">
        <w:rPr>
          <w:rFonts w:cs="HelveticaNeue-Condensed"/>
          <w:color w:val="000000"/>
        </w:rPr>
        <w:t>and emergency services. Our procurement procedures are governed by internal standing</w:t>
      </w:r>
      <w:r w:rsidR="00F240F3">
        <w:rPr>
          <w:rFonts w:cs="HelveticaNeue-Condensed"/>
          <w:color w:val="000000"/>
        </w:rPr>
        <w:t xml:space="preserve"> </w:t>
      </w:r>
      <w:r w:rsidRPr="00EB3935">
        <w:rPr>
          <w:rFonts w:cs="HelveticaNeue-Condensed"/>
          <w:color w:val="000000"/>
        </w:rPr>
        <w:t>orders, financial regulations and EU Procurement Directives (where applicable).</w:t>
      </w:r>
    </w:p>
    <w:p w:rsidR="00477440" w:rsidRPr="00EB3935" w:rsidRDefault="00477440" w:rsidP="00477440">
      <w:pPr>
        <w:autoSpaceDE w:val="0"/>
        <w:autoSpaceDN w:val="0"/>
        <w:adjustRightInd w:val="0"/>
        <w:spacing w:after="0" w:line="240" w:lineRule="auto"/>
        <w:rPr>
          <w:rFonts w:cs="HelveticaNeue-BoldCond"/>
          <w:b/>
          <w:bCs/>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Procurement Thresholds</w:t>
      </w: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The procurement process adopted is dependent on the value of the purchase. (</w:t>
      </w:r>
      <w:proofErr w:type="gramStart"/>
      <w:r w:rsidRPr="00EB3935">
        <w:rPr>
          <w:rFonts w:cs="HelveticaNeue-Condensed"/>
          <w:color w:val="000000"/>
        </w:rPr>
        <w:t>see</w:t>
      </w:r>
      <w:proofErr w:type="gramEnd"/>
      <w:r w:rsidRPr="00EB3935">
        <w:rPr>
          <w:rFonts w:cs="HelveticaNeue-Condensed"/>
          <w:color w:val="000000"/>
        </w:rPr>
        <w:t xml:space="preserve"> table below). Where an existing Contract or Framework Agreement is in place, it will be evaluated prior to tendering.</w:t>
      </w:r>
    </w:p>
    <w:p w:rsidR="00477440" w:rsidRPr="00EB3935" w:rsidRDefault="00477440" w:rsidP="00477440">
      <w:pPr>
        <w:autoSpaceDE w:val="0"/>
        <w:autoSpaceDN w:val="0"/>
        <w:adjustRightInd w:val="0"/>
        <w:spacing w:after="0" w:line="240" w:lineRule="auto"/>
        <w:rPr>
          <w:rFonts w:cs="HelveticaNeue-BoldCond"/>
          <w:b/>
          <w:bCs/>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p>
    <w:tbl>
      <w:tblPr>
        <w:tblStyle w:val="TableGrid"/>
        <w:tblW w:w="0" w:type="auto"/>
        <w:tblInd w:w="0" w:type="dxa"/>
        <w:tblLook w:val="01E0" w:firstRow="1" w:lastRow="1" w:firstColumn="1" w:lastColumn="1" w:noHBand="0" w:noVBand="0"/>
      </w:tblPr>
      <w:tblGrid>
        <w:gridCol w:w="2089"/>
        <w:gridCol w:w="3545"/>
        <w:gridCol w:w="3382"/>
      </w:tblGrid>
      <w:tr w:rsidR="00477440" w:rsidRPr="00477440" w:rsidTr="00477440">
        <w:tc>
          <w:tcPr>
            <w:tcW w:w="2093" w:type="dxa"/>
            <w:tcBorders>
              <w:top w:val="single" w:sz="4" w:space="0" w:color="auto"/>
              <w:left w:val="single" w:sz="4" w:space="0" w:color="auto"/>
              <w:bottom w:val="single" w:sz="4" w:space="0" w:color="auto"/>
              <w:right w:val="single" w:sz="4" w:space="0" w:color="auto"/>
            </w:tcBorders>
            <w:shd w:val="clear" w:color="auto" w:fill="C0C0C0"/>
            <w:hideMark/>
          </w:tcPr>
          <w:p w:rsidR="00477440" w:rsidRPr="00477440" w:rsidRDefault="00477440" w:rsidP="00477440">
            <w:pPr>
              <w:jc w:val="center"/>
              <w:rPr>
                <w:rFonts w:asciiTheme="minorHAnsi" w:hAnsiTheme="minorHAnsi" w:cs="Arial"/>
                <w:b/>
                <w:sz w:val="22"/>
                <w:szCs w:val="22"/>
              </w:rPr>
            </w:pPr>
            <w:r w:rsidRPr="00477440">
              <w:rPr>
                <w:rFonts w:asciiTheme="minorHAnsi" w:hAnsiTheme="minorHAnsi" w:cs="Arial"/>
                <w:b/>
                <w:sz w:val="22"/>
                <w:szCs w:val="22"/>
              </w:rPr>
              <w:t>Value of Purchase</w:t>
            </w:r>
          </w:p>
        </w:tc>
        <w:tc>
          <w:tcPr>
            <w:tcW w:w="3541" w:type="dxa"/>
            <w:tcBorders>
              <w:top w:val="single" w:sz="4" w:space="0" w:color="auto"/>
              <w:left w:val="single" w:sz="4" w:space="0" w:color="auto"/>
              <w:bottom w:val="single" w:sz="4" w:space="0" w:color="auto"/>
              <w:right w:val="single" w:sz="4" w:space="0" w:color="auto"/>
            </w:tcBorders>
            <w:shd w:val="clear" w:color="auto" w:fill="C0C0C0"/>
            <w:hideMark/>
          </w:tcPr>
          <w:p w:rsidR="00477440" w:rsidRPr="00477440" w:rsidRDefault="00477440" w:rsidP="00477440">
            <w:pPr>
              <w:jc w:val="center"/>
              <w:rPr>
                <w:rFonts w:asciiTheme="minorHAnsi" w:hAnsiTheme="minorHAnsi" w:cs="Arial"/>
                <w:b/>
                <w:sz w:val="22"/>
                <w:szCs w:val="22"/>
              </w:rPr>
            </w:pPr>
            <w:r w:rsidRPr="00477440">
              <w:rPr>
                <w:rFonts w:asciiTheme="minorHAnsi" w:hAnsiTheme="minorHAnsi" w:cs="Arial"/>
                <w:b/>
                <w:sz w:val="22"/>
                <w:szCs w:val="22"/>
              </w:rPr>
              <w:t>Preferred System</w:t>
            </w:r>
          </w:p>
        </w:tc>
        <w:tc>
          <w:tcPr>
            <w:tcW w:w="3382" w:type="dxa"/>
            <w:tcBorders>
              <w:top w:val="single" w:sz="4" w:space="0" w:color="auto"/>
              <w:left w:val="single" w:sz="4" w:space="0" w:color="auto"/>
              <w:bottom w:val="single" w:sz="4" w:space="0" w:color="auto"/>
              <w:right w:val="single" w:sz="4" w:space="0" w:color="auto"/>
            </w:tcBorders>
            <w:shd w:val="clear" w:color="auto" w:fill="C0C0C0"/>
            <w:hideMark/>
          </w:tcPr>
          <w:p w:rsidR="00477440" w:rsidRPr="00477440" w:rsidRDefault="00477440" w:rsidP="00477440">
            <w:pPr>
              <w:jc w:val="center"/>
              <w:rPr>
                <w:rFonts w:asciiTheme="minorHAnsi" w:hAnsiTheme="minorHAnsi" w:cs="Arial"/>
                <w:b/>
                <w:sz w:val="22"/>
                <w:szCs w:val="22"/>
              </w:rPr>
            </w:pPr>
            <w:r w:rsidRPr="00477440">
              <w:rPr>
                <w:rFonts w:asciiTheme="minorHAnsi" w:hAnsiTheme="minorHAnsi" w:cs="Arial"/>
                <w:b/>
                <w:sz w:val="22"/>
                <w:szCs w:val="22"/>
              </w:rPr>
              <w:t>Others suitable</w:t>
            </w:r>
          </w:p>
        </w:tc>
      </w:tr>
      <w:tr w:rsidR="00477440" w:rsidRPr="00477440" w:rsidTr="00477440">
        <w:tc>
          <w:tcPr>
            <w:tcW w:w="2139"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rPr>
                <w:rFonts w:asciiTheme="minorHAnsi" w:hAnsiTheme="minorHAnsi"/>
                <w:sz w:val="22"/>
                <w:szCs w:val="22"/>
              </w:rPr>
            </w:pPr>
            <w:r w:rsidRPr="00477440">
              <w:rPr>
                <w:rFonts w:asciiTheme="minorHAnsi" w:hAnsiTheme="minorHAnsi"/>
                <w:sz w:val="22"/>
                <w:szCs w:val="22"/>
              </w:rPr>
              <w:t>Less than £2,500</w:t>
            </w:r>
          </w:p>
        </w:tc>
        <w:tc>
          <w:tcPr>
            <w:tcW w:w="3639"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1"/>
              </w:numPr>
              <w:rPr>
                <w:rFonts w:asciiTheme="minorHAnsi" w:hAnsiTheme="minorHAnsi"/>
                <w:sz w:val="22"/>
                <w:szCs w:val="22"/>
              </w:rPr>
            </w:pPr>
            <w:r w:rsidRPr="00477440">
              <w:rPr>
                <w:rFonts w:asciiTheme="minorHAnsi" w:hAnsiTheme="minorHAnsi"/>
                <w:sz w:val="22"/>
                <w:szCs w:val="22"/>
              </w:rPr>
              <w:t>Existin</w:t>
            </w:r>
            <w:r w:rsidRPr="00EB3935">
              <w:rPr>
                <w:rFonts w:asciiTheme="minorHAnsi" w:hAnsiTheme="minorHAnsi"/>
                <w:sz w:val="22"/>
                <w:szCs w:val="22"/>
              </w:rPr>
              <w:t>g Service Contract.</w:t>
            </w:r>
          </w:p>
        </w:tc>
        <w:tc>
          <w:tcPr>
            <w:tcW w:w="3467" w:type="dxa"/>
            <w:tcBorders>
              <w:top w:val="single" w:sz="4" w:space="0" w:color="auto"/>
              <w:left w:val="single" w:sz="4" w:space="0" w:color="auto"/>
              <w:bottom w:val="single" w:sz="4" w:space="0" w:color="auto"/>
              <w:right w:val="single" w:sz="4" w:space="0" w:color="auto"/>
            </w:tcBorders>
            <w:hideMark/>
          </w:tcPr>
          <w:p w:rsidR="00477440" w:rsidRPr="00EB3935" w:rsidRDefault="00477440" w:rsidP="00177AA5">
            <w:pPr>
              <w:numPr>
                <w:ilvl w:val="0"/>
                <w:numId w:val="1"/>
              </w:numPr>
              <w:rPr>
                <w:rFonts w:asciiTheme="minorHAnsi" w:hAnsiTheme="minorHAnsi"/>
                <w:sz w:val="22"/>
                <w:szCs w:val="22"/>
              </w:rPr>
            </w:pPr>
            <w:r w:rsidRPr="00477440">
              <w:rPr>
                <w:rFonts w:asciiTheme="minorHAnsi" w:hAnsiTheme="minorHAnsi"/>
                <w:sz w:val="22"/>
                <w:szCs w:val="22"/>
              </w:rPr>
              <w:t xml:space="preserve">Petty Cash </w:t>
            </w:r>
            <w:r w:rsidR="00EB3935">
              <w:rPr>
                <w:rFonts w:asciiTheme="minorHAnsi" w:hAnsiTheme="minorHAnsi"/>
                <w:sz w:val="22"/>
                <w:szCs w:val="22"/>
              </w:rPr>
              <w:t>or p</w:t>
            </w:r>
            <w:r w:rsidRPr="00477440">
              <w:rPr>
                <w:rFonts w:asciiTheme="minorHAnsi" w:hAnsiTheme="minorHAnsi"/>
                <w:sz w:val="22"/>
                <w:szCs w:val="22"/>
              </w:rPr>
              <w:t xml:space="preserve">urchasing card </w:t>
            </w:r>
          </w:p>
          <w:p w:rsidR="00477440" w:rsidRPr="00477440" w:rsidRDefault="00EB3935" w:rsidP="00477440">
            <w:pPr>
              <w:numPr>
                <w:ilvl w:val="0"/>
                <w:numId w:val="1"/>
              </w:numPr>
              <w:rPr>
                <w:rFonts w:asciiTheme="minorHAnsi" w:hAnsiTheme="minorHAnsi"/>
                <w:sz w:val="22"/>
                <w:szCs w:val="22"/>
              </w:rPr>
            </w:pPr>
            <w:r>
              <w:rPr>
                <w:rFonts w:asciiTheme="minorHAnsi" w:hAnsiTheme="minorHAnsi"/>
                <w:sz w:val="22"/>
                <w:szCs w:val="22"/>
              </w:rPr>
              <w:t xml:space="preserve">Establish new Service </w:t>
            </w:r>
            <w:r w:rsidR="00477440" w:rsidRPr="00477440">
              <w:rPr>
                <w:rFonts w:asciiTheme="minorHAnsi" w:hAnsiTheme="minorHAnsi"/>
                <w:sz w:val="22"/>
                <w:szCs w:val="22"/>
              </w:rPr>
              <w:t>Contract if regular use is anticipated</w:t>
            </w:r>
          </w:p>
          <w:p w:rsidR="00477440" w:rsidRPr="00477440" w:rsidRDefault="00477440" w:rsidP="00EB3935">
            <w:pPr>
              <w:numPr>
                <w:ilvl w:val="0"/>
                <w:numId w:val="1"/>
              </w:numPr>
              <w:rPr>
                <w:rFonts w:asciiTheme="minorHAnsi" w:hAnsiTheme="minorHAnsi"/>
                <w:sz w:val="22"/>
                <w:szCs w:val="22"/>
              </w:rPr>
            </w:pPr>
            <w:r w:rsidRPr="00477440">
              <w:rPr>
                <w:rFonts w:asciiTheme="minorHAnsi" w:hAnsiTheme="minorHAnsi"/>
                <w:sz w:val="22"/>
                <w:szCs w:val="22"/>
              </w:rPr>
              <w:t>Purchase Order on 1 verbal or written quotation or catalogue price</w:t>
            </w:r>
          </w:p>
        </w:tc>
      </w:tr>
      <w:tr w:rsidR="00477440" w:rsidRPr="00477440" w:rsidTr="00477440">
        <w:tc>
          <w:tcPr>
            <w:tcW w:w="2139"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rPr>
                <w:rFonts w:asciiTheme="minorHAnsi" w:hAnsiTheme="minorHAnsi"/>
                <w:sz w:val="22"/>
                <w:szCs w:val="22"/>
              </w:rPr>
            </w:pPr>
            <w:r w:rsidRPr="00477440">
              <w:rPr>
                <w:rFonts w:asciiTheme="minorHAnsi" w:hAnsiTheme="minorHAnsi"/>
                <w:sz w:val="22"/>
                <w:szCs w:val="22"/>
              </w:rPr>
              <w:br w:type="page"/>
            </w:r>
            <w:r w:rsidRPr="00EB3935">
              <w:rPr>
                <w:rFonts w:asciiTheme="minorHAnsi" w:hAnsiTheme="minorHAnsi"/>
                <w:sz w:val="22"/>
                <w:szCs w:val="22"/>
              </w:rPr>
              <w:t>£2,500-15</w:t>
            </w:r>
            <w:r w:rsidRPr="00477440">
              <w:rPr>
                <w:rFonts w:asciiTheme="minorHAnsi" w:hAnsiTheme="minorHAnsi"/>
                <w:sz w:val="22"/>
                <w:szCs w:val="22"/>
              </w:rPr>
              <w:t>,000</w:t>
            </w:r>
          </w:p>
        </w:tc>
        <w:tc>
          <w:tcPr>
            <w:tcW w:w="3639"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3"/>
              </w:numPr>
              <w:rPr>
                <w:rFonts w:asciiTheme="minorHAnsi" w:hAnsiTheme="minorHAnsi"/>
                <w:sz w:val="22"/>
                <w:szCs w:val="22"/>
              </w:rPr>
            </w:pPr>
            <w:r w:rsidRPr="00477440">
              <w:rPr>
                <w:rFonts w:asciiTheme="minorHAnsi" w:hAnsiTheme="minorHAnsi"/>
                <w:sz w:val="22"/>
                <w:szCs w:val="22"/>
              </w:rPr>
              <w:t>Purchase Order on lowest of 2 or 3 written quotations or catalogue prices</w:t>
            </w:r>
          </w:p>
        </w:tc>
        <w:tc>
          <w:tcPr>
            <w:tcW w:w="3467"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3"/>
              </w:numPr>
              <w:rPr>
                <w:rFonts w:asciiTheme="minorHAnsi" w:hAnsiTheme="minorHAnsi"/>
                <w:sz w:val="22"/>
                <w:szCs w:val="22"/>
              </w:rPr>
            </w:pPr>
            <w:r w:rsidRPr="00477440">
              <w:rPr>
                <w:rFonts w:asciiTheme="minorHAnsi" w:hAnsiTheme="minorHAnsi"/>
                <w:sz w:val="22"/>
                <w:szCs w:val="22"/>
              </w:rPr>
              <w:t xml:space="preserve">Existing contract </w:t>
            </w:r>
          </w:p>
          <w:p w:rsidR="00477440" w:rsidRPr="00477440" w:rsidRDefault="00477440" w:rsidP="00477440">
            <w:pPr>
              <w:numPr>
                <w:ilvl w:val="0"/>
                <w:numId w:val="3"/>
              </w:numPr>
              <w:rPr>
                <w:rFonts w:asciiTheme="minorHAnsi" w:hAnsiTheme="minorHAnsi"/>
                <w:sz w:val="22"/>
                <w:szCs w:val="22"/>
              </w:rPr>
            </w:pPr>
            <w:r w:rsidRPr="00477440">
              <w:rPr>
                <w:rFonts w:asciiTheme="minorHAnsi" w:hAnsiTheme="minorHAnsi"/>
                <w:sz w:val="22"/>
                <w:szCs w:val="22"/>
              </w:rPr>
              <w:t>Full tender exercise, particularly if complex contract or specification</w:t>
            </w:r>
            <w:r w:rsidRPr="00EB3935">
              <w:rPr>
                <w:rFonts w:asciiTheme="minorHAnsi" w:hAnsiTheme="minorHAnsi"/>
                <w:sz w:val="22"/>
                <w:szCs w:val="22"/>
              </w:rPr>
              <w:t>, or high risk</w:t>
            </w:r>
          </w:p>
        </w:tc>
      </w:tr>
      <w:tr w:rsidR="00477440" w:rsidRPr="00477440" w:rsidTr="00477440">
        <w:tc>
          <w:tcPr>
            <w:tcW w:w="2090"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rPr>
                <w:rFonts w:asciiTheme="minorHAnsi" w:hAnsiTheme="minorHAnsi"/>
                <w:sz w:val="22"/>
                <w:szCs w:val="22"/>
              </w:rPr>
            </w:pPr>
            <w:r w:rsidRPr="00EB3935">
              <w:rPr>
                <w:rFonts w:asciiTheme="minorHAnsi" w:hAnsiTheme="minorHAnsi"/>
                <w:sz w:val="22"/>
                <w:szCs w:val="22"/>
              </w:rPr>
              <w:t>£15</w:t>
            </w:r>
            <w:r w:rsidRPr="00477440">
              <w:rPr>
                <w:rFonts w:asciiTheme="minorHAnsi" w:hAnsiTheme="minorHAnsi"/>
                <w:sz w:val="22"/>
                <w:szCs w:val="22"/>
              </w:rPr>
              <w:t>,000-</w:t>
            </w:r>
            <w:r w:rsidRPr="00EB3935">
              <w:rPr>
                <w:rFonts w:asciiTheme="minorHAnsi" w:hAnsiTheme="minorHAnsi"/>
                <w:sz w:val="22"/>
                <w:szCs w:val="22"/>
              </w:rPr>
              <w:t>170,000</w:t>
            </w:r>
          </w:p>
        </w:tc>
        <w:tc>
          <w:tcPr>
            <w:tcW w:w="3545"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4"/>
              </w:numPr>
              <w:rPr>
                <w:rFonts w:asciiTheme="minorHAnsi" w:hAnsiTheme="minorHAnsi"/>
                <w:sz w:val="22"/>
                <w:szCs w:val="22"/>
              </w:rPr>
            </w:pPr>
            <w:r w:rsidRPr="00477440">
              <w:rPr>
                <w:rFonts w:asciiTheme="minorHAnsi" w:hAnsiTheme="minorHAnsi"/>
                <w:sz w:val="22"/>
                <w:szCs w:val="22"/>
              </w:rPr>
              <w:t xml:space="preserve">Full tender exercise, preferably in partnership with a similar organisation.  </w:t>
            </w:r>
          </w:p>
        </w:tc>
        <w:tc>
          <w:tcPr>
            <w:tcW w:w="3381"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3"/>
              </w:numPr>
              <w:rPr>
                <w:rFonts w:asciiTheme="minorHAnsi" w:hAnsiTheme="minorHAnsi"/>
                <w:sz w:val="22"/>
                <w:szCs w:val="22"/>
              </w:rPr>
            </w:pPr>
            <w:r w:rsidRPr="00477440">
              <w:rPr>
                <w:rFonts w:asciiTheme="minorHAnsi" w:hAnsiTheme="minorHAnsi"/>
                <w:sz w:val="22"/>
                <w:szCs w:val="22"/>
              </w:rPr>
              <w:t xml:space="preserve">Consortium Contract </w:t>
            </w:r>
          </w:p>
        </w:tc>
      </w:tr>
      <w:tr w:rsidR="00477440" w:rsidRPr="00477440" w:rsidTr="00477440">
        <w:tc>
          <w:tcPr>
            <w:tcW w:w="2090"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rPr>
                <w:rFonts w:asciiTheme="minorHAnsi" w:hAnsiTheme="minorHAnsi"/>
                <w:sz w:val="22"/>
                <w:szCs w:val="22"/>
              </w:rPr>
            </w:pPr>
            <w:r w:rsidRPr="00EB3935">
              <w:rPr>
                <w:rFonts w:asciiTheme="minorHAnsi" w:hAnsiTheme="minorHAnsi"/>
                <w:sz w:val="22"/>
                <w:szCs w:val="22"/>
              </w:rPr>
              <w:t>£17</w:t>
            </w:r>
            <w:r w:rsidRPr="00477440">
              <w:rPr>
                <w:rFonts w:asciiTheme="minorHAnsi" w:hAnsiTheme="minorHAnsi"/>
                <w:sz w:val="22"/>
                <w:szCs w:val="22"/>
              </w:rPr>
              <w:t>0,000-500,000</w:t>
            </w:r>
          </w:p>
        </w:tc>
        <w:tc>
          <w:tcPr>
            <w:tcW w:w="3545"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4"/>
              </w:numPr>
              <w:rPr>
                <w:rFonts w:asciiTheme="minorHAnsi" w:hAnsiTheme="minorHAnsi"/>
                <w:sz w:val="22"/>
                <w:szCs w:val="22"/>
              </w:rPr>
            </w:pPr>
            <w:r w:rsidRPr="00477440">
              <w:rPr>
                <w:rFonts w:asciiTheme="minorHAnsi" w:hAnsiTheme="minorHAnsi"/>
                <w:sz w:val="22"/>
                <w:szCs w:val="22"/>
              </w:rPr>
              <w:t>Full tender exercise in accordance with EU legislation.</w:t>
            </w:r>
          </w:p>
        </w:tc>
        <w:tc>
          <w:tcPr>
            <w:tcW w:w="3381"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4"/>
              </w:numPr>
              <w:rPr>
                <w:rFonts w:asciiTheme="minorHAnsi" w:hAnsiTheme="minorHAnsi"/>
                <w:sz w:val="22"/>
                <w:szCs w:val="22"/>
              </w:rPr>
            </w:pPr>
            <w:r w:rsidRPr="00477440">
              <w:rPr>
                <w:rFonts w:asciiTheme="minorHAnsi" w:hAnsiTheme="minorHAnsi"/>
                <w:sz w:val="22"/>
                <w:szCs w:val="22"/>
              </w:rPr>
              <w:t>Consortium Contract</w:t>
            </w:r>
          </w:p>
        </w:tc>
      </w:tr>
      <w:tr w:rsidR="00477440" w:rsidRPr="00477440" w:rsidTr="00477440">
        <w:tc>
          <w:tcPr>
            <w:tcW w:w="2093"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rPr>
                <w:rFonts w:asciiTheme="minorHAnsi" w:hAnsiTheme="minorHAnsi"/>
                <w:sz w:val="22"/>
                <w:szCs w:val="22"/>
              </w:rPr>
            </w:pPr>
            <w:r w:rsidRPr="00477440">
              <w:rPr>
                <w:rFonts w:asciiTheme="minorHAnsi" w:hAnsiTheme="minorHAnsi"/>
                <w:sz w:val="22"/>
                <w:szCs w:val="22"/>
              </w:rPr>
              <w:t>More than £500,000</w:t>
            </w:r>
          </w:p>
        </w:tc>
        <w:tc>
          <w:tcPr>
            <w:tcW w:w="3541" w:type="dxa"/>
            <w:tcBorders>
              <w:top w:val="single" w:sz="4" w:space="0" w:color="auto"/>
              <w:left w:val="single" w:sz="4" w:space="0" w:color="auto"/>
              <w:bottom w:val="single" w:sz="4" w:space="0" w:color="auto"/>
              <w:right w:val="single" w:sz="4" w:space="0" w:color="auto"/>
            </w:tcBorders>
            <w:hideMark/>
          </w:tcPr>
          <w:p w:rsidR="00477440" w:rsidRPr="00477440" w:rsidRDefault="00477440" w:rsidP="00477440">
            <w:pPr>
              <w:numPr>
                <w:ilvl w:val="0"/>
                <w:numId w:val="4"/>
              </w:numPr>
              <w:rPr>
                <w:rFonts w:asciiTheme="minorHAnsi" w:hAnsiTheme="minorHAnsi"/>
                <w:sz w:val="22"/>
                <w:szCs w:val="22"/>
              </w:rPr>
            </w:pPr>
            <w:r w:rsidRPr="00477440">
              <w:rPr>
                <w:rFonts w:asciiTheme="minorHAnsi" w:hAnsiTheme="minorHAnsi"/>
                <w:sz w:val="22"/>
                <w:szCs w:val="22"/>
              </w:rPr>
              <w:t>A business case detailing the procurement process to be used must be prepared and approved</w:t>
            </w:r>
          </w:p>
        </w:tc>
        <w:tc>
          <w:tcPr>
            <w:tcW w:w="3382" w:type="dxa"/>
            <w:tcBorders>
              <w:top w:val="single" w:sz="4" w:space="0" w:color="auto"/>
              <w:left w:val="single" w:sz="4" w:space="0" w:color="auto"/>
              <w:bottom w:val="single" w:sz="4" w:space="0" w:color="auto"/>
              <w:right w:val="single" w:sz="4" w:space="0" w:color="auto"/>
            </w:tcBorders>
          </w:tcPr>
          <w:p w:rsidR="00477440" w:rsidRPr="00477440" w:rsidRDefault="00477440" w:rsidP="00477440">
            <w:pPr>
              <w:rPr>
                <w:rFonts w:asciiTheme="minorHAnsi" w:hAnsiTheme="minorHAnsi"/>
                <w:sz w:val="22"/>
                <w:szCs w:val="22"/>
              </w:rPr>
            </w:pPr>
          </w:p>
        </w:tc>
      </w:tr>
    </w:tbl>
    <w:p w:rsidR="00477440" w:rsidRPr="00EB3935" w:rsidRDefault="00477440" w:rsidP="00477440">
      <w:pPr>
        <w:autoSpaceDE w:val="0"/>
        <w:autoSpaceDN w:val="0"/>
        <w:adjustRightInd w:val="0"/>
        <w:spacing w:after="0" w:line="240" w:lineRule="auto"/>
        <w:rPr>
          <w:rFonts w:cs="HelveticaNeue-BoldCond"/>
          <w:b/>
          <w:bCs/>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Advertising our Contracts</w:t>
      </w: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 xml:space="preserve">Contracts over £10,000 and where appropriate contracts under £10,000 will be advertised on the government website: </w:t>
      </w:r>
      <w:r w:rsidRPr="00EB3935">
        <w:rPr>
          <w:rFonts w:cs="HelveticaNeue-BoldCond"/>
          <w:b/>
          <w:bCs/>
          <w:color w:val="000000"/>
        </w:rPr>
        <w:t xml:space="preserve">www.contractsfinder.businesslink.gov.uk </w:t>
      </w:r>
    </w:p>
    <w:p w:rsidR="00477440" w:rsidRPr="00EB3935" w:rsidRDefault="00477440" w:rsidP="00477440">
      <w:pPr>
        <w:autoSpaceDE w:val="0"/>
        <w:autoSpaceDN w:val="0"/>
        <w:adjustRightInd w:val="0"/>
        <w:spacing w:after="0" w:line="240" w:lineRule="auto"/>
        <w:rPr>
          <w:rFonts w:cs="HelveticaNeue-BoldCond"/>
          <w:b/>
          <w:bCs/>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Tendering Procedures</w:t>
      </w: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 xml:space="preserve">When you have expressed an interest you may receive an Invitation to Tender (ITT) however in some cases you </w:t>
      </w:r>
      <w:r w:rsidR="00F240F3">
        <w:rPr>
          <w:rFonts w:cs="HelveticaNeue-Condensed"/>
          <w:color w:val="000000"/>
        </w:rPr>
        <w:t>will be asked to complete a pre-</w:t>
      </w:r>
      <w:r w:rsidRPr="00EB3935">
        <w:rPr>
          <w:rFonts w:cs="HelveticaNeue-Condensed"/>
          <w:color w:val="000000"/>
        </w:rPr>
        <w:t>qualification questionnaire (PQQ). These will be assessed on a number of criteria including technical capability, financial standing, health and safety, equal opportunities and environmental issues. If your PQQ is acceptable you will go through to the next stage which usually means you will be sent an Invitation to Tender (ITT).</w:t>
      </w:r>
    </w:p>
    <w:p w:rsidR="00477440" w:rsidRPr="00EB3935" w:rsidRDefault="00477440" w:rsidP="00477440">
      <w:pPr>
        <w:autoSpaceDE w:val="0"/>
        <w:autoSpaceDN w:val="0"/>
        <w:adjustRightInd w:val="0"/>
        <w:spacing w:after="0" w:line="240" w:lineRule="auto"/>
        <w:rPr>
          <w:rFonts w:cs="HelveticaNeue-Condensed"/>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Tender Evaluation Criteria</w:t>
      </w: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We have an obligation under EU regulations to state what criterion and relevant weightings will be used to evaluate tenders. Although this is not a mandatory requirement for</w:t>
      </w:r>
      <w:r w:rsidR="00EB3935" w:rsidRPr="00EB3935">
        <w:rPr>
          <w:rFonts w:cs="HelveticaNeue-Condensed"/>
          <w:color w:val="000000"/>
        </w:rPr>
        <w:t xml:space="preserve"> </w:t>
      </w:r>
      <w:r w:rsidRPr="00EB3935">
        <w:rPr>
          <w:rFonts w:cs="HelveticaNeue-Condensed"/>
          <w:color w:val="000000"/>
        </w:rPr>
        <w:t xml:space="preserve">Contracts </w:t>
      </w:r>
      <w:r w:rsidR="00EB3935" w:rsidRPr="00EB3935">
        <w:rPr>
          <w:rFonts w:cs="HelveticaNeue-Condensed"/>
          <w:color w:val="000000"/>
        </w:rPr>
        <w:t>below</w:t>
      </w:r>
      <w:r w:rsidRPr="00EB3935">
        <w:rPr>
          <w:rFonts w:cs="HelveticaNeue-Condensed"/>
          <w:color w:val="000000"/>
        </w:rPr>
        <w:t xml:space="preserve"> the EU Threshold it</w:t>
      </w:r>
      <w:r w:rsidR="00EB3935" w:rsidRPr="00EB3935">
        <w:rPr>
          <w:rFonts w:cs="HelveticaNeue-Condensed"/>
          <w:color w:val="000000"/>
        </w:rPr>
        <w:t xml:space="preserve"> </w:t>
      </w:r>
      <w:r w:rsidRPr="00EB3935">
        <w:rPr>
          <w:rFonts w:cs="HelveticaNeue-Condensed"/>
          <w:color w:val="000000"/>
        </w:rPr>
        <w:t>is considered best practice to follow this same procedure when</w:t>
      </w:r>
      <w:r w:rsidR="00F240F3">
        <w:rPr>
          <w:rFonts w:cs="HelveticaNeue-Condensed"/>
          <w:color w:val="000000"/>
        </w:rPr>
        <w:t xml:space="preserve"> </w:t>
      </w:r>
      <w:r w:rsidRPr="00EB3935">
        <w:rPr>
          <w:rFonts w:cs="HelveticaNeue-Condensed"/>
          <w:color w:val="000000"/>
        </w:rPr>
        <w:t>developing the evaluation criteria.</w:t>
      </w:r>
    </w:p>
    <w:p w:rsidR="00EB3935" w:rsidRPr="00EB3935" w:rsidRDefault="00EB3935" w:rsidP="00477440">
      <w:pPr>
        <w:autoSpaceDE w:val="0"/>
        <w:autoSpaceDN w:val="0"/>
        <w:adjustRightInd w:val="0"/>
        <w:spacing w:after="0" w:line="240" w:lineRule="auto"/>
        <w:rPr>
          <w:rFonts w:cs="HelveticaNeue-Condensed"/>
          <w:color w:val="000000"/>
        </w:rPr>
      </w:pPr>
    </w:p>
    <w:p w:rsidR="00477440" w:rsidRPr="00EB3935" w:rsidRDefault="00477440" w:rsidP="00477440">
      <w:pPr>
        <w:autoSpaceDE w:val="0"/>
        <w:autoSpaceDN w:val="0"/>
        <w:adjustRightInd w:val="0"/>
        <w:spacing w:after="0" w:line="240" w:lineRule="auto"/>
        <w:rPr>
          <w:rFonts w:cs="HelveticaNeue-Condensed"/>
          <w:color w:val="000000"/>
        </w:rPr>
      </w:pPr>
      <w:r w:rsidRPr="00EB3935">
        <w:rPr>
          <w:rFonts w:cs="HelveticaNeue-Condensed"/>
          <w:color w:val="000000"/>
        </w:rPr>
        <w:t>The basic criteria will usually be either lowest price or highest</w:t>
      </w:r>
      <w:r w:rsidR="00EB3935" w:rsidRPr="00EB3935">
        <w:rPr>
          <w:rFonts w:cs="HelveticaNeue-Condensed"/>
          <w:color w:val="000000"/>
        </w:rPr>
        <w:t xml:space="preserve"> </w:t>
      </w:r>
      <w:r w:rsidRPr="00EB3935">
        <w:rPr>
          <w:rFonts w:cs="HelveticaNeue-Condensed"/>
          <w:color w:val="000000"/>
        </w:rPr>
        <w:t>price when payment is to be made to the authority e.g. disposal</w:t>
      </w:r>
      <w:r w:rsidR="00EB3935" w:rsidRPr="00EB3935">
        <w:rPr>
          <w:rFonts w:cs="HelveticaNeue-Condensed"/>
          <w:color w:val="000000"/>
        </w:rPr>
        <w:t xml:space="preserve"> </w:t>
      </w:r>
      <w:r w:rsidRPr="00EB3935">
        <w:rPr>
          <w:rFonts w:cs="HelveticaNeue-Condensed"/>
          <w:color w:val="000000"/>
        </w:rPr>
        <w:t>of assets. Alternatively it will be based on the most economically</w:t>
      </w:r>
      <w:r w:rsidR="00EB3935" w:rsidRPr="00EB3935">
        <w:rPr>
          <w:rFonts w:cs="HelveticaNeue-Condensed"/>
          <w:color w:val="000000"/>
        </w:rPr>
        <w:t xml:space="preserve"> </w:t>
      </w:r>
      <w:r w:rsidRPr="00EB3935">
        <w:rPr>
          <w:rFonts w:cs="HelveticaNeue-Condensed"/>
          <w:color w:val="000000"/>
        </w:rPr>
        <w:t>advantageous tender (MEAT) where considerations other than</w:t>
      </w:r>
      <w:r w:rsidR="00EB3935" w:rsidRPr="00EB3935">
        <w:rPr>
          <w:rFonts w:cs="HelveticaNeue-Condensed"/>
          <w:color w:val="000000"/>
        </w:rPr>
        <w:t xml:space="preserve"> </w:t>
      </w:r>
      <w:r w:rsidRPr="00EB3935">
        <w:rPr>
          <w:rFonts w:cs="HelveticaNeue-Condensed"/>
          <w:color w:val="000000"/>
        </w:rPr>
        <w:t>price also apply. These considerations may include price,</w:t>
      </w:r>
      <w:r w:rsidR="00EB3935" w:rsidRPr="00EB3935">
        <w:rPr>
          <w:rFonts w:cs="HelveticaNeue-Condensed"/>
          <w:color w:val="000000"/>
        </w:rPr>
        <w:t xml:space="preserve"> </w:t>
      </w:r>
      <w:r w:rsidRPr="00EB3935">
        <w:rPr>
          <w:rFonts w:cs="HelveticaNeue-Condensed"/>
          <w:color w:val="000000"/>
        </w:rPr>
        <w:t>service, quality of goods, running costs, technical merit,</w:t>
      </w:r>
      <w:r w:rsidR="00EB3935" w:rsidRPr="00EB3935">
        <w:rPr>
          <w:rFonts w:cs="HelveticaNeue-Condensed"/>
          <w:color w:val="000000"/>
        </w:rPr>
        <w:t xml:space="preserve"> </w:t>
      </w:r>
      <w:r w:rsidRPr="00EB3935">
        <w:rPr>
          <w:rFonts w:cs="HelveticaNeue-Condensed"/>
          <w:color w:val="000000"/>
        </w:rPr>
        <w:t>previous experience, delivery date, cost effectiveness,</w:t>
      </w:r>
      <w:r w:rsidR="00EB3935" w:rsidRPr="00EB3935">
        <w:rPr>
          <w:rFonts w:cs="HelveticaNeue-Condensed"/>
          <w:color w:val="000000"/>
        </w:rPr>
        <w:t xml:space="preserve"> </w:t>
      </w:r>
      <w:r w:rsidRPr="00EB3935">
        <w:rPr>
          <w:rFonts w:cs="HelveticaNeue-Condensed"/>
          <w:color w:val="000000"/>
        </w:rPr>
        <w:t>environmental considerations, aesthetic and functional</w:t>
      </w:r>
      <w:r w:rsidR="00EB3935" w:rsidRPr="00EB3935">
        <w:rPr>
          <w:rFonts w:cs="HelveticaNeue-Condensed"/>
          <w:color w:val="000000"/>
        </w:rPr>
        <w:t xml:space="preserve"> </w:t>
      </w:r>
      <w:r w:rsidRPr="00EB3935">
        <w:rPr>
          <w:rFonts w:cs="HelveticaNeue-Condensed"/>
          <w:color w:val="000000"/>
        </w:rPr>
        <w:t>characteristics, safety, after sales service, technical assistance</w:t>
      </w:r>
      <w:r w:rsidR="00EB3935" w:rsidRPr="00EB3935">
        <w:rPr>
          <w:rFonts w:cs="HelveticaNeue-Condensed"/>
          <w:color w:val="000000"/>
        </w:rPr>
        <w:t xml:space="preserve"> </w:t>
      </w:r>
      <w:r w:rsidRPr="00EB3935">
        <w:rPr>
          <w:rFonts w:cs="HelveticaNeue-Condensed"/>
          <w:color w:val="000000"/>
        </w:rPr>
        <w:t>and any other relevant factors.</w:t>
      </w:r>
    </w:p>
    <w:p w:rsidR="00EB3935" w:rsidRPr="00EB3935" w:rsidRDefault="00EB3935" w:rsidP="00477440">
      <w:pPr>
        <w:autoSpaceDE w:val="0"/>
        <w:autoSpaceDN w:val="0"/>
        <w:adjustRightInd w:val="0"/>
        <w:spacing w:after="0" w:line="240" w:lineRule="auto"/>
        <w:rPr>
          <w:rFonts w:cs="HelveticaNeue-BoldCond"/>
          <w:b/>
          <w:bCs/>
          <w:color w:val="000000"/>
        </w:rPr>
      </w:pPr>
    </w:p>
    <w:p w:rsidR="00477440" w:rsidRPr="00EB3935" w:rsidRDefault="00477440" w:rsidP="00477440">
      <w:pPr>
        <w:autoSpaceDE w:val="0"/>
        <w:autoSpaceDN w:val="0"/>
        <w:adjustRightInd w:val="0"/>
        <w:spacing w:after="0" w:line="240" w:lineRule="auto"/>
        <w:rPr>
          <w:rFonts w:cs="HelveticaNeue-BoldCond"/>
          <w:b/>
          <w:bCs/>
          <w:color w:val="000000"/>
        </w:rPr>
      </w:pPr>
      <w:r w:rsidRPr="00EB3935">
        <w:rPr>
          <w:rFonts w:cs="HelveticaNeue-BoldCond"/>
          <w:b/>
          <w:bCs/>
          <w:color w:val="000000"/>
        </w:rPr>
        <w:t>Approved Lists</w:t>
      </w:r>
    </w:p>
    <w:p w:rsidR="00EB3935" w:rsidRPr="00EB3935" w:rsidRDefault="00EB3935" w:rsidP="00477440">
      <w:pPr>
        <w:autoSpaceDE w:val="0"/>
        <w:autoSpaceDN w:val="0"/>
        <w:adjustRightInd w:val="0"/>
        <w:spacing w:after="0" w:line="240" w:lineRule="auto"/>
        <w:rPr>
          <w:rFonts w:cs="HelveticaNeue-Condensed"/>
          <w:color w:val="000000"/>
        </w:rPr>
      </w:pPr>
    </w:p>
    <w:p w:rsidR="00477440" w:rsidRPr="00EB3935" w:rsidRDefault="00EB3935" w:rsidP="00477440">
      <w:pPr>
        <w:autoSpaceDE w:val="0"/>
        <w:autoSpaceDN w:val="0"/>
        <w:adjustRightInd w:val="0"/>
        <w:spacing w:after="0" w:line="240" w:lineRule="auto"/>
        <w:rPr>
          <w:rFonts w:cs="HelveticaNeue-Condensed"/>
          <w:color w:val="000000"/>
        </w:rPr>
      </w:pPr>
      <w:r w:rsidRPr="00EB3935">
        <w:rPr>
          <w:rFonts w:cs="HelveticaNeue-Condensed"/>
          <w:color w:val="000000"/>
        </w:rPr>
        <w:t xml:space="preserve">The Service does not hold an approved list of suppliers. </w:t>
      </w:r>
      <w:r w:rsidR="00477440" w:rsidRPr="00EB3935">
        <w:rPr>
          <w:rFonts w:cs="HelveticaNeue-Condensed"/>
          <w:color w:val="000000"/>
        </w:rPr>
        <w:t xml:space="preserve">Approved supplier lists are </w:t>
      </w:r>
      <w:r w:rsidRPr="00EB3935">
        <w:rPr>
          <w:rFonts w:cs="HelveticaNeue-Condensed"/>
          <w:color w:val="000000"/>
        </w:rPr>
        <w:t xml:space="preserve">often </w:t>
      </w:r>
      <w:r w:rsidR="00477440" w:rsidRPr="00EB3935">
        <w:rPr>
          <w:rFonts w:cs="HelveticaNeue-Condensed"/>
          <w:color w:val="000000"/>
        </w:rPr>
        <w:t>used for building, construction and</w:t>
      </w:r>
      <w:r w:rsidRPr="00EB3935">
        <w:rPr>
          <w:rFonts w:cs="HelveticaNeue-Condensed"/>
          <w:color w:val="000000"/>
        </w:rPr>
        <w:t xml:space="preserve"> </w:t>
      </w:r>
      <w:r w:rsidR="00477440" w:rsidRPr="00EB3935">
        <w:rPr>
          <w:rFonts w:cs="HelveticaNeue-Condensed"/>
          <w:color w:val="000000"/>
        </w:rPr>
        <w:t>maintenance supply or service contracts, valued below the</w:t>
      </w:r>
      <w:r w:rsidRPr="00EB3935">
        <w:rPr>
          <w:rFonts w:cs="HelveticaNeue-Condensed"/>
          <w:color w:val="000000"/>
        </w:rPr>
        <w:t xml:space="preserve"> </w:t>
      </w:r>
      <w:r w:rsidR="00477440" w:rsidRPr="00EB3935">
        <w:rPr>
          <w:rFonts w:cs="HelveticaNeue-Condensed"/>
          <w:color w:val="000000"/>
        </w:rPr>
        <w:t>EU threshold.</w:t>
      </w:r>
      <w:r w:rsidRPr="00EB3935">
        <w:rPr>
          <w:rFonts w:cs="HelveticaNeue-Condensed"/>
          <w:color w:val="000000"/>
        </w:rPr>
        <w:t xml:space="preserve"> Management of these activities is outsourced to Shropshire Council or Telford and Wrekin Council, with suppliers sourced from their approved lists. For details of how to become an approved supplier to these organisations, please see their websites.</w:t>
      </w:r>
    </w:p>
    <w:p w:rsidR="00EB3935" w:rsidRPr="00EB3935" w:rsidRDefault="00EB3935" w:rsidP="00477440">
      <w:pPr>
        <w:autoSpaceDE w:val="0"/>
        <w:autoSpaceDN w:val="0"/>
        <w:adjustRightInd w:val="0"/>
        <w:spacing w:after="0" w:line="240" w:lineRule="auto"/>
        <w:rPr>
          <w:rFonts w:cs="HelveticaNeue-Condensed"/>
          <w:color w:val="000000"/>
        </w:rPr>
      </w:pPr>
    </w:p>
    <w:sectPr w:rsidR="00EB3935" w:rsidRPr="00EB3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BoldCond">
    <w:panose1 w:val="00000000000000000000"/>
    <w:charset w:val="00"/>
    <w:family w:val="swiss"/>
    <w:notTrueType/>
    <w:pitch w:val="default"/>
    <w:sig w:usb0="00000003" w:usb1="00000000" w:usb2="00000000" w:usb3="00000000" w:csb0="00000001" w:csb1="00000000"/>
  </w:font>
  <w:font w:name="HelveticaNeue-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44B"/>
    <w:multiLevelType w:val="hybridMultilevel"/>
    <w:tmpl w:val="6C6246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nsid w:val="156923D9"/>
    <w:multiLevelType w:val="hybridMultilevel"/>
    <w:tmpl w:val="705E5E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nsid w:val="34E26F91"/>
    <w:multiLevelType w:val="hybridMultilevel"/>
    <w:tmpl w:val="1CA8D4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nsid w:val="4D50464D"/>
    <w:multiLevelType w:val="hybridMultilevel"/>
    <w:tmpl w:val="5F3E6746"/>
    <w:lvl w:ilvl="0" w:tplc="08090001">
      <w:start w:val="1"/>
      <w:numFmt w:val="bullet"/>
      <w:lvlText w:val=""/>
      <w:lvlJc w:val="left"/>
      <w:pPr>
        <w:tabs>
          <w:tab w:val="num" w:pos="360"/>
        </w:tabs>
        <w:ind w:left="360" w:hanging="360"/>
      </w:pPr>
      <w:rPr>
        <w:rFonts w:ascii="Symbol" w:hAnsi="Symbol" w:hint="default"/>
      </w:rPr>
    </w:lvl>
    <w:lvl w:ilvl="1" w:tplc="DF7EA83C">
      <w:start w:val="1"/>
      <w:numFmt w:val="bullet"/>
      <w:lvlText w:val="-"/>
      <w:lvlJc w:val="left"/>
      <w:pPr>
        <w:tabs>
          <w:tab w:val="num" w:pos="1080"/>
        </w:tabs>
        <w:ind w:left="1080" w:hanging="360"/>
      </w:pPr>
      <w:rPr>
        <w:rFonts w:ascii="Arial" w:hAnsi="Arial"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40"/>
    <w:rsid w:val="002259D8"/>
    <w:rsid w:val="00225D88"/>
    <w:rsid w:val="00477440"/>
    <w:rsid w:val="00EB3935"/>
    <w:rsid w:val="00F2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6BD04-A077-4383-A2ED-36045C05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4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Shropshire Fire And Rescue</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Kelcey</dc:creator>
  <cp:keywords/>
  <dc:description/>
  <cp:lastModifiedBy>Andrew Kelcey</cp:lastModifiedBy>
  <cp:revision>2</cp:revision>
  <dcterms:created xsi:type="dcterms:W3CDTF">2014-12-22T12:35:00Z</dcterms:created>
  <dcterms:modified xsi:type="dcterms:W3CDTF">2015-01-25T11:26:00Z</dcterms:modified>
</cp:coreProperties>
</file>