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B2169"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382DB12E" w14:textId="33A017E1" w:rsidR="003E3522" w:rsidRPr="006B6095" w:rsidRDefault="0080523B" w:rsidP="003E3522">
      <w:pPr>
        <w:widowControl w:val="0"/>
        <w:ind w:left="1440" w:firstLine="720"/>
        <w:jc w:val="right"/>
        <w:rPr>
          <w:rFonts w:ascii="Arial" w:hAnsi="Arial" w:cs="Arial"/>
          <w:i/>
          <w:snapToGrid w:val="0"/>
          <w:sz w:val="22"/>
          <w:szCs w:val="22"/>
        </w:rPr>
      </w:pPr>
      <w:r>
        <w:rPr>
          <w:rFonts w:ascii="Arial" w:hAnsi="Arial" w:cs="Arial"/>
          <w:snapToGrid w:val="0"/>
          <w:sz w:val="22"/>
          <w:szCs w:val="22"/>
        </w:rPr>
        <w:t>Standards and</w:t>
      </w:r>
      <w:r w:rsidR="003E3522">
        <w:rPr>
          <w:rFonts w:ascii="Arial" w:hAnsi="Arial" w:cs="Arial"/>
          <w:snapToGrid w:val="0"/>
          <w:sz w:val="22"/>
          <w:szCs w:val="22"/>
        </w:rPr>
        <w:t xml:space="preserve"> </w:t>
      </w:r>
      <w:r w:rsidR="003E3522" w:rsidRPr="006B6095">
        <w:rPr>
          <w:rFonts w:ascii="Arial" w:hAnsi="Arial" w:cs="Arial"/>
          <w:snapToGrid w:val="0"/>
          <w:sz w:val="22"/>
          <w:szCs w:val="22"/>
        </w:rPr>
        <w:t>Human Resources Committee</w:t>
      </w:r>
    </w:p>
    <w:p w14:paraId="4BF30B1A" w14:textId="4B9122A3" w:rsidR="003E3522" w:rsidRPr="006B6095" w:rsidRDefault="003E3522" w:rsidP="003E3522">
      <w:pPr>
        <w:widowControl w:val="0"/>
        <w:jc w:val="right"/>
        <w:rPr>
          <w:rFonts w:ascii="Arial" w:hAnsi="Arial" w:cs="Arial"/>
          <w:snapToGrid w:val="0"/>
          <w:sz w:val="22"/>
          <w:szCs w:val="22"/>
        </w:rPr>
      </w:pPr>
      <w:r>
        <w:rPr>
          <w:rFonts w:ascii="Arial" w:hAnsi="Arial" w:cs="Arial"/>
          <w:snapToGrid w:val="0"/>
          <w:sz w:val="22"/>
          <w:szCs w:val="22"/>
        </w:rPr>
        <w:t>17</w:t>
      </w:r>
      <w:r>
        <w:rPr>
          <w:rFonts w:ascii="Arial" w:hAnsi="Arial" w:cs="Arial"/>
          <w:snapToGrid w:val="0"/>
          <w:sz w:val="22"/>
          <w:szCs w:val="22"/>
          <w:vertAlign w:val="superscript"/>
        </w:rPr>
        <w:t xml:space="preserve"> </w:t>
      </w:r>
      <w:r>
        <w:rPr>
          <w:rFonts w:ascii="Arial" w:hAnsi="Arial" w:cs="Arial"/>
          <w:snapToGrid w:val="0"/>
          <w:sz w:val="22"/>
          <w:szCs w:val="22"/>
        </w:rPr>
        <w:t>March 2015</w:t>
      </w:r>
    </w:p>
    <w:p w14:paraId="45FDB2AC" w14:textId="77777777" w:rsidR="00480908" w:rsidRPr="006D45C8" w:rsidRDefault="0008691F" w:rsidP="00CD7850">
      <w:pPr>
        <w:widowControl w:val="0"/>
        <w:rPr>
          <w:rFonts w:ascii="Arial" w:hAnsi="Arial" w:cs="Arial"/>
          <w:snapToGrid w:val="0"/>
          <w:lang w:eastAsia="en-US"/>
        </w:rPr>
      </w:pPr>
      <w:r>
        <w:fldChar w:fldCharType="begin"/>
      </w:r>
      <w:r w:rsidR="00336FE6">
        <w:instrText xml:space="preserve"> FILLIN  "Name of Committee"  \* MERGEFORMAT </w:instrText>
      </w:r>
      <w:r>
        <w:fldChar w:fldCharType="end"/>
      </w:r>
    </w:p>
    <w:p w14:paraId="30BC3C3D" w14:textId="77777777" w:rsidR="003E3522" w:rsidRPr="006B6095" w:rsidRDefault="003E3522" w:rsidP="003E3522">
      <w:pPr>
        <w:rPr>
          <w:rFonts w:ascii="Arial" w:hAnsi="Arial" w:cs="Arial"/>
          <w:b/>
          <w:bCs/>
          <w:sz w:val="40"/>
          <w:szCs w:val="40"/>
        </w:rPr>
      </w:pPr>
      <w:r>
        <w:rPr>
          <w:rFonts w:ascii="Arial" w:hAnsi="Arial" w:cs="Arial"/>
          <w:b/>
          <w:bCs/>
          <w:sz w:val="40"/>
          <w:szCs w:val="40"/>
        </w:rPr>
        <w:t>Reasonable Adjustments Update</w:t>
      </w:r>
    </w:p>
    <w:p w14:paraId="405FBC23" w14:textId="77777777" w:rsidR="00591426" w:rsidRDefault="00591426" w:rsidP="00F72E0D">
      <w:pPr>
        <w:widowControl w:val="0"/>
        <w:jc w:val="both"/>
        <w:rPr>
          <w:rFonts w:ascii="Arial" w:hAnsi="Arial"/>
          <w:b/>
          <w:snapToGrid w:val="0"/>
          <w:lang w:eastAsia="en-US"/>
        </w:rPr>
      </w:pPr>
    </w:p>
    <w:p w14:paraId="33C16B99" w14:textId="77777777" w:rsidR="00CD7850" w:rsidRPr="00117B5F" w:rsidRDefault="00CD7850" w:rsidP="00F72E0D">
      <w:pPr>
        <w:widowControl w:val="0"/>
        <w:jc w:val="both"/>
        <w:rPr>
          <w:rFonts w:ascii="Arial" w:hAnsi="Arial"/>
          <w:b/>
          <w:snapToGrid w:val="0"/>
          <w:lang w:eastAsia="en-US"/>
        </w:rPr>
      </w:pPr>
    </w:p>
    <w:p w14:paraId="1E49A11B" w14:textId="77777777" w:rsidR="002231CA" w:rsidRDefault="002231CA" w:rsidP="00CD7850">
      <w:pPr>
        <w:pStyle w:val="ssheader"/>
        <w:widowControl w:val="0"/>
        <w:rPr>
          <w:sz w:val="28"/>
          <w:szCs w:val="28"/>
        </w:rPr>
      </w:pPr>
      <w:r>
        <w:rPr>
          <w:caps w:val="0"/>
          <w:sz w:val="28"/>
          <w:szCs w:val="28"/>
        </w:rPr>
        <w:t>Report of the Chief Fire Officer</w:t>
      </w:r>
    </w:p>
    <w:p w14:paraId="09B63818" w14:textId="77777777" w:rsidR="00B553DD" w:rsidRDefault="002231CA" w:rsidP="00CD7850">
      <w:pPr>
        <w:pStyle w:val="ssheader"/>
        <w:widowControl w:val="0"/>
        <w:rPr>
          <w:b w:val="0"/>
          <w:caps w:val="0"/>
          <w:sz w:val="24"/>
          <w:szCs w:val="24"/>
        </w:rPr>
      </w:pPr>
      <w:r w:rsidRPr="006D45C8">
        <w:rPr>
          <w:b w:val="0"/>
          <w:caps w:val="0"/>
          <w:sz w:val="24"/>
          <w:szCs w:val="24"/>
        </w:rPr>
        <w:t>For further information about this report please contact</w:t>
      </w:r>
      <w:r w:rsidR="00FB4B9A">
        <w:rPr>
          <w:b w:val="0"/>
          <w:caps w:val="0"/>
          <w:sz w:val="24"/>
          <w:szCs w:val="24"/>
        </w:rPr>
        <w:t xml:space="preserve"> </w:t>
      </w:r>
      <w:r w:rsidR="00B553DD">
        <w:rPr>
          <w:b w:val="0"/>
          <w:caps w:val="0"/>
          <w:sz w:val="24"/>
          <w:szCs w:val="24"/>
        </w:rPr>
        <w:t>John Red</w:t>
      </w:r>
      <w:r w:rsidR="00D73D1C">
        <w:rPr>
          <w:b w:val="0"/>
          <w:caps w:val="0"/>
          <w:sz w:val="24"/>
          <w:szCs w:val="24"/>
        </w:rPr>
        <w:t>mond</w:t>
      </w:r>
      <w:r w:rsidR="00B553DD">
        <w:rPr>
          <w:b w:val="0"/>
          <w:caps w:val="0"/>
          <w:sz w:val="24"/>
          <w:szCs w:val="24"/>
        </w:rPr>
        <w:t>,</w:t>
      </w:r>
    </w:p>
    <w:p w14:paraId="2E92956F" w14:textId="77777777" w:rsidR="00591426" w:rsidRDefault="00FB4B9A" w:rsidP="003E3522">
      <w:pPr>
        <w:pStyle w:val="ssheader"/>
        <w:widowControl w:val="0"/>
        <w:rPr>
          <w:b w:val="0"/>
          <w:bCs w:val="0"/>
          <w:caps w:val="0"/>
          <w:snapToGrid w:val="0"/>
          <w:sz w:val="24"/>
          <w:szCs w:val="24"/>
        </w:rPr>
      </w:pPr>
      <w:r>
        <w:rPr>
          <w:b w:val="0"/>
          <w:caps w:val="0"/>
          <w:sz w:val="24"/>
          <w:szCs w:val="24"/>
        </w:rPr>
        <w:t>Chief Fire Officer, on 01743 260201 or</w:t>
      </w:r>
      <w:r w:rsidR="00CD7850">
        <w:rPr>
          <w:b w:val="0"/>
          <w:caps w:val="0"/>
          <w:sz w:val="24"/>
          <w:szCs w:val="24"/>
        </w:rPr>
        <w:t xml:space="preserve"> </w:t>
      </w:r>
      <w:r w:rsidR="003E3522">
        <w:rPr>
          <w:b w:val="0"/>
          <w:caps w:val="0"/>
          <w:sz w:val="24"/>
          <w:szCs w:val="24"/>
        </w:rPr>
        <w:t>Jonathan Hyams, Equality and Diversity Officer on 01743 260236</w:t>
      </w:r>
      <w:r w:rsidR="003E3522">
        <w:rPr>
          <w:b w:val="0"/>
          <w:bCs w:val="0"/>
          <w:caps w:val="0"/>
          <w:snapToGrid w:val="0"/>
          <w:sz w:val="24"/>
          <w:szCs w:val="24"/>
        </w:rPr>
        <w:t>.</w:t>
      </w:r>
    </w:p>
    <w:p w14:paraId="487B9D50" w14:textId="77777777" w:rsidR="00591426" w:rsidRPr="00987CF9" w:rsidRDefault="00591426" w:rsidP="00F72E0D">
      <w:pPr>
        <w:rPr>
          <w:rFonts w:ascii="Arial" w:hAnsi="Arial" w:cs="Arial"/>
        </w:rPr>
      </w:pPr>
    </w:p>
    <w:p w14:paraId="494EE5AC" w14:textId="77777777" w:rsidR="00591426" w:rsidRDefault="00591426" w:rsidP="00F72E0D">
      <w:pPr>
        <w:pStyle w:val="sssubhead1"/>
      </w:pPr>
      <w:r>
        <w:t>Purpose of Report</w:t>
      </w:r>
    </w:p>
    <w:p w14:paraId="72CDC8A1" w14:textId="77777777" w:rsidR="00117B5F" w:rsidRPr="00117B5F" w:rsidRDefault="00117B5F" w:rsidP="00117B5F">
      <w:pPr>
        <w:pStyle w:val="PlainText"/>
        <w:rPr>
          <w:rFonts w:ascii="Arial" w:hAnsi="Arial" w:cs="Arial"/>
          <w:sz w:val="24"/>
          <w:szCs w:val="24"/>
        </w:rPr>
      </w:pPr>
    </w:p>
    <w:p w14:paraId="5B96BDD3" w14:textId="4271BEC6" w:rsidR="003E3522" w:rsidRPr="006B6095" w:rsidRDefault="00CD7850" w:rsidP="003E3522">
      <w:pPr>
        <w:pStyle w:val="BodyTextIndent2"/>
        <w:jc w:val="left"/>
        <w:rPr>
          <w:rFonts w:ascii="Arial" w:hAnsi="Arial" w:cs="Arial"/>
          <w:sz w:val="22"/>
          <w:szCs w:val="22"/>
        </w:rPr>
      </w:pPr>
      <w:r>
        <w:rPr>
          <w:rFonts w:ascii="Arial" w:hAnsi="Arial" w:cs="Arial"/>
        </w:rPr>
        <w:t xml:space="preserve">This report </w:t>
      </w:r>
      <w:r w:rsidR="003E3522">
        <w:rPr>
          <w:rFonts w:ascii="Arial" w:hAnsi="Arial" w:cs="Arial"/>
        </w:rPr>
        <w:t>provides an overview of the reasonable adjustments</w:t>
      </w:r>
      <w:r w:rsidR="0080523B">
        <w:rPr>
          <w:rFonts w:ascii="Arial" w:hAnsi="Arial" w:cs="Arial"/>
        </w:rPr>
        <w:t>,</w:t>
      </w:r>
      <w:r w:rsidR="003E3522">
        <w:rPr>
          <w:rFonts w:ascii="Arial" w:hAnsi="Arial" w:cs="Arial"/>
        </w:rPr>
        <w:t xml:space="preserve"> made to support employees in their work roles</w:t>
      </w:r>
      <w:r w:rsidR="0080523B">
        <w:rPr>
          <w:rFonts w:ascii="Arial" w:hAnsi="Arial" w:cs="Arial"/>
        </w:rPr>
        <w:t>.</w:t>
      </w:r>
    </w:p>
    <w:p w14:paraId="40FD32E0" w14:textId="77777777" w:rsidR="00591426" w:rsidRDefault="00591426" w:rsidP="002231CA">
      <w:pPr>
        <w:pStyle w:val="PlainText"/>
        <w:ind w:left="720"/>
        <w:rPr>
          <w:rFonts w:ascii="Arial" w:hAnsi="Arial" w:cs="Arial"/>
          <w:sz w:val="24"/>
          <w:szCs w:val="24"/>
        </w:rPr>
      </w:pPr>
    </w:p>
    <w:p w14:paraId="33432560" w14:textId="77777777" w:rsidR="0080523B" w:rsidRPr="006D45C8" w:rsidRDefault="0080523B" w:rsidP="002231CA">
      <w:pPr>
        <w:pStyle w:val="PlainText"/>
        <w:ind w:left="720"/>
        <w:rPr>
          <w:rFonts w:ascii="Arial" w:hAnsi="Arial" w:cs="Arial"/>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859"/>
      </w:tblGrid>
      <w:tr w:rsidR="00591426" w14:paraId="5C7D65C3" w14:textId="77777777" w:rsidTr="001229B4">
        <w:tc>
          <w:tcPr>
            <w:tcW w:w="709" w:type="dxa"/>
            <w:tcBorders>
              <w:top w:val="nil"/>
              <w:left w:val="nil"/>
              <w:bottom w:val="nil"/>
            </w:tcBorders>
          </w:tcPr>
          <w:p w14:paraId="4C959271" w14:textId="77777777" w:rsidR="00591426" w:rsidRPr="000975D5" w:rsidRDefault="00591426" w:rsidP="00F72E0D">
            <w:pPr>
              <w:rPr>
                <w:rFonts w:ascii="Arial" w:hAnsi="Arial" w:cs="Arial"/>
                <w:sz w:val="22"/>
                <w:szCs w:val="22"/>
              </w:rPr>
            </w:pPr>
          </w:p>
          <w:p w14:paraId="211FD571" w14:textId="77777777" w:rsidR="00591426" w:rsidRDefault="00591426" w:rsidP="00F72E0D">
            <w:pPr>
              <w:pStyle w:val="sssubhead1"/>
            </w:pPr>
          </w:p>
        </w:tc>
        <w:tc>
          <w:tcPr>
            <w:tcW w:w="7859" w:type="dxa"/>
          </w:tcPr>
          <w:p w14:paraId="5D4C021A" w14:textId="77777777" w:rsidR="00591426" w:rsidRPr="00987CF9" w:rsidRDefault="00591426" w:rsidP="00F72E0D">
            <w:pPr>
              <w:rPr>
                <w:rFonts w:ascii="Arial" w:hAnsi="Arial" w:cs="Arial"/>
              </w:rPr>
            </w:pPr>
          </w:p>
          <w:p w14:paraId="47F9862C"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4A9D20F2" w14:textId="77777777" w:rsidR="00F415C5" w:rsidRDefault="00F415C5" w:rsidP="00F72E0D">
            <w:pPr>
              <w:pStyle w:val="BodyTextIndent2"/>
              <w:ind w:left="0"/>
              <w:jc w:val="left"/>
              <w:rPr>
                <w:rFonts w:ascii="Arial" w:hAnsi="Arial" w:cs="Arial"/>
              </w:rPr>
            </w:pPr>
          </w:p>
          <w:p w14:paraId="0905D163" w14:textId="77777777" w:rsidR="003E3522" w:rsidRPr="006B6095" w:rsidRDefault="003E3522" w:rsidP="003E3522">
            <w:pPr>
              <w:rPr>
                <w:rFonts w:ascii="Arial" w:hAnsi="Arial" w:cs="Arial"/>
              </w:rPr>
            </w:pPr>
            <w:r w:rsidRPr="006B6095">
              <w:rPr>
                <w:rFonts w:ascii="Arial" w:hAnsi="Arial" w:cs="Arial"/>
              </w:rPr>
              <w:t>The Committee is asked to</w:t>
            </w:r>
            <w:r>
              <w:rPr>
                <w:rFonts w:ascii="Arial" w:hAnsi="Arial" w:cs="Arial"/>
              </w:rPr>
              <w:t xml:space="preserve"> note the content of this report.</w:t>
            </w:r>
          </w:p>
          <w:p w14:paraId="3F3E84E7" w14:textId="77777777" w:rsidR="00591426" w:rsidRPr="00987CF9" w:rsidRDefault="00591426" w:rsidP="00F72E0D">
            <w:pPr>
              <w:rPr>
                <w:rFonts w:ascii="Arial" w:hAnsi="Arial" w:cs="Arial"/>
              </w:rPr>
            </w:pPr>
          </w:p>
        </w:tc>
      </w:tr>
    </w:tbl>
    <w:p w14:paraId="51B5CD7E" w14:textId="77777777" w:rsidR="00591426" w:rsidRDefault="00591426" w:rsidP="00F72E0D">
      <w:pPr>
        <w:rPr>
          <w:rFonts w:ascii="Arial" w:hAnsi="Arial" w:cs="Arial"/>
        </w:rPr>
      </w:pPr>
    </w:p>
    <w:p w14:paraId="39B394C8" w14:textId="77777777" w:rsidR="0080523B" w:rsidRDefault="0080523B" w:rsidP="00F72E0D">
      <w:pPr>
        <w:rPr>
          <w:rFonts w:ascii="Arial" w:hAnsi="Arial" w:cs="Arial"/>
        </w:rPr>
      </w:pPr>
    </w:p>
    <w:p w14:paraId="46994AF1" w14:textId="77777777" w:rsidR="00591426" w:rsidRDefault="00591426" w:rsidP="00F72E0D">
      <w:pPr>
        <w:pStyle w:val="sssubhead1"/>
      </w:pPr>
      <w:r>
        <w:t>Background</w:t>
      </w:r>
    </w:p>
    <w:p w14:paraId="01DCD62C" w14:textId="77777777" w:rsidR="00591426" w:rsidRPr="006D45C8" w:rsidRDefault="00591426" w:rsidP="00F72E0D">
      <w:pPr>
        <w:rPr>
          <w:rFonts w:ascii="Arial" w:hAnsi="Arial" w:cs="Arial"/>
        </w:rPr>
      </w:pPr>
    </w:p>
    <w:p w14:paraId="10110890" w14:textId="31746CF9" w:rsidR="003E3522" w:rsidRDefault="003E3522" w:rsidP="003E3522">
      <w:pPr>
        <w:pStyle w:val="PlainText"/>
        <w:ind w:left="720"/>
        <w:rPr>
          <w:rFonts w:ascii="Arial" w:hAnsi="Arial" w:cs="Arial"/>
          <w:sz w:val="24"/>
          <w:szCs w:val="24"/>
          <w:lang w:val="en-US"/>
        </w:rPr>
      </w:pPr>
      <w:r>
        <w:rPr>
          <w:rFonts w:ascii="Arial" w:hAnsi="Arial" w:cs="Arial"/>
          <w:sz w:val="24"/>
          <w:szCs w:val="24"/>
          <w:lang w:val="en-US"/>
        </w:rPr>
        <w:t xml:space="preserve">The Equality Act 2010 requires Shropshire Fire </w:t>
      </w:r>
      <w:r w:rsidR="0080523B">
        <w:rPr>
          <w:rFonts w:ascii="Arial" w:hAnsi="Arial" w:cs="Arial"/>
          <w:sz w:val="24"/>
          <w:szCs w:val="24"/>
          <w:lang w:val="en-US"/>
        </w:rPr>
        <w:t>and</w:t>
      </w:r>
      <w:r>
        <w:rPr>
          <w:rFonts w:ascii="Arial" w:hAnsi="Arial" w:cs="Arial"/>
          <w:sz w:val="24"/>
          <w:szCs w:val="24"/>
          <w:lang w:val="en-US"/>
        </w:rPr>
        <w:t xml:space="preserve"> Rescue Service to </w:t>
      </w:r>
      <w:r w:rsidR="009B40B0">
        <w:rPr>
          <w:rFonts w:ascii="Arial" w:hAnsi="Arial" w:cs="Arial"/>
          <w:sz w:val="24"/>
          <w:szCs w:val="24"/>
          <w:lang w:val="en-US"/>
        </w:rPr>
        <w:t xml:space="preserve">make </w:t>
      </w:r>
      <w:r>
        <w:rPr>
          <w:rFonts w:ascii="Arial" w:hAnsi="Arial" w:cs="Arial"/>
          <w:sz w:val="24"/>
          <w:szCs w:val="24"/>
          <w:lang w:val="en-US"/>
        </w:rPr>
        <w:t>reasonable adjustments to enable disabled employees to carry out their work.</w:t>
      </w:r>
    </w:p>
    <w:p w14:paraId="78824717" w14:textId="77777777" w:rsidR="003E3522" w:rsidRDefault="003E3522" w:rsidP="003E3522">
      <w:pPr>
        <w:pStyle w:val="PlainText"/>
        <w:ind w:left="720"/>
        <w:rPr>
          <w:rFonts w:ascii="Arial" w:hAnsi="Arial" w:cs="Arial"/>
          <w:sz w:val="24"/>
          <w:szCs w:val="24"/>
          <w:lang w:val="en-US"/>
        </w:rPr>
      </w:pPr>
    </w:p>
    <w:p w14:paraId="38EE38D7" w14:textId="10EFEE7E" w:rsidR="003E3522" w:rsidRDefault="0080523B" w:rsidP="003E3522">
      <w:pPr>
        <w:pStyle w:val="PlainText"/>
        <w:ind w:left="720"/>
        <w:rPr>
          <w:rFonts w:ascii="Arial" w:hAnsi="Arial" w:cs="Arial"/>
          <w:sz w:val="24"/>
          <w:szCs w:val="24"/>
          <w:lang w:val="en-US"/>
        </w:rPr>
      </w:pPr>
      <w:r>
        <w:rPr>
          <w:rFonts w:ascii="Arial" w:hAnsi="Arial" w:cs="Arial"/>
          <w:sz w:val="24"/>
          <w:szCs w:val="24"/>
          <w:lang w:val="en-US"/>
        </w:rPr>
        <w:t>This report provides</w:t>
      </w:r>
      <w:r w:rsidR="003E3522">
        <w:rPr>
          <w:rFonts w:ascii="Arial" w:hAnsi="Arial" w:cs="Arial"/>
          <w:sz w:val="24"/>
          <w:szCs w:val="24"/>
          <w:lang w:val="en-US"/>
        </w:rPr>
        <w:t xml:space="preserve"> an overview of the number a</w:t>
      </w:r>
      <w:r w:rsidR="009B40B0">
        <w:rPr>
          <w:rFonts w:ascii="Arial" w:hAnsi="Arial" w:cs="Arial"/>
          <w:sz w:val="24"/>
          <w:szCs w:val="24"/>
          <w:lang w:val="en-US"/>
        </w:rPr>
        <w:t>nd types of adjustments that were</w:t>
      </w:r>
      <w:r w:rsidR="003E3522">
        <w:rPr>
          <w:rFonts w:ascii="Arial" w:hAnsi="Arial" w:cs="Arial"/>
          <w:sz w:val="24"/>
          <w:szCs w:val="24"/>
          <w:lang w:val="en-US"/>
        </w:rPr>
        <w:t xml:space="preserve"> made to support our disabled employees in the past year, and the associated costs.</w:t>
      </w:r>
    </w:p>
    <w:p w14:paraId="260750C5" w14:textId="77777777" w:rsidR="009C7FA8" w:rsidRPr="006D45C8" w:rsidRDefault="009C7FA8" w:rsidP="00F72E0D">
      <w:pPr>
        <w:ind w:left="720"/>
        <w:rPr>
          <w:rFonts w:ascii="Arial" w:hAnsi="Arial" w:cs="Arial"/>
        </w:rPr>
      </w:pPr>
    </w:p>
    <w:p w14:paraId="01B2660B" w14:textId="097CB147" w:rsidR="003E3522" w:rsidRDefault="0080523B" w:rsidP="003E3522">
      <w:pPr>
        <w:pStyle w:val="sssubhead1"/>
      </w:pPr>
      <w:r>
        <w:rPr>
          <w:snapToGrid w:val="0"/>
        </w:rPr>
        <w:t>C</w:t>
      </w:r>
      <w:r w:rsidR="003E3522">
        <w:rPr>
          <w:snapToGrid w:val="0"/>
        </w:rPr>
        <w:t xml:space="preserve">aseload </w:t>
      </w:r>
    </w:p>
    <w:p w14:paraId="34016A9F" w14:textId="77777777" w:rsidR="003E3522" w:rsidRPr="00F70CBA" w:rsidRDefault="003E3522" w:rsidP="003E3522">
      <w:pPr>
        <w:pStyle w:val="PlainText"/>
        <w:ind w:left="720"/>
      </w:pPr>
    </w:p>
    <w:p w14:paraId="35641933" w14:textId="6B444684" w:rsidR="003E3522" w:rsidRDefault="0080523B" w:rsidP="003E3522">
      <w:pPr>
        <w:pStyle w:val="PlainText"/>
        <w:ind w:left="720"/>
        <w:rPr>
          <w:rFonts w:ascii="Arial" w:hAnsi="Arial" w:cs="Arial"/>
          <w:sz w:val="24"/>
          <w:szCs w:val="24"/>
          <w:lang w:val="en-US"/>
        </w:rPr>
      </w:pPr>
      <w:r>
        <w:rPr>
          <w:rFonts w:ascii="Arial" w:hAnsi="Arial" w:cs="Arial"/>
          <w:sz w:val="24"/>
          <w:szCs w:val="24"/>
          <w:lang w:val="en-US"/>
        </w:rPr>
        <w:t xml:space="preserve">The Service </w:t>
      </w:r>
      <w:r w:rsidR="003E3522">
        <w:rPr>
          <w:rFonts w:ascii="Arial" w:hAnsi="Arial" w:cs="Arial"/>
          <w:sz w:val="24"/>
          <w:szCs w:val="24"/>
          <w:lang w:val="en-US"/>
        </w:rPr>
        <w:t xml:space="preserve">currently has 67 reasonable adjustment cases, an additional 21 since March 2014, the majority of which are for dyslexic employees. </w:t>
      </w:r>
      <w:r>
        <w:rPr>
          <w:rFonts w:ascii="Arial" w:hAnsi="Arial" w:cs="Arial"/>
          <w:sz w:val="24"/>
          <w:szCs w:val="24"/>
          <w:lang w:val="en-US"/>
        </w:rPr>
        <w:t xml:space="preserve"> </w:t>
      </w:r>
      <w:r w:rsidR="003E3522">
        <w:rPr>
          <w:rFonts w:ascii="Arial" w:hAnsi="Arial" w:cs="Arial"/>
          <w:sz w:val="24"/>
          <w:szCs w:val="24"/>
          <w:lang w:val="en-US"/>
        </w:rPr>
        <w:t>The duration of cases varies according</w:t>
      </w:r>
      <w:r>
        <w:rPr>
          <w:rFonts w:ascii="Arial" w:hAnsi="Arial" w:cs="Arial"/>
          <w:sz w:val="24"/>
          <w:szCs w:val="24"/>
          <w:lang w:val="en-US"/>
        </w:rPr>
        <w:t xml:space="preserve"> to</w:t>
      </w:r>
      <w:r w:rsidR="003E3522">
        <w:rPr>
          <w:rFonts w:ascii="Arial" w:hAnsi="Arial" w:cs="Arial"/>
          <w:sz w:val="24"/>
          <w:szCs w:val="24"/>
          <w:lang w:val="en-US"/>
        </w:rPr>
        <w:t xml:space="preserve"> an employee’s needs, with support lasting from a few</w:t>
      </w:r>
      <w:r>
        <w:rPr>
          <w:rFonts w:ascii="Arial" w:hAnsi="Arial" w:cs="Arial"/>
          <w:sz w:val="24"/>
          <w:szCs w:val="24"/>
          <w:lang w:val="en-US"/>
        </w:rPr>
        <w:t xml:space="preserve"> months to the whole of someone</w:t>
      </w:r>
      <w:r w:rsidR="003E3522">
        <w:rPr>
          <w:rFonts w:ascii="Arial" w:hAnsi="Arial" w:cs="Arial"/>
          <w:sz w:val="24"/>
          <w:szCs w:val="24"/>
          <w:lang w:val="en-US"/>
        </w:rPr>
        <w:t>’s employment.</w:t>
      </w:r>
    </w:p>
    <w:p w14:paraId="5C27964A" w14:textId="77777777" w:rsidR="003E3522" w:rsidRDefault="003E3522" w:rsidP="003E3522">
      <w:pPr>
        <w:pStyle w:val="PlainText"/>
        <w:ind w:left="720"/>
        <w:rPr>
          <w:rFonts w:ascii="Arial" w:hAnsi="Arial" w:cs="Arial"/>
          <w:sz w:val="24"/>
          <w:szCs w:val="24"/>
          <w:lang w:val="en-US"/>
        </w:rPr>
      </w:pPr>
    </w:p>
    <w:p w14:paraId="75BD69C6" w14:textId="2E62E4AB" w:rsidR="003E3522" w:rsidRDefault="0080523B" w:rsidP="003E3522">
      <w:pPr>
        <w:pStyle w:val="sssubhead1"/>
      </w:pPr>
      <w:r>
        <w:rPr>
          <w:snapToGrid w:val="0"/>
        </w:rPr>
        <w:t>P</w:t>
      </w:r>
      <w:r w:rsidR="003E3522">
        <w:rPr>
          <w:snapToGrid w:val="0"/>
        </w:rPr>
        <w:t>rocess</w:t>
      </w:r>
    </w:p>
    <w:p w14:paraId="7E8FC969" w14:textId="77777777" w:rsidR="003E3522" w:rsidRDefault="003E3522" w:rsidP="003E3522">
      <w:pPr>
        <w:pStyle w:val="PlainText"/>
        <w:ind w:left="720"/>
        <w:rPr>
          <w:rFonts w:ascii="Arial" w:hAnsi="Arial" w:cs="Arial"/>
          <w:sz w:val="24"/>
          <w:szCs w:val="24"/>
          <w:lang w:val="en-US"/>
        </w:rPr>
      </w:pPr>
    </w:p>
    <w:p w14:paraId="6D2EC457" w14:textId="77777777" w:rsidR="003E3522" w:rsidRDefault="003E3522" w:rsidP="003E3522">
      <w:pPr>
        <w:pStyle w:val="PlainText"/>
        <w:ind w:left="720"/>
        <w:rPr>
          <w:rFonts w:ascii="Arial" w:hAnsi="Arial" w:cs="Arial"/>
          <w:sz w:val="24"/>
          <w:szCs w:val="24"/>
          <w:lang w:val="en-US"/>
        </w:rPr>
      </w:pPr>
      <w:r>
        <w:rPr>
          <w:rFonts w:ascii="Arial" w:hAnsi="Arial" w:cs="Arial"/>
          <w:sz w:val="24"/>
          <w:szCs w:val="24"/>
          <w:lang w:val="en-US"/>
        </w:rPr>
        <w:t>Depending on their needs, employees are referred to an appropriate expert for advice on adjustments to their work processes, and equipment may be provided to enable them to carry out their work role.</w:t>
      </w:r>
    </w:p>
    <w:p w14:paraId="362F3FE8" w14:textId="77777777" w:rsidR="003E3522" w:rsidRDefault="003E3522" w:rsidP="003E3522">
      <w:pPr>
        <w:pStyle w:val="PlainText"/>
        <w:ind w:left="720"/>
        <w:rPr>
          <w:rFonts w:ascii="Arial" w:hAnsi="Arial" w:cs="Arial"/>
          <w:sz w:val="24"/>
          <w:szCs w:val="24"/>
          <w:lang w:val="en-US"/>
        </w:rPr>
      </w:pPr>
    </w:p>
    <w:p w14:paraId="4DB37C53" w14:textId="14D84F1C" w:rsidR="003E3522" w:rsidRDefault="003E3522" w:rsidP="003E3522">
      <w:pPr>
        <w:pStyle w:val="PlainText"/>
        <w:ind w:left="720"/>
        <w:rPr>
          <w:rFonts w:ascii="Arial" w:hAnsi="Arial" w:cs="Arial"/>
          <w:sz w:val="24"/>
          <w:szCs w:val="24"/>
          <w:lang w:val="en-US"/>
        </w:rPr>
      </w:pPr>
      <w:r>
        <w:rPr>
          <w:rFonts w:ascii="Arial" w:hAnsi="Arial" w:cs="Arial"/>
          <w:sz w:val="24"/>
          <w:szCs w:val="24"/>
          <w:lang w:val="en-US"/>
        </w:rPr>
        <w:lastRenderedPageBreak/>
        <w:t>Initial referrals may include Occupational Health and Access to Work for specialist advice and/or potential funding for w</w:t>
      </w:r>
      <w:r w:rsidR="0080523B">
        <w:rPr>
          <w:rFonts w:ascii="Arial" w:hAnsi="Arial" w:cs="Arial"/>
          <w:sz w:val="24"/>
          <w:szCs w:val="24"/>
          <w:lang w:val="en-US"/>
        </w:rPr>
        <w:t xml:space="preserve">orkplace support and equipment.  </w:t>
      </w:r>
      <w:r>
        <w:rPr>
          <w:rFonts w:ascii="Arial" w:hAnsi="Arial" w:cs="Arial"/>
          <w:sz w:val="24"/>
          <w:szCs w:val="24"/>
          <w:lang w:val="en-US"/>
        </w:rPr>
        <w:t>Dyslexia accounts for some 80</w:t>
      </w:r>
      <w:r w:rsidR="0080523B">
        <w:rPr>
          <w:rFonts w:ascii="Arial" w:hAnsi="Arial" w:cs="Arial"/>
          <w:sz w:val="24"/>
          <w:szCs w:val="24"/>
          <w:lang w:val="en-US"/>
        </w:rPr>
        <w:t>% of the Service’s</w:t>
      </w:r>
      <w:r w:rsidRPr="00532C6B">
        <w:rPr>
          <w:rFonts w:ascii="Arial" w:hAnsi="Arial" w:cs="Arial"/>
          <w:sz w:val="24"/>
          <w:szCs w:val="24"/>
          <w:lang w:val="en-US"/>
        </w:rPr>
        <w:t xml:space="preserve"> cases</w:t>
      </w:r>
      <w:r w:rsidR="00A85D35">
        <w:rPr>
          <w:rFonts w:ascii="Arial" w:hAnsi="Arial" w:cs="Arial"/>
          <w:sz w:val="24"/>
          <w:szCs w:val="24"/>
          <w:lang w:val="en-US"/>
        </w:rPr>
        <w:t>.  E</w:t>
      </w:r>
      <w:r>
        <w:rPr>
          <w:rFonts w:ascii="Arial" w:hAnsi="Arial" w:cs="Arial"/>
          <w:sz w:val="24"/>
          <w:szCs w:val="24"/>
          <w:lang w:val="en-US"/>
        </w:rPr>
        <w:t>mployees</w:t>
      </w:r>
      <w:r w:rsidR="0080523B">
        <w:rPr>
          <w:rFonts w:ascii="Arial" w:hAnsi="Arial" w:cs="Arial"/>
          <w:sz w:val="24"/>
          <w:szCs w:val="24"/>
          <w:lang w:val="en-US"/>
        </w:rPr>
        <w:t>,</w:t>
      </w:r>
      <w:r>
        <w:rPr>
          <w:rFonts w:ascii="Arial" w:hAnsi="Arial" w:cs="Arial"/>
          <w:sz w:val="24"/>
          <w:szCs w:val="24"/>
          <w:lang w:val="en-US"/>
        </w:rPr>
        <w:t xml:space="preserve"> who </w:t>
      </w:r>
      <w:r w:rsidR="00A85D35">
        <w:rPr>
          <w:rFonts w:ascii="Arial" w:hAnsi="Arial" w:cs="Arial"/>
          <w:sz w:val="24"/>
          <w:szCs w:val="24"/>
          <w:lang w:val="en-US"/>
        </w:rPr>
        <w:t>self-refer or are referred to E&amp;</w:t>
      </w:r>
      <w:r>
        <w:rPr>
          <w:rFonts w:ascii="Arial" w:hAnsi="Arial" w:cs="Arial"/>
          <w:sz w:val="24"/>
          <w:szCs w:val="24"/>
          <w:lang w:val="en-US"/>
        </w:rPr>
        <w:t>D</w:t>
      </w:r>
      <w:r w:rsidR="00A85D35">
        <w:rPr>
          <w:rFonts w:ascii="Arial" w:hAnsi="Arial" w:cs="Arial"/>
          <w:sz w:val="24"/>
          <w:szCs w:val="24"/>
          <w:lang w:val="en-US"/>
        </w:rPr>
        <w:t>,</w:t>
      </w:r>
      <w:r>
        <w:rPr>
          <w:rFonts w:ascii="Arial" w:hAnsi="Arial" w:cs="Arial"/>
          <w:sz w:val="24"/>
          <w:szCs w:val="24"/>
          <w:lang w:val="en-US"/>
        </w:rPr>
        <w:t xml:space="preserve"> are assessed by a </w:t>
      </w:r>
      <w:r w:rsidRPr="00532C6B">
        <w:rPr>
          <w:rFonts w:ascii="Arial" w:hAnsi="Arial" w:cs="Arial"/>
          <w:sz w:val="24"/>
          <w:szCs w:val="24"/>
          <w:lang w:val="en-US"/>
        </w:rPr>
        <w:t>professional psychologist</w:t>
      </w:r>
      <w:r w:rsidR="00A85D35">
        <w:rPr>
          <w:rFonts w:ascii="Arial" w:hAnsi="Arial" w:cs="Arial"/>
          <w:sz w:val="24"/>
          <w:szCs w:val="24"/>
          <w:lang w:val="en-US"/>
        </w:rPr>
        <w:t>,</w:t>
      </w:r>
      <w:r>
        <w:rPr>
          <w:rFonts w:ascii="Arial" w:hAnsi="Arial" w:cs="Arial"/>
          <w:sz w:val="24"/>
          <w:szCs w:val="24"/>
          <w:lang w:val="en-US"/>
        </w:rPr>
        <w:t xml:space="preserve"> who diagnoses whether they are dyslexic and</w:t>
      </w:r>
      <w:r w:rsidR="00A85D35">
        <w:rPr>
          <w:rFonts w:ascii="Arial" w:hAnsi="Arial" w:cs="Arial"/>
          <w:sz w:val="24"/>
          <w:szCs w:val="24"/>
          <w:lang w:val="en-US"/>
        </w:rPr>
        <w:t>,</w:t>
      </w:r>
      <w:r>
        <w:rPr>
          <w:rFonts w:ascii="Arial" w:hAnsi="Arial" w:cs="Arial"/>
          <w:sz w:val="24"/>
          <w:szCs w:val="24"/>
          <w:lang w:val="en-US"/>
        </w:rPr>
        <w:t xml:space="preserve"> if so</w:t>
      </w:r>
      <w:r w:rsidR="00A85D35">
        <w:rPr>
          <w:rFonts w:ascii="Arial" w:hAnsi="Arial" w:cs="Arial"/>
          <w:sz w:val="24"/>
          <w:szCs w:val="24"/>
          <w:lang w:val="en-US"/>
        </w:rPr>
        <w:t>,</w:t>
      </w:r>
      <w:r>
        <w:rPr>
          <w:rFonts w:ascii="Arial" w:hAnsi="Arial" w:cs="Arial"/>
          <w:sz w:val="24"/>
          <w:szCs w:val="24"/>
          <w:lang w:val="en-US"/>
        </w:rPr>
        <w:t xml:space="preserve"> the probable level and type of support </w:t>
      </w:r>
      <w:r w:rsidRPr="00532C6B">
        <w:rPr>
          <w:rFonts w:ascii="Arial" w:hAnsi="Arial" w:cs="Arial"/>
          <w:sz w:val="24"/>
          <w:szCs w:val="24"/>
          <w:lang w:val="en-US"/>
        </w:rPr>
        <w:t xml:space="preserve">and equipment </w:t>
      </w:r>
      <w:r>
        <w:rPr>
          <w:rFonts w:ascii="Arial" w:hAnsi="Arial" w:cs="Arial"/>
          <w:sz w:val="24"/>
          <w:szCs w:val="24"/>
          <w:lang w:val="en-US"/>
        </w:rPr>
        <w:t>they need.</w:t>
      </w:r>
    </w:p>
    <w:p w14:paraId="79B55C35" w14:textId="77777777" w:rsidR="003E3522" w:rsidRPr="00A85D35" w:rsidRDefault="003E3522" w:rsidP="003E3522">
      <w:pPr>
        <w:pStyle w:val="PlainText"/>
        <w:ind w:left="720"/>
        <w:rPr>
          <w:rFonts w:ascii="Arial" w:hAnsi="Arial" w:cs="Arial"/>
          <w:lang w:val="en-US"/>
        </w:rPr>
      </w:pPr>
    </w:p>
    <w:p w14:paraId="3D9F5836" w14:textId="495FAFE0" w:rsidR="003E3522" w:rsidRDefault="003E3522" w:rsidP="003E3522">
      <w:pPr>
        <w:pStyle w:val="PlainText"/>
        <w:ind w:left="720"/>
        <w:rPr>
          <w:rFonts w:ascii="Arial" w:hAnsi="Arial" w:cs="Arial"/>
          <w:sz w:val="24"/>
          <w:szCs w:val="24"/>
          <w:lang w:val="en-US"/>
        </w:rPr>
      </w:pPr>
      <w:r>
        <w:rPr>
          <w:rFonts w:ascii="Arial" w:hAnsi="Arial" w:cs="Arial"/>
          <w:sz w:val="24"/>
          <w:szCs w:val="24"/>
          <w:lang w:val="en-US"/>
        </w:rPr>
        <w:t>Other</w:t>
      </w:r>
      <w:r w:rsidRPr="00532C6B">
        <w:rPr>
          <w:rFonts w:ascii="Arial" w:hAnsi="Arial" w:cs="Arial"/>
          <w:sz w:val="24"/>
          <w:szCs w:val="24"/>
          <w:lang w:val="en-US"/>
        </w:rPr>
        <w:t xml:space="preserve"> cases </w:t>
      </w:r>
      <w:r>
        <w:rPr>
          <w:rFonts w:ascii="Arial" w:hAnsi="Arial" w:cs="Arial"/>
          <w:sz w:val="24"/>
          <w:szCs w:val="24"/>
          <w:lang w:val="en-US"/>
        </w:rPr>
        <w:t>have included b</w:t>
      </w:r>
      <w:r w:rsidRPr="00532C6B">
        <w:rPr>
          <w:rFonts w:ascii="Arial" w:hAnsi="Arial" w:cs="Arial"/>
          <w:sz w:val="24"/>
          <w:szCs w:val="24"/>
          <w:lang w:val="en-US"/>
        </w:rPr>
        <w:t xml:space="preserve">ack, neck </w:t>
      </w:r>
      <w:r>
        <w:rPr>
          <w:rFonts w:ascii="Arial" w:hAnsi="Arial" w:cs="Arial"/>
          <w:sz w:val="24"/>
          <w:szCs w:val="24"/>
          <w:lang w:val="en-US"/>
        </w:rPr>
        <w:t xml:space="preserve">and </w:t>
      </w:r>
      <w:r w:rsidRPr="00532C6B">
        <w:rPr>
          <w:rFonts w:ascii="Arial" w:hAnsi="Arial" w:cs="Arial"/>
          <w:sz w:val="24"/>
          <w:szCs w:val="24"/>
          <w:lang w:val="en-US"/>
        </w:rPr>
        <w:t xml:space="preserve">wrist problems, hearing </w:t>
      </w:r>
      <w:r>
        <w:rPr>
          <w:rFonts w:ascii="Arial" w:hAnsi="Arial" w:cs="Arial"/>
          <w:sz w:val="24"/>
          <w:szCs w:val="24"/>
          <w:lang w:val="en-US"/>
        </w:rPr>
        <w:t xml:space="preserve">and visual </w:t>
      </w:r>
      <w:r w:rsidRPr="00532C6B">
        <w:rPr>
          <w:rFonts w:ascii="Arial" w:hAnsi="Arial" w:cs="Arial"/>
          <w:sz w:val="24"/>
          <w:szCs w:val="24"/>
          <w:lang w:val="en-US"/>
        </w:rPr>
        <w:t>impairment</w:t>
      </w:r>
      <w:r>
        <w:rPr>
          <w:rFonts w:ascii="Arial" w:hAnsi="Arial" w:cs="Arial"/>
          <w:sz w:val="24"/>
          <w:szCs w:val="24"/>
          <w:lang w:val="en-US"/>
        </w:rPr>
        <w:t>s and</w:t>
      </w:r>
      <w:r w:rsidRPr="00532C6B">
        <w:rPr>
          <w:rFonts w:ascii="Arial" w:hAnsi="Arial" w:cs="Arial"/>
          <w:sz w:val="24"/>
          <w:szCs w:val="24"/>
          <w:lang w:val="en-US"/>
        </w:rPr>
        <w:t xml:space="preserve"> dyspraxia</w:t>
      </w:r>
      <w:r>
        <w:rPr>
          <w:rFonts w:ascii="Arial" w:hAnsi="Arial" w:cs="Arial"/>
          <w:sz w:val="24"/>
          <w:szCs w:val="24"/>
          <w:lang w:val="en-US"/>
        </w:rPr>
        <w:t xml:space="preserve">. </w:t>
      </w:r>
      <w:r w:rsidR="00A85D35">
        <w:rPr>
          <w:rFonts w:ascii="Arial" w:hAnsi="Arial" w:cs="Arial"/>
          <w:sz w:val="24"/>
          <w:szCs w:val="24"/>
          <w:lang w:val="en-US"/>
        </w:rPr>
        <w:t xml:space="preserve"> </w:t>
      </w:r>
      <w:r>
        <w:rPr>
          <w:rFonts w:ascii="Arial" w:hAnsi="Arial" w:cs="Arial"/>
          <w:sz w:val="24"/>
          <w:szCs w:val="24"/>
          <w:lang w:val="en-US"/>
        </w:rPr>
        <w:t xml:space="preserve">These </w:t>
      </w:r>
      <w:r w:rsidRPr="00532C6B">
        <w:rPr>
          <w:rFonts w:ascii="Arial" w:hAnsi="Arial" w:cs="Arial"/>
          <w:sz w:val="24"/>
          <w:szCs w:val="24"/>
          <w:lang w:val="en-US"/>
        </w:rPr>
        <w:t xml:space="preserve">involve </w:t>
      </w:r>
      <w:r>
        <w:rPr>
          <w:rFonts w:ascii="Arial" w:hAnsi="Arial" w:cs="Arial"/>
          <w:sz w:val="24"/>
          <w:szCs w:val="24"/>
          <w:lang w:val="en-US"/>
        </w:rPr>
        <w:t xml:space="preserve">the provision of </w:t>
      </w:r>
      <w:r w:rsidRPr="00532C6B">
        <w:rPr>
          <w:rFonts w:ascii="Arial" w:hAnsi="Arial" w:cs="Arial"/>
          <w:sz w:val="24"/>
          <w:szCs w:val="24"/>
          <w:lang w:val="en-US"/>
        </w:rPr>
        <w:t>workplace equipment.</w:t>
      </w:r>
    </w:p>
    <w:p w14:paraId="2507EC4E" w14:textId="77777777" w:rsidR="003E3522" w:rsidRPr="00A85D35" w:rsidRDefault="003E3522" w:rsidP="003E3522">
      <w:pPr>
        <w:pStyle w:val="PlainText"/>
        <w:ind w:left="720"/>
        <w:rPr>
          <w:rFonts w:ascii="Arial" w:hAnsi="Arial" w:cs="Arial"/>
          <w:lang w:val="en-US"/>
        </w:rPr>
      </w:pPr>
    </w:p>
    <w:p w14:paraId="3C013A43" w14:textId="582C9ED0" w:rsidR="003E3522" w:rsidRDefault="003E3522" w:rsidP="003E3522">
      <w:pPr>
        <w:pStyle w:val="PlainText"/>
        <w:ind w:left="720"/>
        <w:rPr>
          <w:rFonts w:ascii="Arial" w:hAnsi="Arial" w:cs="Arial"/>
          <w:sz w:val="24"/>
          <w:szCs w:val="24"/>
          <w:lang w:val="en-US"/>
        </w:rPr>
      </w:pPr>
      <w:r>
        <w:rPr>
          <w:rFonts w:ascii="Arial" w:hAnsi="Arial" w:cs="Arial"/>
          <w:sz w:val="24"/>
          <w:szCs w:val="24"/>
          <w:lang w:val="en-US"/>
        </w:rPr>
        <w:t>When an assessment is received the em</w:t>
      </w:r>
      <w:r w:rsidR="00A85D35">
        <w:rPr>
          <w:rFonts w:ascii="Arial" w:hAnsi="Arial" w:cs="Arial"/>
          <w:sz w:val="24"/>
          <w:szCs w:val="24"/>
          <w:lang w:val="en-US"/>
        </w:rPr>
        <w:t>ployee meets with the Equality and</w:t>
      </w:r>
      <w:r>
        <w:rPr>
          <w:rFonts w:ascii="Arial" w:hAnsi="Arial" w:cs="Arial"/>
          <w:sz w:val="24"/>
          <w:szCs w:val="24"/>
          <w:lang w:val="en-US"/>
        </w:rPr>
        <w:t xml:space="preserve"> Diversity Officer and</w:t>
      </w:r>
      <w:r w:rsidR="00A85D35">
        <w:rPr>
          <w:rFonts w:ascii="Arial" w:hAnsi="Arial" w:cs="Arial"/>
          <w:sz w:val="24"/>
          <w:szCs w:val="24"/>
          <w:lang w:val="en-US"/>
        </w:rPr>
        <w:t>,</w:t>
      </w:r>
      <w:r>
        <w:rPr>
          <w:rFonts w:ascii="Arial" w:hAnsi="Arial" w:cs="Arial"/>
          <w:sz w:val="24"/>
          <w:szCs w:val="24"/>
          <w:lang w:val="en-US"/>
        </w:rPr>
        <w:t xml:space="preserve"> where appropriate</w:t>
      </w:r>
      <w:r w:rsidR="00A85D35">
        <w:rPr>
          <w:rFonts w:ascii="Arial" w:hAnsi="Arial" w:cs="Arial"/>
          <w:sz w:val="24"/>
          <w:szCs w:val="24"/>
          <w:lang w:val="en-US"/>
        </w:rPr>
        <w:t>, with other officers</w:t>
      </w:r>
      <w:r>
        <w:rPr>
          <w:rFonts w:ascii="Arial" w:hAnsi="Arial" w:cs="Arial"/>
          <w:sz w:val="24"/>
          <w:szCs w:val="24"/>
          <w:lang w:val="en-US"/>
        </w:rPr>
        <w:t xml:space="preserve"> to discuss and agree an action plan. </w:t>
      </w:r>
      <w:r w:rsidR="00A85D35">
        <w:rPr>
          <w:rFonts w:ascii="Arial" w:hAnsi="Arial" w:cs="Arial"/>
          <w:sz w:val="24"/>
          <w:szCs w:val="24"/>
          <w:lang w:val="en-US"/>
        </w:rPr>
        <w:t xml:space="preserve"> </w:t>
      </w:r>
      <w:r>
        <w:rPr>
          <w:rFonts w:ascii="Arial" w:hAnsi="Arial" w:cs="Arial"/>
          <w:sz w:val="24"/>
          <w:szCs w:val="24"/>
          <w:lang w:val="en-US"/>
        </w:rPr>
        <w:t>Only those recommendations that are agreed as necessary are put in place,</w:t>
      </w:r>
      <w:r w:rsidR="00A85D35">
        <w:rPr>
          <w:rFonts w:ascii="Arial" w:hAnsi="Arial" w:cs="Arial"/>
          <w:sz w:val="24"/>
          <w:szCs w:val="24"/>
          <w:lang w:val="en-US"/>
        </w:rPr>
        <w:t xml:space="preserve"> which</w:t>
      </w:r>
      <w:r>
        <w:rPr>
          <w:rFonts w:ascii="Arial" w:hAnsi="Arial" w:cs="Arial"/>
          <w:sz w:val="24"/>
          <w:szCs w:val="24"/>
          <w:lang w:val="en-US"/>
        </w:rPr>
        <w:t xml:space="preserve"> may include combinations of equipment, tuition, training, support, ‘buddying’, mentoring and training. </w:t>
      </w:r>
    </w:p>
    <w:p w14:paraId="1624F296" w14:textId="77777777" w:rsidR="003E3522" w:rsidRPr="00A85D35" w:rsidRDefault="003E3522" w:rsidP="003E3522">
      <w:pPr>
        <w:pStyle w:val="PlainText"/>
        <w:ind w:left="720"/>
        <w:rPr>
          <w:rFonts w:ascii="Arial" w:hAnsi="Arial" w:cs="Arial"/>
          <w:lang w:val="en-US"/>
        </w:rPr>
      </w:pPr>
      <w:r>
        <w:rPr>
          <w:rFonts w:ascii="Arial" w:hAnsi="Arial" w:cs="Arial"/>
          <w:sz w:val="24"/>
          <w:szCs w:val="24"/>
          <w:lang w:val="en-US"/>
        </w:rPr>
        <w:t xml:space="preserve"> </w:t>
      </w:r>
    </w:p>
    <w:p w14:paraId="227B1A98" w14:textId="77777777" w:rsidR="003E3522" w:rsidRPr="006B6095" w:rsidRDefault="003E3522" w:rsidP="003E3522">
      <w:pPr>
        <w:pStyle w:val="sssubhead1"/>
        <w:rPr>
          <w:snapToGrid w:val="0"/>
        </w:rPr>
      </w:pPr>
      <w:r>
        <w:rPr>
          <w:snapToGrid w:val="0"/>
        </w:rPr>
        <w:t>Adjustments</w:t>
      </w:r>
    </w:p>
    <w:p w14:paraId="67B7F23D" w14:textId="77777777" w:rsidR="003E3522" w:rsidRPr="00A85D35" w:rsidRDefault="003E3522" w:rsidP="003E3522">
      <w:pPr>
        <w:pStyle w:val="sssubhead1"/>
        <w:numPr>
          <w:ilvl w:val="0"/>
          <w:numId w:val="0"/>
        </w:numPr>
        <w:ind w:left="720"/>
        <w:rPr>
          <w:b w:val="0"/>
          <w:sz w:val="20"/>
          <w:szCs w:val="20"/>
        </w:rPr>
      </w:pPr>
    </w:p>
    <w:p w14:paraId="16D4F0C5" w14:textId="77777777" w:rsidR="003E3522" w:rsidRDefault="003E3522" w:rsidP="003E3522">
      <w:pPr>
        <w:pStyle w:val="PlainText"/>
        <w:ind w:left="720"/>
        <w:rPr>
          <w:rFonts w:ascii="Arial" w:hAnsi="Arial" w:cs="Arial"/>
          <w:sz w:val="24"/>
          <w:szCs w:val="24"/>
        </w:rPr>
      </w:pPr>
      <w:r>
        <w:rPr>
          <w:rFonts w:ascii="Arial" w:hAnsi="Arial" w:cs="Arial"/>
          <w:sz w:val="24"/>
          <w:szCs w:val="24"/>
        </w:rPr>
        <w:t>The need for adjustments depends on individual circumstances. Among the more common are:</w:t>
      </w:r>
    </w:p>
    <w:p w14:paraId="42D5663B" w14:textId="77777777" w:rsidR="00A85D35" w:rsidRDefault="00A85D35" w:rsidP="003E3522">
      <w:pPr>
        <w:pStyle w:val="PlainText"/>
        <w:ind w:left="720"/>
        <w:rPr>
          <w:rFonts w:ascii="Arial" w:hAnsi="Arial" w:cs="Arial"/>
          <w:sz w:val="24"/>
          <w:szCs w:val="24"/>
        </w:rPr>
      </w:pPr>
    </w:p>
    <w:p w14:paraId="02256A8B" w14:textId="4210D2CA" w:rsidR="003E3522" w:rsidRDefault="00A85D35" w:rsidP="003E3522">
      <w:pPr>
        <w:pStyle w:val="PlainText"/>
        <w:ind w:left="720"/>
        <w:rPr>
          <w:rFonts w:ascii="Arial" w:hAnsi="Arial" w:cs="Arial"/>
          <w:b/>
          <w:sz w:val="24"/>
          <w:szCs w:val="24"/>
        </w:rPr>
      </w:pPr>
      <w:r>
        <w:rPr>
          <w:rFonts w:ascii="Arial" w:hAnsi="Arial" w:cs="Arial"/>
          <w:b/>
          <w:sz w:val="24"/>
          <w:szCs w:val="24"/>
        </w:rPr>
        <w:t>Dyslexic employees</w:t>
      </w:r>
    </w:p>
    <w:p w14:paraId="109F15B7" w14:textId="77777777" w:rsidR="00A85D35" w:rsidRDefault="00A85D35" w:rsidP="003E3522">
      <w:pPr>
        <w:pStyle w:val="PlainText"/>
        <w:ind w:left="720"/>
        <w:rPr>
          <w:rFonts w:ascii="Arial" w:hAnsi="Arial" w:cs="Arial"/>
          <w:b/>
          <w:sz w:val="24"/>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969"/>
      </w:tblGrid>
      <w:tr w:rsidR="003E3522" w14:paraId="07303ED6" w14:textId="77777777" w:rsidTr="00A85D35">
        <w:tc>
          <w:tcPr>
            <w:tcW w:w="4253" w:type="dxa"/>
          </w:tcPr>
          <w:p w14:paraId="70751A14" w14:textId="77777777" w:rsidR="003E3522" w:rsidRDefault="003E3522" w:rsidP="00A85D35">
            <w:pPr>
              <w:pStyle w:val="PlainText"/>
              <w:numPr>
                <w:ilvl w:val="0"/>
                <w:numId w:val="29"/>
              </w:numPr>
              <w:ind w:left="317" w:hanging="425"/>
              <w:rPr>
                <w:rFonts w:ascii="Arial" w:hAnsi="Arial" w:cs="Arial"/>
                <w:sz w:val="24"/>
                <w:szCs w:val="24"/>
              </w:rPr>
            </w:pPr>
            <w:r>
              <w:rPr>
                <w:rFonts w:ascii="Arial" w:hAnsi="Arial" w:cs="Arial"/>
                <w:sz w:val="24"/>
                <w:szCs w:val="24"/>
              </w:rPr>
              <w:t>Large PC monitor screens</w:t>
            </w:r>
          </w:p>
          <w:p w14:paraId="57766B53" w14:textId="77777777" w:rsidR="003E3522" w:rsidRDefault="003E3522" w:rsidP="00A85D35">
            <w:pPr>
              <w:pStyle w:val="PlainText"/>
              <w:numPr>
                <w:ilvl w:val="0"/>
                <w:numId w:val="24"/>
              </w:numPr>
              <w:tabs>
                <w:tab w:val="clear" w:pos="1117"/>
                <w:tab w:val="num" w:pos="1837"/>
              </w:tabs>
              <w:ind w:left="295"/>
              <w:rPr>
                <w:rFonts w:ascii="Arial" w:hAnsi="Arial" w:cs="Arial"/>
                <w:sz w:val="24"/>
                <w:szCs w:val="24"/>
              </w:rPr>
            </w:pPr>
            <w:r w:rsidRPr="00931497">
              <w:rPr>
                <w:rFonts w:ascii="Arial" w:hAnsi="Arial" w:cs="Arial"/>
                <w:sz w:val="24"/>
                <w:szCs w:val="24"/>
              </w:rPr>
              <w:t xml:space="preserve">Changing text size and colour </w:t>
            </w:r>
          </w:p>
          <w:p w14:paraId="75003BDF" w14:textId="77777777" w:rsidR="003E3522" w:rsidRDefault="003E3522" w:rsidP="00A85D35">
            <w:pPr>
              <w:pStyle w:val="PlainText"/>
              <w:numPr>
                <w:ilvl w:val="0"/>
                <w:numId w:val="24"/>
              </w:numPr>
              <w:tabs>
                <w:tab w:val="clear" w:pos="1117"/>
                <w:tab w:val="num" w:pos="1837"/>
              </w:tabs>
              <w:ind w:left="295"/>
              <w:rPr>
                <w:rFonts w:ascii="Arial" w:hAnsi="Arial" w:cs="Arial"/>
                <w:sz w:val="24"/>
                <w:szCs w:val="24"/>
              </w:rPr>
            </w:pPr>
            <w:r>
              <w:rPr>
                <w:rFonts w:ascii="Arial" w:hAnsi="Arial" w:cs="Arial"/>
                <w:sz w:val="24"/>
                <w:szCs w:val="24"/>
              </w:rPr>
              <w:t>Changing the colour of the computer screen background to make it easier to read</w:t>
            </w:r>
          </w:p>
          <w:p w14:paraId="2505C95B" w14:textId="77777777" w:rsidR="003E3522" w:rsidRPr="00931497" w:rsidRDefault="003E3522" w:rsidP="00A85D35">
            <w:pPr>
              <w:pStyle w:val="PlainText"/>
              <w:numPr>
                <w:ilvl w:val="0"/>
                <w:numId w:val="24"/>
              </w:numPr>
              <w:tabs>
                <w:tab w:val="clear" w:pos="1117"/>
                <w:tab w:val="num" w:pos="1837"/>
              </w:tabs>
              <w:ind w:left="295"/>
              <w:rPr>
                <w:rFonts w:ascii="Arial" w:hAnsi="Arial" w:cs="Arial"/>
                <w:sz w:val="24"/>
                <w:szCs w:val="24"/>
              </w:rPr>
            </w:pPr>
            <w:r>
              <w:rPr>
                <w:rFonts w:ascii="Arial" w:hAnsi="Arial" w:cs="Arial"/>
                <w:sz w:val="24"/>
                <w:szCs w:val="24"/>
              </w:rPr>
              <w:t xml:space="preserve">Using coloured </w:t>
            </w:r>
            <w:r w:rsidRPr="00931497">
              <w:rPr>
                <w:rFonts w:ascii="Arial" w:hAnsi="Arial" w:cs="Arial"/>
                <w:sz w:val="24"/>
                <w:szCs w:val="24"/>
              </w:rPr>
              <w:t xml:space="preserve">paper </w:t>
            </w:r>
            <w:r>
              <w:rPr>
                <w:rFonts w:ascii="Arial" w:hAnsi="Arial" w:cs="Arial"/>
                <w:sz w:val="24"/>
                <w:szCs w:val="24"/>
              </w:rPr>
              <w:t>instead of</w:t>
            </w:r>
            <w:r w:rsidRPr="00931497">
              <w:rPr>
                <w:rFonts w:ascii="Arial" w:hAnsi="Arial" w:cs="Arial"/>
                <w:sz w:val="24"/>
                <w:szCs w:val="24"/>
              </w:rPr>
              <w:t xml:space="preserve"> white</w:t>
            </w:r>
          </w:p>
          <w:p w14:paraId="6A0A7EE6" w14:textId="3EB7D3E7" w:rsidR="003E3522" w:rsidRDefault="003E3522" w:rsidP="00A85D35">
            <w:pPr>
              <w:pStyle w:val="PlainText"/>
              <w:numPr>
                <w:ilvl w:val="0"/>
                <w:numId w:val="24"/>
              </w:numPr>
              <w:tabs>
                <w:tab w:val="clear" w:pos="1117"/>
                <w:tab w:val="num" w:pos="1837"/>
              </w:tabs>
              <w:ind w:left="295"/>
              <w:rPr>
                <w:rFonts w:ascii="Arial" w:hAnsi="Arial" w:cs="Arial"/>
                <w:sz w:val="24"/>
                <w:szCs w:val="24"/>
              </w:rPr>
            </w:pPr>
            <w:r>
              <w:rPr>
                <w:rFonts w:ascii="Arial" w:hAnsi="Arial" w:cs="Arial"/>
                <w:sz w:val="24"/>
                <w:szCs w:val="24"/>
              </w:rPr>
              <w:t>Software</w:t>
            </w:r>
            <w:r w:rsidR="00A85D35">
              <w:rPr>
                <w:rFonts w:ascii="Arial" w:hAnsi="Arial" w:cs="Arial"/>
                <w:sz w:val="24"/>
                <w:szCs w:val="24"/>
              </w:rPr>
              <w:t>,</w:t>
            </w:r>
            <w:r>
              <w:rPr>
                <w:rFonts w:ascii="Arial" w:hAnsi="Arial" w:cs="Arial"/>
                <w:sz w:val="24"/>
                <w:szCs w:val="24"/>
              </w:rPr>
              <w:t xml:space="preserve"> such as </w:t>
            </w:r>
            <w:r w:rsidRPr="00532C6B">
              <w:rPr>
                <w:rFonts w:ascii="Arial" w:hAnsi="Arial" w:cs="Arial"/>
                <w:sz w:val="24"/>
                <w:szCs w:val="24"/>
              </w:rPr>
              <w:t>Read and Write Gold and Claro-reader</w:t>
            </w:r>
            <w:r>
              <w:rPr>
                <w:rFonts w:ascii="Arial" w:hAnsi="Arial" w:cs="Arial"/>
                <w:sz w:val="24"/>
                <w:szCs w:val="24"/>
              </w:rPr>
              <w:t>, to help with spelling and grammar and with writing long documents</w:t>
            </w:r>
          </w:p>
          <w:p w14:paraId="2FB32B67" w14:textId="77777777" w:rsidR="003E3522" w:rsidRPr="0028195E" w:rsidRDefault="003E3522" w:rsidP="00A85D35">
            <w:pPr>
              <w:pStyle w:val="PlainText"/>
              <w:numPr>
                <w:ilvl w:val="0"/>
                <w:numId w:val="24"/>
              </w:numPr>
              <w:tabs>
                <w:tab w:val="clear" w:pos="1117"/>
                <w:tab w:val="num" w:pos="1837"/>
              </w:tabs>
              <w:ind w:left="295"/>
              <w:rPr>
                <w:rFonts w:ascii="Arial" w:hAnsi="Arial" w:cs="Arial"/>
                <w:sz w:val="24"/>
                <w:szCs w:val="24"/>
              </w:rPr>
            </w:pPr>
            <w:r>
              <w:rPr>
                <w:rFonts w:ascii="Arial" w:hAnsi="Arial" w:cs="Arial"/>
                <w:sz w:val="24"/>
                <w:szCs w:val="24"/>
              </w:rPr>
              <w:t xml:space="preserve">Specialist dyslexia tuition to help with subjects including spelling, grammar, organisation skills, and memory techniques (mind mapping) </w:t>
            </w:r>
          </w:p>
        </w:tc>
        <w:tc>
          <w:tcPr>
            <w:tcW w:w="3969" w:type="dxa"/>
          </w:tcPr>
          <w:p w14:paraId="513E39B0" w14:textId="77777777" w:rsidR="009B40B0" w:rsidRDefault="003E3522" w:rsidP="00A85D35">
            <w:pPr>
              <w:pStyle w:val="PlainText"/>
              <w:numPr>
                <w:ilvl w:val="0"/>
                <w:numId w:val="24"/>
              </w:numPr>
              <w:ind w:left="459" w:hanging="426"/>
              <w:rPr>
                <w:rFonts w:ascii="Arial" w:hAnsi="Arial" w:cs="Arial"/>
                <w:sz w:val="24"/>
                <w:szCs w:val="24"/>
              </w:rPr>
            </w:pPr>
            <w:r w:rsidRPr="0028195E">
              <w:rPr>
                <w:rFonts w:ascii="Arial" w:hAnsi="Arial" w:cs="Arial"/>
                <w:sz w:val="24"/>
                <w:szCs w:val="24"/>
              </w:rPr>
              <w:t>Electronic dictionaries</w:t>
            </w:r>
            <w:r>
              <w:rPr>
                <w:rFonts w:ascii="Arial" w:hAnsi="Arial" w:cs="Arial"/>
                <w:sz w:val="24"/>
                <w:szCs w:val="24"/>
              </w:rPr>
              <w:t xml:space="preserve"> </w:t>
            </w:r>
          </w:p>
          <w:p w14:paraId="0794CCD6" w14:textId="5B37FDB0" w:rsidR="003E3522" w:rsidRDefault="003E3522" w:rsidP="00A85D35">
            <w:pPr>
              <w:pStyle w:val="PlainText"/>
              <w:numPr>
                <w:ilvl w:val="0"/>
                <w:numId w:val="24"/>
              </w:numPr>
              <w:ind w:left="459" w:hanging="426"/>
              <w:rPr>
                <w:rFonts w:ascii="Arial" w:hAnsi="Arial" w:cs="Arial"/>
                <w:sz w:val="24"/>
                <w:szCs w:val="24"/>
              </w:rPr>
            </w:pPr>
            <w:r>
              <w:rPr>
                <w:rFonts w:ascii="Arial" w:hAnsi="Arial" w:cs="Arial"/>
                <w:sz w:val="24"/>
                <w:szCs w:val="24"/>
              </w:rPr>
              <w:t>Dictation machines to help with memory and organisational skills</w:t>
            </w:r>
          </w:p>
          <w:p w14:paraId="7282ECFB" w14:textId="77777777" w:rsidR="003E3522" w:rsidRDefault="003E3522" w:rsidP="00A85D35">
            <w:pPr>
              <w:pStyle w:val="PlainText"/>
              <w:numPr>
                <w:ilvl w:val="0"/>
                <w:numId w:val="24"/>
              </w:numPr>
              <w:ind w:left="459" w:hanging="426"/>
              <w:rPr>
                <w:rFonts w:ascii="Arial" w:hAnsi="Arial" w:cs="Arial"/>
                <w:sz w:val="24"/>
                <w:szCs w:val="24"/>
              </w:rPr>
            </w:pPr>
            <w:r>
              <w:rPr>
                <w:rFonts w:ascii="Arial" w:hAnsi="Arial" w:cs="Arial"/>
                <w:sz w:val="24"/>
                <w:szCs w:val="24"/>
              </w:rPr>
              <w:t xml:space="preserve">Highlighter pens for important information </w:t>
            </w:r>
          </w:p>
          <w:p w14:paraId="23CA3EB7" w14:textId="77777777" w:rsidR="003E3522" w:rsidRDefault="003E3522" w:rsidP="00A85D35">
            <w:pPr>
              <w:pStyle w:val="PlainText"/>
              <w:numPr>
                <w:ilvl w:val="0"/>
                <w:numId w:val="24"/>
              </w:numPr>
              <w:ind w:left="459" w:hanging="426"/>
              <w:rPr>
                <w:rFonts w:ascii="Arial" w:hAnsi="Arial" w:cs="Arial"/>
                <w:sz w:val="24"/>
                <w:szCs w:val="24"/>
              </w:rPr>
            </w:pPr>
            <w:r>
              <w:rPr>
                <w:rFonts w:ascii="Arial" w:hAnsi="Arial" w:cs="Arial"/>
                <w:sz w:val="24"/>
                <w:szCs w:val="24"/>
              </w:rPr>
              <w:t>Notebooks to write down key words and definitions</w:t>
            </w:r>
          </w:p>
          <w:p w14:paraId="20D4AAC1" w14:textId="77777777" w:rsidR="003E3522" w:rsidRDefault="003E3522" w:rsidP="00A85D35">
            <w:pPr>
              <w:pStyle w:val="PlainText"/>
              <w:numPr>
                <w:ilvl w:val="0"/>
                <w:numId w:val="24"/>
              </w:numPr>
              <w:ind w:left="459" w:hanging="426"/>
              <w:rPr>
                <w:rFonts w:ascii="Arial" w:hAnsi="Arial" w:cs="Arial"/>
                <w:sz w:val="24"/>
                <w:szCs w:val="24"/>
              </w:rPr>
            </w:pPr>
            <w:r>
              <w:rPr>
                <w:rFonts w:ascii="Arial" w:hAnsi="Arial" w:cs="Arial"/>
                <w:sz w:val="24"/>
                <w:szCs w:val="24"/>
              </w:rPr>
              <w:t>Coloured overlays to help with reading</w:t>
            </w:r>
          </w:p>
          <w:p w14:paraId="19A77167" w14:textId="77777777" w:rsidR="003E3522" w:rsidRDefault="003E3522" w:rsidP="00A85D35">
            <w:pPr>
              <w:pStyle w:val="PlainText"/>
              <w:numPr>
                <w:ilvl w:val="0"/>
                <w:numId w:val="24"/>
              </w:numPr>
              <w:ind w:left="459" w:hanging="426"/>
              <w:rPr>
                <w:rFonts w:ascii="Arial" w:hAnsi="Arial" w:cs="Arial"/>
                <w:sz w:val="24"/>
                <w:szCs w:val="24"/>
              </w:rPr>
            </w:pPr>
            <w:r>
              <w:rPr>
                <w:rFonts w:ascii="Arial" w:hAnsi="Arial" w:cs="Arial"/>
                <w:sz w:val="24"/>
                <w:szCs w:val="24"/>
              </w:rPr>
              <w:t xml:space="preserve">Audio documents and headphones </w:t>
            </w:r>
          </w:p>
          <w:p w14:paraId="47B6343D" w14:textId="6B7122AB" w:rsidR="003E3522" w:rsidRDefault="003E3522" w:rsidP="00A85D35">
            <w:pPr>
              <w:pStyle w:val="PlainText"/>
              <w:numPr>
                <w:ilvl w:val="0"/>
                <w:numId w:val="24"/>
              </w:numPr>
              <w:ind w:left="459" w:right="-108" w:hanging="426"/>
              <w:rPr>
                <w:rFonts w:ascii="Arial" w:hAnsi="Arial" w:cs="Arial"/>
                <w:sz w:val="24"/>
                <w:szCs w:val="24"/>
              </w:rPr>
            </w:pPr>
            <w:r>
              <w:rPr>
                <w:rFonts w:ascii="Arial" w:hAnsi="Arial" w:cs="Arial"/>
                <w:sz w:val="24"/>
                <w:szCs w:val="24"/>
              </w:rPr>
              <w:t>Documents</w:t>
            </w:r>
            <w:r w:rsidR="00A85D35">
              <w:rPr>
                <w:rFonts w:ascii="Arial" w:hAnsi="Arial" w:cs="Arial"/>
                <w:sz w:val="24"/>
                <w:szCs w:val="24"/>
              </w:rPr>
              <w:t>,</w:t>
            </w:r>
            <w:r>
              <w:rPr>
                <w:rFonts w:ascii="Arial" w:hAnsi="Arial" w:cs="Arial"/>
                <w:sz w:val="24"/>
                <w:szCs w:val="24"/>
              </w:rPr>
              <w:t xml:space="preserve"> such as training presentations</w:t>
            </w:r>
            <w:r w:rsidR="00A85D35">
              <w:rPr>
                <w:rFonts w:ascii="Arial" w:hAnsi="Arial" w:cs="Arial"/>
                <w:sz w:val="24"/>
                <w:szCs w:val="24"/>
              </w:rPr>
              <w:t>,</w:t>
            </w:r>
            <w:r>
              <w:rPr>
                <w:rFonts w:ascii="Arial" w:hAnsi="Arial" w:cs="Arial"/>
                <w:sz w:val="24"/>
                <w:szCs w:val="24"/>
              </w:rPr>
              <w:t xml:space="preserve"> provided in advance</w:t>
            </w:r>
          </w:p>
          <w:p w14:paraId="560B3655" w14:textId="400E6602" w:rsidR="003E3522" w:rsidRPr="00A85D35" w:rsidRDefault="003E3522" w:rsidP="00A85D35">
            <w:pPr>
              <w:pStyle w:val="PlainText"/>
              <w:numPr>
                <w:ilvl w:val="0"/>
                <w:numId w:val="24"/>
              </w:numPr>
              <w:ind w:left="459" w:hanging="426"/>
              <w:rPr>
                <w:rFonts w:ascii="Arial" w:hAnsi="Arial" w:cs="Arial"/>
                <w:sz w:val="24"/>
                <w:szCs w:val="24"/>
              </w:rPr>
            </w:pPr>
            <w:r>
              <w:rPr>
                <w:rFonts w:ascii="Arial" w:hAnsi="Arial" w:cs="Arial"/>
                <w:sz w:val="24"/>
                <w:szCs w:val="24"/>
              </w:rPr>
              <w:t>Adapting teaching styles to suit employees’ needs</w:t>
            </w:r>
          </w:p>
        </w:tc>
      </w:tr>
    </w:tbl>
    <w:p w14:paraId="3144DFC7" w14:textId="77777777" w:rsidR="00A85D35" w:rsidRPr="00A85D35" w:rsidRDefault="00A85D35" w:rsidP="003E3522">
      <w:pPr>
        <w:pStyle w:val="PlainText"/>
        <w:ind w:left="720"/>
        <w:rPr>
          <w:rFonts w:ascii="Arial" w:hAnsi="Arial" w:cs="Arial"/>
        </w:rPr>
      </w:pPr>
    </w:p>
    <w:p w14:paraId="2603A096" w14:textId="3A499DD3" w:rsidR="003E3522" w:rsidRDefault="003E3522" w:rsidP="003E3522">
      <w:pPr>
        <w:pStyle w:val="PlainText"/>
        <w:ind w:left="720"/>
        <w:rPr>
          <w:rFonts w:ascii="Arial" w:hAnsi="Arial" w:cs="Arial"/>
          <w:sz w:val="24"/>
          <w:szCs w:val="24"/>
        </w:rPr>
      </w:pPr>
      <w:r w:rsidRPr="00EA7702">
        <w:rPr>
          <w:rFonts w:ascii="Arial" w:hAnsi="Arial" w:cs="Arial"/>
          <w:b/>
          <w:sz w:val="24"/>
          <w:szCs w:val="24"/>
        </w:rPr>
        <w:t>Employees with hearing impairments</w:t>
      </w:r>
    </w:p>
    <w:p w14:paraId="64C8D5F8" w14:textId="77777777" w:rsidR="00A85D35" w:rsidRDefault="00A85D35" w:rsidP="003E3522">
      <w:pPr>
        <w:pStyle w:val="PlainText"/>
        <w:ind w:left="720"/>
        <w:rPr>
          <w:rFonts w:ascii="Arial" w:hAnsi="Arial" w:cs="Arial"/>
          <w:sz w:val="24"/>
          <w:szCs w:val="24"/>
        </w:rPr>
      </w:pPr>
    </w:p>
    <w:p w14:paraId="74344E91" w14:textId="77777777" w:rsidR="003E3522" w:rsidRDefault="003E3522" w:rsidP="00A85D35">
      <w:pPr>
        <w:pStyle w:val="PlainText"/>
        <w:numPr>
          <w:ilvl w:val="0"/>
          <w:numId w:val="24"/>
        </w:numPr>
        <w:tabs>
          <w:tab w:val="clear" w:pos="1117"/>
        </w:tabs>
        <w:ind w:left="1134" w:hanging="425"/>
        <w:rPr>
          <w:rFonts w:ascii="Arial" w:hAnsi="Arial" w:cs="Arial"/>
          <w:sz w:val="24"/>
          <w:szCs w:val="24"/>
        </w:rPr>
      </w:pPr>
      <w:r>
        <w:rPr>
          <w:rFonts w:ascii="Arial" w:hAnsi="Arial" w:cs="Arial"/>
          <w:sz w:val="24"/>
          <w:szCs w:val="24"/>
        </w:rPr>
        <w:t>Specialist headsets</w:t>
      </w:r>
    </w:p>
    <w:p w14:paraId="15B6F3BC" w14:textId="77777777" w:rsidR="003E3522" w:rsidRDefault="003E3522" w:rsidP="00A85D35">
      <w:pPr>
        <w:pStyle w:val="PlainText"/>
        <w:numPr>
          <w:ilvl w:val="0"/>
          <w:numId w:val="25"/>
        </w:numPr>
        <w:tabs>
          <w:tab w:val="clear" w:pos="1117"/>
        </w:tabs>
        <w:ind w:left="1134" w:hanging="425"/>
        <w:rPr>
          <w:rFonts w:ascii="Arial" w:hAnsi="Arial" w:cs="Arial"/>
          <w:sz w:val="24"/>
          <w:szCs w:val="24"/>
        </w:rPr>
      </w:pPr>
      <w:r>
        <w:rPr>
          <w:rFonts w:ascii="Arial" w:hAnsi="Arial" w:cs="Arial"/>
          <w:sz w:val="24"/>
          <w:szCs w:val="24"/>
        </w:rPr>
        <w:t>Individual neck loops</w:t>
      </w:r>
      <w:r w:rsidRPr="00BE6C2E">
        <w:rPr>
          <w:rFonts w:ascii="Arial" w:hAnsi="Arial" w:cs="Arial"/>
          <w:sz w:val="24"/>
          <w:szCs w:val="24"/>
        </w:rPr>
        <w:t xml:space="preserve"> </w:t>
      </w:r>
    </w:p>
    <w:p w14:paraId="26B12BDF" w14:textId="77777777" w:rsidR="003E3522" w:rsidRPr="00BE6C2E" w:rsidRDefault="003E3522" w:rsidP="00A85D35">
      <w:pPr>
        <w:pStyle w:val="PlainText"/>
        <w:numPr>
          <w:ilvl w:val="0"/>
          <w:numId w:val="24"/>
        </w:numPr>
        <w:tabs>
          <w:tab w:val="clear" w:pos="1117"/>
        </w:tabs>
        <w:ind w:left="1134" w:hanging="425"/>
        <w:rPr>
          <w:rFonts w:ascii="Arial" w:hAnsi="Arial" w:cs="Arial"/>
          <w:sz w:val="24"/>
          <w:szCs w:val="24"/>
        </w:rPr>
      </w:pPr>
      <w:r w:rsidRPr="00BE6C2E">
        <w:rPr>
          <w:rFonts w:ascii="Arial" w:hAnsi="Arial" w:cs="Arial"/>
          <w:sz w:val="24"/>
          <w:szCs w:val="24"/>
        </w:rPr>
        <w:t>Hearing equipment</w:t>
      </w:r>
    </w:p>
    <w:p w14:paraId="75ECC2CE" w14:textId="77777777" w:rsidR="003E3522" w:rsidRPr="00A85D35" w:rsidRDefault="003E3522" w:rsidP="003E3522">
      <w:pPr>
        <w:pStyle w:val="PlainText"/>
        <w:ind w:left="720"/>
        <w:rPr>
          <w:rFonts w:ascii="Arial" w:hAnsi="Arial" w:cs="Arial"/>
        </w:rPr>
      </w:pPr>
    </w:p>
    <w:p w14:paraId="16FA4CE7" w14:textId="7E2840B4" w:rsidR="003E3522" w:rsidRDefault="003E3522" w:rsidP="00473146">
      <w:pPr>
        <w:pStyle w:val="PlainText"/>
        <w:ind w:left="720"/>
        <w:rPr>
          <w:rFonts w:ascii="Arial" w:hAnsi="Arial" w:cs="Arial"/>
          <w:b/>
          <w:sz w:val="24"/>
          <w:szCs w:val="24"/>
        </w:rPr>
      </w:pPr>
      <w:r w:rsidRPr="00EA7702">
        <w:rPr>
          <w:rFonts w:ascii="Arial" w:hAnsi="Arial" w:cs="Arial"/>
          <w:b/>
          <w:sz w:val="24"/>
          <w:szCs w:val="24"/>
        </w:rPr>
        <w:t xml:space="preserve">Employees with </w:t>
      </w:r>
      <w:r>
        <w:rPr>
          <w:rFonts w:ascii="Arial" w:hAnsi="Arial" w:cs="Arial"/>
          <w:b/>
          <w:sz w:val="24"/>
          <w:szCs w:val="24"/>
        </w:rPr>
        <w:t>o</w:t>
      </w:r>
      <w:r w:rsidR="00A85D35">
        <w:rPr>
          <w:rFonts w:ascii="Arial" w:hAnsi="Arial" w:cs="Arial"/>
          <w:b/>
          <w:sz w:val="24"/>
          <w:szCs w:val="24"/>
        </w:rPr>
        <w:t>ther impairments</w:t>
      </w:r>
    </w:p>
    <w:p w14:paraId="1DD13699" w14:textId="77777777" w:rsidR="00A85D35" w:rsidRPr="00CC1670" w:rsidRDefault="00A85D35" w:rsidP="00473146">
      <w:pPr>
        <w:pStyle w:val="PlainText"/>
        <w:ind w:left="720"/>
        <w:rPr>
          <w:rFonts w:ascii="Arial" w:hAnsi="Arial" w:cs="Arial"/>
          <w:b/>
          <w:sz w:val="24"/>
          <w:szCs w:val="24"/>
        </w:rPr>
      </w:pPr>
    </w:p>
    <w:p w14:paraId="1B64FB55" w14:textId="77777777" w:rsidR="003E3522" w:rsidRPr="00532C6B" w:rsidRDefault="003E3522" w:rsidP="00A85D35">
      <w:pPr>
        <w:pStyle w:val="PlainText"/>
        <w:numPr>
          <w:ilvl w:val="0"/>
          <w:numId w:val="26"/>
        </w:numPr>
        <w:ind w:left="1134"/>
        <w:rPr>
          <w:rFonts w:ascii="Arial" w:hAnsi="Arial" w:cs="Arial"/>
          <w:sz w:val="24"/>
          <w:szCs w:val="24"/>
        </w:rPr>
      </w:pPr>
      <w:r>
        <w:rPr>
          <w:rFonts w:ascii="Arial" w:hAnsi="Arial" w:cs="Arial"/>
          <w:sz w:val="24"/>
          <w:szCs w:val="24"/>
        </w:rPr>
        <w:t>Computer equipment, such as a</w:t>
      </w:r>
      <w:r w:rsidRPr="00532C6B">
        <w:rPr>
          <w:rFonts w:ascii="Arial" w:hAnsi="Arial" w:cs="Arial"/>
          <w:sz w:val="24"/>
          <w:szCs w:val="24"/>
        </w:rPr>
        <w:t xml:space="preserve"> </w:t>
      </w:r>
      <w:r>
        <w:rPr>
          <w:rFonts w:ascii="Arial" w:hAnsi="Arial" w:cs="Arial"/>
          <w:sz w:val="24"/>
          <w:szCs w:val="24"/>
        </w:rPr>
        <w:t>s</w:t>
      </w:r>
      <w:r w:rsidRPr="00532C6B">
        <w:rPr>
          <w:rFonts w:ascii="Arial" w:hAnsi="Arial" w:cs="Arial"/>
          <w:sz w:val="24"/>
          <w:szCs w:val="24"/>
        </w:rPr>
        <w:t>pecialis</w:t>
      </w:r>
      <w:r>
        <w:rPr>
          <w:rFonts w:ascii="Arial" w:hAnsi="Arial" w:cs="Arial"/>
          <w:sz w:val="24"/>
          <w:szCs w:val="24"/>
        </w:rPr>
        <w:t xml:space="preserve">ed </w:t>
      </w:r>
      <w:r w:rsidRPr="00532C6B">
        <w:rPr>
          <w:rFonts w:ascii="Arial" w:hAnsi="Arial" w:cs="Arial"/>
          <w:sz w:val="24"/>
          <w:szCs w:val="24"/>
        </w:rPr>
        <w:t>mouse</w:t>
      </w:r>
    </w:p>
    <w:p w14:paraId="0C0AB550" w14:textId="77777777" w:rsidR="003E3522" w:rsidRDefault="003E3522" w:rsidP="00A85D35">
      <w:pPr>
        <w:pStyle w:val="PlainText"/>
        <w:numPr>
          <w:ilvl w:val="0"/>
          <w:numId w:val="26"/>
        </w:numPr>
        <w:ind w:left="1134"/>
        <w:rPr>
          <w:rFonts w:ascii="Arial" w:hAnsi="Arial" w:cs="Arial"/>
          <w:sz w:val="24"/>
          <w:szCs w:val="24"/>
        </w:rPr>
      </w:pPr>
      <w:r>
        <w:rPr>
          <w:rFonts w:ascii="Arial" w:hAnsi="Arial" w:cs="Arial"/>
          <w:sz w:val="24"/>
          <w:szCs w:val="24"/>
        </w:rPr>
        <w:t>Specialised chairs and/or desks</w:t>
      </w:r>
    </w:p>
    <w:p w14:paraId="11DA71D7" w14:textId="6DAA795F" w:rsidR="003E3522" w:rsidRDefault="003E3522" w:rsidP="00A85D35">
      <w:pPr>
        <w:pStyle w:val="PlainText"/>
        <w:numPr>
          <w:ilvl w:val="0"/>
          <w:numId w:val="26"/>
        </w:numPr>
        <w:ind w:left="1134"/>
        <w:rPr>
          <w:rFonts w:ascii="Arial" w:hAnsi="Arial" w:cs="Arial"/>
          <w:sz w:val="24"/>
          <w:szCs w:val="24"/>
        </w:rPr>
      </w:pPr>
      <w:r>
        <w:rPr>
          <w:rFonts w:ascii="Arial" w:hAnsi="Arial" w:cs="Arial"/>
          <w:sz w:val="24"/>
          <w:szCs w:val="24"/>
        </w:rPr>
        <w:t>Additional equipment</w:t>
      </w:r>
      <w:r w:rsidR="00473146">
        <w:rPr>
          <w:rFonts w:ascii="Arial" w:hAnsi="Arial" w:cs="Arial"/>
          <w:sz w:val="24"/>
          <w:szCs w:val="24"/>
        </w:rPr>
        <w:t>,</w:t>
      </w:r>
      <w:r>
        <w:rPr>
          <w:rFonts w:ascii="Arial" w:hAnsi="Arial" w:cs="Arial"/>
          <w:sz w:val="24"/>
          <w:szCs w:val="24"/>
        </w:rPr>
        <w:t xml:space="preserve"> such as document holders</w:t>
      </w:r>
    </w:p>
    <w:p w14:paraId="044E0C4B" w14:textId="77777777" w:rsidR="003E3522" w:rsidRDefault="003E3522" w:rsidP="00A85D35">
      <w:pPr>
        <w:pStyle w:val="PlainText"/>
        <w:numPr>
          <w:ilvl w:val="0"/>
          <w:numId w:val="26"/>
        </w:numPr>
        <w:ind w:left="1134"/>
        <w:rPr>
          <w:rFonts w:ascii="Arial" w:hAnsi="Arial" w:cs="Arial"/>
          <w:sz w:val="24"/>
          <w:szCs w:val="24"/>
        </w:rPr>
      </w:pPr>
      <w:r>
        <w:rPr>
          <w:rFonts w:ascii="Arial" w:hAnsi="Arial" w:cs="Arial"/>
          <w:sz w:val="24"/>
          <w:szCs w:val="24"/>
        </w:rPr>
        <w:t>Touch-typing courses</w:t>
      </w:r>
    </w:p>
    <w:p w14:paraId="413A3BCA" w14:textId="3D7942F7" w:rsidR="003E3522" w:rsidRPr="00CC1670" w:rsidRDefault="003E3522" w:rsidP="00A85D35">
      <w:pPr>
        <w:pStyle w:val="PlainText"/>
        <w:numPr>
          <w:ilvl w:val="0"/>
          <w:numId w:val="26"/>
        </w:numPr>
        <w:ind w:left="1134"/>
        <w:rPr>
          <w:rFonts w:ascii="Arial" w:hAnsi="Arial" w:cs="Arial"/>
          <w:sz w:val="24"/>
          <w:szCs w:val="24"/>
        </w:rPr>
      </w:pPr>
      <w:r>
        <w:rPr>
          <w:rFonts w:ascii="Arial" w:hAnsi="Arial" w:cs="Arial"/>
          <w:sz w:val="24"/>
          <w:szCs w:val="24"/>
        </w:rPr>
        <w:t>Changes in rest times and/or working hours</w:t>
      </w:r>
    </w:p>
    <w:p w14:paraId="181CE3D7" w14:textId="53A1E1AE" w:rsidR="003E3522" w:rsidRPr="006B6095" w:rsidRDefault="003E3522" w:rsidP="003E3522">
      <w:pPr>
        <w:pStyle w:val="sssubhead1"/>
        <w:rPr>
          <w:snapToGrid w:val="0"/>
        </w:rPr>
      </w:pPr>
      <w:r>
        <w:rPr>
          <w:snapToGrid w:val="0"/>
        </w:rPr>
        <w:lastRenderedPageBreak/>
        <w:t>Costs</w:t>
      </w:r>
    </w:p>
    <w:p w14:paraId="275D7577" w14:textId="77777777" w:rsidR="003E3522" w:rsidRDefault="003E3522" w:rsidP="003E3522">
      <w:pPr>
        <w:pStyle w:val="PlainText"/>
        <w:ind w:left="720"/>
        <w:rPr>
          <w:rFonts w:ascii="Arial" w:hAnsi="Arial" w:cs="Arial"/>
          <w:sz w:val="24"/>
          <w:szCs w:val="24"/>
        </w:rPr>
      </w:pPr>
    </w:p>
    <w:p w14:paraId="47701F36" w14:textId="475ED64F" w:rsidR="003E3522" w:rsidRDefault="003E3522" w:rsidP="003E3522">
      <w:pPr>
        <w:pStyle w:val="ListParagraph"/>
        <w:rPr>
          <w:rFonts w:ascii="Arial" w:hAnsi="Arial" w:cs="Arial"/>
          <w:szCs w:val="24"/>
          <w:lang w:eastAsia="en-GB"/>
        </w:rPr>
      </w:pPr>
      <w:r>
        <w:rPr>
          <w:rFonts w:ascii="Arial" w:hAnsi="Arial" w:cs="Arial"/>
          <w:szCs w:val="24"/>
        </w:rPr>
        <w:t>Ev</w:t>
      </w:r>
      <w:r w:rsidRPr="004354A3">
        <w:rPr>
          <w:rFonts w:ascii="Arial" w:hAnsi="Arial" w:cs="Arial"/>
          <w:szCs w:val="24"/>
        </w:rPr>
        <w:t xml:space="preserve">ery </w:t>
      </w:r>
      <w:r>
        <w:rPr>
          <w:rFonts w:ascii="Arial" w:hAnsi="Arial" w:cs="Arial"/>
          <w:szCs w:val="24"/>
        </w:rPr>
        <w:t>assessed</w:t>
      </w:r>
      <w:r w:rsidRPr="004354A3">
        <w:rPr>
          <w:rFonts w:ascii="Arial" w:hAnsi="Arial" w:cs="Arial"/>
          <w:szCs w:val="24"/>
        </w:rPr>
        <w:t xml:space="preserve"> employee </w:t>
      </w:r>
      <w:r>
        <w:rPr>
          <w:rFonts w:ascii="Arial" w:hAnsi="Arial" w:cs="Arial"/>
          <w:szCs w:val="24"/>
        </w:rPr>
        <w:t xml:space="preserve">is asked </w:t>
      </w:r>
      <w:r w:rsidRPr="004354A3">
        <w:rPr>
          <w:rFonts w:ascii="Arial" w:hAnsi="Arial" w:cs="Arial"/>
          <w:szCs w:val="24"/>
        </w:rPr>
        <w:t>to contact Access to Work</w:t>
      </w:r>
      <w:r>
        <w:rPr>
          <w:rFonts w:ascii="Arial" w:hAnsi="Arial" w:cs="Arial"/>
          <w:szCs w:val="24"/>
        </w:rPr>
        <w:t xml:space="preserve"> (ATW)</w:t>
      </w:r>
      <w:r w:rsidRPr="004354A3">
        <w:rPr>
          <w:rFonts w:ascii="Arial" w:hAnsi="Arial" w:cs="Arial"/>
          <w:szCs w:val="24"/>
        </w:rPr>
        <w:t xml:space="preserve"> to see if they can provide funding. </w:t>
      </w:r>
      <w:r w:rsidR="00473146">
        <w:rPr>
          <w:rFonts w:ascii="Arial" w:hAnsi="Arial" w:cs="Arial"/>
          <w:szCs w:val="24"/>
        </w:rPr>
        <w:t xml:space="preserve"> </w:t>
      </w:r>
      <w:r>
        <w:rPr>
          <w:rFonts w:ascii="Arial" w:hAnsi="Arial" w:cs="Arial"/>
          <w:szCs w:val="24"/>
          <w:lang w:eastAsia="en-GB"/>
        </w:rPr>
        <w:t>ATW will only contribute towards tuition and si</w:t>
      </w:r>
      <w:r w:rsidR="0003618A">
        <w:rPr>
          <w:rFonts w:ascii="Arial" w:hAnsi="Arial" w:cs="Arial"/>
          <w:szCs w:val="24"/>
          <w:lang w:eastAsia="en-GB"/>
        </w:rPr>
        <w:t xml:space="preserve">milar costs, and do not </w:t>
      </w:r>
      <w:r>
        <w:rPr>
          <w:rFonts w:ascii="Arial" w:hAnsi="Arial" w:cs="Arial"/>
          <w:szCs w:val="24"/>
          <w:lang w:eastAsia="en-GB"/>
        </w:rPr>
        <w:t xml:space="preserve">support the </w:t>
      </w:r>
      <w:r w:rsidR="0003618A">
        <w:rPr>
          <w:rFonts w:ascii="Arial" w:hAnsi="Arial" w:cs="Arial"/>
          <w:szCs w:val="24"/>
          <w:lang w:eastAsia="en-GB"/>
        </w:rPr>
        <w:t>cost of professional assessments</w:t>
      </w:r>
      <w:r>
        <w:rPr>
          <w:rFonts w:ascii="Arial" w:hAnsi="Arial" w:cs="Arial"/>
          <w:szCs w:val="24"/>
          <w:lang w:eastAsia="en-GB"/>
        </w:rPr>
        <w:t>, equipment or software packages.</w:t>
      </w:r>
      <w:r w:rsidR="00473146">
        <w:rPr>
          <w:rFonts w:ascii="Arial" w:hAnsi="Arial" w:cs="Arial"/>
          <w:szCs w:val="24"/>
          <w:lang w:eastAsia="en-GB"/>
        </w:rPr>
        <w:t xml:space="preserve">  </w:t>
      </w:r>
      <w:r w:rsidRPr="004354A3">
        <w:rPr>
          <w:rFonts w:ascii="Arial" w:hAnsi="Arial" w:cs="Arial"/>
          <w:szCs w:val="24"/>
        </w:rPr>
        <w:t>In the twelve months from to 28</w:t>
      </w:r>
      <w:r w:rsidR="00473146">
        <w:rPr>
          <w:rFonts w:ascii="Arial" w:hAnsi="Arial" w:cs="Arial"/>
          <w:szCs w:val="24"/>
        </w:rPr>
        <w:t xml:space="preserve"> February 2014 Shropshire Fire and</w:t>
      </w:r>
      <w:r w:rsidRPr="004354A3">
        <w:rPr>
          <w:rFonts w:ascii="Arial" w:hAnsi="Arial" w:cs="Arial"/>
          <w:szCs w:val="24"/>
        </w:rPr>
        <w:t xml:space="preserve"> Rescue Service has spent</w:t>
      </w:r>
      <w:r>
        <w:rPr>
          <w:rFonts w:ascii="Arial" w:hAnsi="Arial" w:cs="Arial"/>
          <w:szCs w:val="24"/>
        </w:rPr>
        <w:t xml:space="preserve"> </w:t>
      </w:r>
      <w:r>
        <w:rPr>
          <w:rFonts w:ascii="Arial" w:hAnsi="Arial" w:cs="Arial"/>
          <w:szCs w:val="24"/>
          <w:lang w:eastAsia="en-GB"/>
        </w:rPr>
        <w:t>£8,872.28 on reasonable ad</w:t>
      </w:r>
      <w:r w:rsidR="00473146">
        <w:rPr>
          <w:rFonts w:ascii="Arial" w:hAnsi="Arial" w:cs="Arial"/>
          <w:szCs w:val="24"/>
          <w:lang w:eastAsia="en-GB"/>
        </w:rPr>
        <w:t>justments for employees.  The Service has</w:t>
      </w:r>
      <w:r>
        <w:rPr>
          <w:rFonts w:ascii="Arial" w:hAnsi="Arial" w:cs="Arial"/>
          <w:szCs w:val="24"/>
          <w:lang w:eastAsia="en-GB"/>
        </w:rPr>
        <w:t xml:space="preserve"> been able to reclaim £4,119.00 from ATW, leaving a net cost of £4,753.28. </w:t>
      </w:r>
    </w:p>
    <w:p w14:paraId="0BF2839C" w14:textId="5DDBAEDA" w:rsidR="00631B6A" w:rsidRDefault="00631B6A">
      <w:pPr>
        <w:rPr>
          <w:rFonts w:ascii="Arial" w:hAnsi="Arial" w:cs="Arial"/>
          <w:b/>
        </w:rPr>
      </w:pPr>
    </w:p>
    <w:p w14:paraId="5130A294" w14:textId="77777777" w:rsidR="00473146" w:rsidRDefault="003E3522" w:rsidP="003E3522">
      <w:pPr>
        <w:ind w:left="720"/>
        <w:rPr>
          <w:rFonts w:ascii="Arial" w:hAnsi="Arial" w:cs="Arial"/>
          <w:b/>
        </w:rPr>
      </w:pPr>
      <w:r>
        <w:rPr>
          <w:rFonts w:ascii="Arial" w:hAnsi="Arial" w:cs="Arial"/>
          <w:b/>
        </w:rPr>
        <w:t>C</w:t>
      </w:r>
      <w:r w:rsidRPr="00731670">
        <w:rPr>
          <w:rFonts w:ascii="Arial" w:hAnsi="Arial" w:cs="Arial"/>
          <w:b/>
        </w:rPr>
        <w:t>ost per employee for rea</w:t>
      </w:r>
      <w:r>
        <w:rPr>
          <w:rFonts w:ascii="Arial" w:hAnsi="Arial" w:cs="Arial"/>
          <w:b/>
        </w:rPr>
        <w:t>sonable adjustments</w:t>
      </w:r>
    </w:p>
    <w:p w14:paraId="71AFBE54" w14:textId="51D9DA69" w:rsidR="003E3522" w:rsidRDefault="003E3522" w:rsidP="003E3522">
      <w:pPr>
        <w:ind w:left="720"/>
        <w:rPr>
          <w:rFonts w:ascii="Arial" w:hAnsi="Arial" w:cs="Arial"/>
          <w:b/>
        </w:rPr>
      </w:pPr>
      <w:r>
        <w:rPr>
          <w:rFonts w:ascii="Arial" w:hAnsi="Arial" w:cs="Arial"/>
          <w:b/>
        </w:rPr>
        <w:t>(based on 12 completed cases)</w:t>
      </w:r>
    </w:p>
    <w:p w14:paraId="1C506639" w14:textId="77777777" w:rsidR="00473146" w:rsidRDefault="00473146" w:rsidP="003E3522">
      <w:pPr>
        <w:ind w:left="720"/>
        <w:rPr>
          <w:rFonts w:ascii="Arial" w:hAnsi="Arial" w:cs="Arial"/>
        </w:rPr>
      </w:pPr>
    </w:p>
    <w:tbl>
      <w:tblPr>
        <w:tblStyle w:val="TableGrid"/>
        <w:tblW w:w="0" w:type="auto"/>
        <w:tblInd w:w="720" w:type="dxa"/>
        <w:tblLook w:val="04A0" w:firstRow="1" w:lastRow="0" w:firstColumn="1" w:lastColumn="0" w:noHBand="0" w:noVBand="1"/>
      </w:tblPr>
      <w:tblGrid>
        <w:gridCol w:w="5341"/>
        <w:gridCol w:w="1288"/>
      </w:tblGrid>
      <w:tr w:rsidR="003E3522" w14:paraId="70F93710" w14:textId="77777777" w:rsidTr="003E3522">
        <w:tc>
          <w:tcPr>
            <w:tcW w:w="5341" w:type="dxa"/>
          </w:tcPr>
          <w:p w14:paraId="7E25815E" w14:textId="77777777" w:rsidR="003E3522" w:rsidRDefault="003E3522" w:rsidP="003E3522">
            <w:pPr>
              <w:rPr>
                <w:rFonts w:ascii="Arial" w:hAnsi="Arial" w:cs="Arial"/>
              </w:rPr>
            </w:pPr>
            <w:r>
              <w:rPr>
                <w:rFonts w:ascii="Arial" w:hAnsi="Arial" w:cs="Arial"/>
              </w:rPr>
              <w:t>Total cost per employee</w:t>
            </w:r>
          </w:p>
        </w:tc>
        <w:tc>
          <w:tcPr>
            <w:tcW w:w="1288" w:type="dxa"/>
          </w:tcPr>
          <w:p w14:paraId="7FE0DFDE" w14:textId="77777777" w:rsidR="003E3522" w:rsidRDefault="003E3522" w:rsidP="003E3522">
            <w:pPr>
              <w:jc w:val="right"/>
              <w:rPr>
                <w:rFonts w:ascii="Arial" w:hAnsi="Arial" w:cs="Arial"/>
              </w:rPr>
            </w:pPr>
            <w:r>
              <w:rPr>
                <w:rFonts w:ascii="Arial" w:hAnsi="Arial" w:cs="Arial"/>
              </w:rPr>
              <w:t>£1,742.91</w:t>
            </w:r>
          </w:p>
        </w:tc>
      </w:tr>
      <w:tr w:rsidR="003E3522" w14:paraId="475F0F33" w14:textId="77777777" w:rsidTr="003E3522">
        <w:tc>
          <w:tcPr>
            <w:tcW w:w="5341" w:type="dxa"/>
          </w:tcPr>
          <w:p w14:paraId="23C264EA" w14:textId="77777777" w:rsidR="003E3522" w:rsidRDefault="003E3522" w:rsidP="003E3522">
            <w:pPr>
              <w:rPr>
                <w:rFonts w:ascii="Arial" w:hAnsi="Arial" w:cs="Arial"/>
              </w:rPr>
            </w:pPr>
            <w:r>
              <w:rPr>
                <w:rFonts w:ascii="Arial" w:hAnsi="Arial" w:cs="Arial"/>
              </w:rPr>
              <w:t>ATW funding tuition per employee</w:t>
            </w:r>
            <w:r>
              <w:rPr>
                <w:rFonts w:ascii="Arial" w:hAnsi="Arial" w:cs="Arial"/>
              </w:rPr>
              <w:tab/>
            </w:r>
          </w:p>
        </w:tc>
        <w:tc>
          <w:tcPr>
            <w:tcW w:w="1288" w:type="dxa"/>
          </w:tcPr>
          <w:p w14:paraId="73A62179" w14:textId="77777777" w:rsidR="003E3522" w:rsidRDefault="003E3522" w:rsidP="003E3522">
            <w:pPr>
              <w:jc w:val="right"/>
              <w:rPr>
                <w:rFonts w:ascii="Arial" w:hAnsi="Arial" w:cs="Arial"/>
              </w:rPr>
            </w:pPr>
            <w:r>
              <w:rPr>
                <w:rFonts w:ascii="Arial" w:hAnsi="Arial" w:cs="Arial"/>
              </w:rPr>
              <w:t>£1.011.56</w:t>
            </w:r>
          </w:p>
        </w:tc>
      </w:tr>
      <w:tr w:rsidR="003E3522" w14:paraId="4439F7FE" w14:textId="77777777" w:rsidTr="003E3522">
        <w:tc>
          <w:tcPr>
            <w:tcW w:w="5341" w:type="dxa"/>
          </w:tcPr>
          <w:p w14:paraId="24D6F544" w14:textId="7B9FC4C1" w:rsidR="003E3522" w:rsidRDefault="00473146" w:rsidP="003E3522">
            <w:pPr>
              <w:rPr>
                <w:rFonts w:ascii="Arial" w:hAnsi="Arial" w:cs="Arial"/>
              </w:rPr>
            </w:pPr>
            <w:r>
              <w:rPr>
                <w:rFonts w:ascii="Arial" w:hAnsi="Arial" w:cs="Arial"/>
              </w:rPr>
              <w:t>Cost per employee to the Service</w:t>
            </w:r>
          </w:p>
        </w:tc>
        <w:tc>
          <w:tcPr>
            <w:tcW w:w="1288" w:type="dxa"/>
          </w:tcPr>
          <w:p w14:paraId="658BEE18" w14:textId="77777777" w:rsidR="003E3522" w:rsidRDefault="003E3522" w:rsidP="003E3522">
            <w:pPr>
              <w:jc w:val="right"/>
              <w:rPr>
                <w:rFonts w:ascii="Arial" w:hAnsi="Arial" w:cs="Arial"/>
              </w:rPr>
            </w:pPr>
            <w:r>
              <w:rPr>
                <w:rFonts w:ascii="Arial" w:hAnsi="Arial" w:cs="Arial"/>
              </w:rPr>
              <w:t>£731.35</w:t>
            </w:r>
          </w:p>
        </w:tc>
      </w:tr>
    </w:tbl>
    <w:p w14:paraId="7EEBACFA" w14:textId="77777777" w:rsidR="003E3522" w:rsidRDefault="003E3522" w:rsidP="003E3522">
      <w:pPr>
        <w:rPr>
          <w:rFonts w:ascii="Arial" w:hAnsi="Arial" w:cs="Arial"/>
        </w:rPr>
      </w:pPr>
    </w:p>
    <w:p w14:paraId="3257EDA1" w14:textId="77777777" w:rsidR="003E3522" w:rsidRDefault="003E3522" w:rsidP="00473146">
      <w:pPr>
        <w:ind w:left="709"/>
        <w:rPr>
          <w:rFonts w:ascii="Arial" w:hAnsi="Arial" w:cs="Arial"/>
        </w:rPr>
      </w:pPr>
      <w:r>
        <w:rPr>
          <w:rFonts w:ascii="Arial" w:hAnsi="Arial" w:cs="Arial"/>
        </w:rPr>
        <w:t>These costs include:</w:t>
      </w:r>
    </w:p>
    <w:p w14:paraId="5447F26A" w14:textId="77777777" w:rsidR="00473146" w:rsidRDefault="00473146" w:rsidP="00473146">
      <w:pPr>
        <w:ind w:left="709"/>
        <w:rPr>
          <w:rFonts w:ascii="Arial" w:hAnsi="Arial" w:cs="Arial"/>
        </w:rPr>
      </w:pPr>
    </w:p>
    <w:p w14:paraId="7244083C" w14:textId="77777777" w:rsidR="003E3522" w:rsidRPr="00731670" w:rsidRDefault="003E3522" w:rsidP="00473146">
      <w:pPr>
        <w:pStyle w:val="ListParagraph"/>
        <w:numPr>
          <w:ilvl w:val="0"/>
          <w:numId w:val="27"/>
        </w:numPr>
        <w:ind w:left="1134" w:hanging="425"/>
        <w:contextualSpacing/>
        <w:rPr>
          <w:rFonts w:ascii="Arial" w:hAnsi="Arial" w:cs="Arial"/>
          <w:szCs w:val="24"/>
        </w:rPr>
      </w:pPr>
      <w:r w:rsidRPr="00731670">
        <w:rPr>
          <w:rFonts w:ascii="Arial" w:hAnsi="Arial" w:cs="Arial"/>
          <w:szCs w:val="24"/>
        </w:rPr>
        <w:t>Professional diagnostic assessment</w:t>
      </w:r>
    </w:p>
    <w:p w14:paraId="36FCE254" w14:textId="7B65D5C9" w:rsidR="003E3522" w:rsidRPr="00731670" w:rsidRDefault="00473146" w:rsidP="00473146">
      <w:pPr>
        <w:pStyle w:val="ListParagraph"/>
        <w:numPr>
          <w:ilvl w:val="0"/>
          <w:numId w:val="27"/>
        </w:numPr>
        <w:ind w:left="1134" w:hanging="425"/>
        <w:contextualSpacing/>
        <w:rPr>
          <w:rFonts w:ascii="Arial" w:hAnsi="Arial" w:cs="Arial"/>
          <w:szCs w:val="24"/>
        </w:rPr>
      </w:pPr>
      <w:r>
        <w:rPr>
          <w:rFonts w:ascii="Arial" w:hAnsi="Arial" w:cs="Arial"/>
          <w:szCs w:val="24"/>
        </w:rPr>
        <w:t xml:space="preserve">Equipment, </w:t>
      </w:r>
      <w:r w:rsidR="003E3522" w:rsidRPr="00731670">
        <w:rPr>
          <w:rFonts w:ascii="Arial" w:hAnsi="Arial" w:cs="Arial"/>
          <w:szCs w:val="24"/>
        </w:rPr>
        <w:t>which can include workstation adjustments</w:t>
      </w:r>
      <w:r>
        <w:rPr>
          <w:rFonts w:ascii="Arial" w:hAnsi="Arial" w:cs="Arial"/>
          <w:szCs w:val="24"/>
        </w:rPr>
        <w:t>,</w:t>
      </w:r>
      <w:r w:rsidR="003E3522">
        <w:rPr>
          <w:rFonts w:ascii="Arial" w:hAnsi="Arial" w:cs="Arial"/>
          <w:szCs w:val="24"/>
        </w:rPr>
        <w:t xml:space="preserve"> such as </w:t>
      </w:r>
      <w:r w:rsidR="003E3522" w:rsidRPr="00731670">
        <w:rPr>
          <w:rFonts w:ascii="Arial" w:hAnsi="Arial" w:cs="Arial"/>
          <w:szCs w:val="24"/>
        </w:rPr>
        <w:t>chair</w:t>
      </w:r>
      <w:r w:rsidR="003E3522">
        <w:rPr>
          <w:rFonts w:ascii="Arial" w:hAnsi="Arial" w:cs="Arial"/>
          <w:szCs w:val="24"/>
        </w:rPr>
        <w:t>s</w:t>
      </w:r>
      <w:r w:rsidR="003E3522" w:rsidRPr="00731670">
        <w:rPr>
          <w:rFonts w:ascii="Arial" w:hAnsi="Arial" w:cs="Arial"/>
          <w:szCs w:val="24"/>
        </w:rPr>
        <w:t xml:space="preserve">, </w:t>
      </w:r>
      <w:r w:rsidR="003E3522">
        <w:rPr>
          <w:rFonts w:ascii="Arial" w:hAnsi="Arial" w:cs="Arial"/>
          <w:szCs w:val="24"/>
        </w:rPr>
        <w:t xml:space="preserve">large </w:t>
      </w:r>
      <w:r w:rsidR="003E3522" w:rsidRPr="00731670">
        <w:rPr>
          <w:rFonts w:ascii="Arial" w:hAnsi="Arial" w:cs="Arial"/>
          <w:szCs w:val="24"/>
        </w:rPr>
        <w:t>monitor</w:t>
      </w:r>
      <w:r w:rsidR="003E3522">
        <w:rPr>
          <w:rFonts w:ascii="Arial" w:hAnsi="Arial" w:cs="Arial"/>
          <w:szCs w:val="24"/>
        </w:rPr>
        <w:t>s</w:t>
      </w:r>
      <w:r w:rsidR="003E3522" w:rsidRPr="00731670">
        <w:rPr>
          <w:rFonts w:ascii="Arial" w:hAnsi="Arial" w:cs="Arial"/>
          <w:szCs w:val="24"/>
        </w:rPr>
        <w:t>, computer packages,</w:t>
      </w:r>
      <w:r>
        <w:rPr>
          <w:rFonts w:ascii="Arial" w:hAnsi="Arial" w:cs="Arial"/>
          <w:szCs w:val="24"/>
        </w:rPr>
        <w:t xml:space="preserve"> coloured overlays, notebooks, d</w:t>
      </w:r>
      <w:r w:rsidR="003E3522" w:rsidRPr="00731670">
        <w:rPr>
          <w:rFonts w:ascii="Arial" w:hAnsi="Arial" w:cs="Arial"/>
          <w:szCs w:val="24"/>
        </w:rPr>
        <w:t>ictaphone</w:t>
      </w:r>
      <w:r w:rsidR="003E3522">
        <w:rPr>
          <w:rFonts w:ascii="Arial" w:hAnsi="Arial" w:cs="Arial"/>
          <w:szCs w:val="24"/>
        </w:rPr>
        <w:t>s</w:t>
      </w:r>
      <w:r w:rsidR="003E3522" w:rsidRPr="00731670">
        <w:rPr>
          <w:rFonts w:ascii="Arial" w:hAnsi="Arial" w:cs="Arial"/>
          <w:szCs w:val="24"/>
        </w:rPr>
        <w:t>, headphones,</w:t>
      </w:r>
      <w:r w:rsidR="003E3522">
        <w:rPr>
          <w:rFonts w:ascii="Arial" w:hAnsi="Arial" w:cs="Arial"/>
          <w:szCs w:val="24"/>
        </w:rPr>
        <w:t xml:space="preserve"> and</w:t>
      </w:r>
      <w:r w:rsidR="003E3522" w:rsidRPr="00731670">
        <w:rPr>
          <w:rFonts w:ascii="Arial" w:hAnsi="Arial" w:cs="Arial"/>
          <w:szCs w:val="24"/>
        </w:rPr>
        <w:t xml:space="preserve"> highlighters</w:t>
      </w:r>
    </w:p>
    <w:p w14:paraId="1E838629" w14:textId="688A350C" w:rsidR="003E3522" w:rsidRPr="00731670" w:rsidRDefault="003E3522" w:rsidP="00473146">
      <w:pPr>
        <w:pStyle w:val="ListParagraph"/>
        <w:numPr>
          <w:ilvl w:val="0"/>
          <w:numId w:val="27"/>
        </w:numPr>
        <w:ind w:left="1134" w:hanging="425"/>
        <w:contextualSpacing/>
        <w:rPr>
          <w:rFonts w:ascii="Arial" w:hAnsi="Arial" w:cs="Arial"/>
          <w:szCs w:val="24"/>
        </w:rPr>
      </w:pPr>
      <w:r w:rsidRPr="00731670">
        <w:rPr>
          <w:rFonts w:ascii="Arial" w:hAnsi="Arial" w:cs="Arial"/>
          <w:szCs w:val="24"/>
        </w:rPr>
        <w:t>Professional support</w:t>
      </w:r>
      <w:r>
        <w:rPr>
          <w:rFonts w:ascii="Arial" w:hAnsi="Arial" w:cs="Arial"/>
          <w:szCs w:val="24"/>
        </w:rPr>
        <w:t>,</w:t>
      </w:r>
      <w:r w:rsidRPr="00731670">
        <w:rPr>
          <w:rFonts w:ascii="Arial" w:hAnsi="Arial" w:cs="Arial"/>
          <w:szCs w:val="24"/>
        </w:rPr>
        <w:t xml:space="preserve"> including </w:t>
      </w:r>
      <w:r>
        <w:rPr>
          <w:rFonts w:ascii="Arial" w:hAnsi="Arial" w:cs="Arial"/>
          <w:szCs w:val="24"/>
        </w:rPr>
        <w:t>professional</w:t>
      </w:r>
      <w:r w:rsidRPr="00731670">
        <w:rPr>
          <w:rFonts w:ascii="Arial" w:hAnsi="Arial" w:cs="Arial"/>
          <w:szCs w:val="24"/>
        </w:rPr>
        <w:t xml:space="preserve"> tutor</w:t>
      </w:r>
      <w:r>
        <w:rPr>
          <w:rFonts w:ascii="Arial" w:hAnsi="Arial" w:cs="Arial"/>
          <w:szCs w:val="24"/>
        </w:rPr>
        <w:t>ing</w:t>
      </w:r>
      <w:r w:rsidRPr="00731670">
        <w:rPr>
          <w:rFonts w:ascii="Arial" w:hAnsi="Arial" w:cs="Arial"/>
          <w:szCs w:val="24"/>
        </w:rPr>
        <w:t xml:space="preserve"> for dyslexia support</w:t>
      </w:r>
      <w:r w:rsidR="00473146">
        <w:rPr>
          <w:rFonts w:ascii="Arial" w:hAnsi="Arial" w:cs="Arial"/>
          <w:szCs w:val="24"/>
        </w:rPr>
        <w:t>,</w:t>
      </w:r>
      <w:r>
        <w:rPr>
          <w:rFonts w:ascii="Arial" w:hAnsi="Arial" w:cs="Arial"/>
          <w:szCs w:val="24"/>
        </w:rPr>
        <w:t xml:space="preserve"> for which funding is currently received from Access to Work</w:t>
      </w:r>
    </w:p>
    <w:p w14:paraId="36BE9DF9" w14:textId="77777777" w:rsidR="003E3522" w:rsidRDefault="003E3522" w:rsidP="003E3522">
      <w:pPr>
        <w:ind w:left="567"/>
        <w:rPr>
          <w:rFonts w:ascii="Arial" w:hAnsi="Arial" w:cs="Arial"/>
          <w:b/>
        </w:rPr>
      </w:pPr>
    </w:p>
    <w:p w14:paraId="49BF3372" w14:textId="4CB735F5" w:rsidR="003E3522" w:rsidRDefault="003E3522" w:rsidP="00473146">
      <w:pPr>
        <w:ind w:left="709"/>
        <w:rPr>
          <w:rFonts w:ascii="Arial" w:hAnsi="Arial" w:cs="Arial"/>
          <w:b/>
        </w:rPr>
      </w:pPr>
      <w:r>
        <w:rPr>
          <w:rFonts w:ascii="Arial" w:hAnsi="Arial" w:cs="Arial"/>
          <w:b/>
        </w:rPr>
        <w:t xml:space="preserve">Year-on-year total costs of </w:t>
      </w:r>
      <w:r w:rsidR="00473146">
        <w:rPr>
          <w:rFonts w:ascii="Arial" w:hAnsi="Arial" w:cs="Arial"/>
          <w:b/>
        </w:rPr>
        <w:t>reasonable a</w:t>
      </w:r>
      <w:r w:rsidR="00063078">
        <w:rPr>
          <w:rFonts w:ascii="Arial" w:hAnsi="Arial" w:cs="Arial"/>
          <w:b/>
        </w:rPr>
        <w:t xml:space="preserve">djustment </w:t>
      </w:r>
      <w:r>
        <w:rPr>
          <w:rFonts w:ascii="Arial" w:hAnsi="Arial" w:cs="Arial"/>
          <w:b/>
        </w:rPr>
        <w:t>programme (excluding ATW funding)</w:t>
      </w:r>
    </w:p>
    <w:p w14:paraId="3FB6390B" w14:textId="77777777" w:rsidR="009E2CA5" w:rsidRDefault="009E2CA5" w:rsidP="00473146">
      <w:pPr>
        <w:ind w:left="709"/>
        <w:rPr>
          <w:rFonts w:ascii="Arial" w:hAnsi="Arial" w:cs="Arial"/>
          <w:b/>
        </w:rPr>
      </w:pPr>
    </w:p>
    <w:p w14:paraId="6D8B7141" w14:textId="77777777" w:rsidR="00473146" w:rsidRDefault="00473146" w:rsidP="00473146">
      <w:pPr>
        <w:ind w:left="709"/>
        <w:rPr>
          <w:rFonts w:ascii="Arial" w:hAnsi="Arial" w:cs="Arial"/>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3"/>
        <w:gridCol w:w="1559"/>
        <w:gridCol w:w="5591"/>
      </w:tblGrid>
      <w:tr w:rsidR="003E3522" w:rsidRPr="003E3522" w14:paraId="7FD2727B" w14:textId="77777777" w:rsidTr="003E3522">
        <w:tc>
          <w:tcPr>
            <w:tcW w:w="1373" w:type="dxa"/>
          </w:tcPr>
          <w:p w14:paraId="47257C06" w14:textId="77777777" w:rsidR="003E3522" w:rsidRPr="003E3522" w:rsidRDefault="003E3522" w:rsidP="003E3522">
            <w:pPr>
              <w:rPr>
                <w:rFonts w:ascii="Arial" w:hAnsi="Arial" w:cs="Arial"/>
                <w:b/>
                <w:i/>
                <w:sz w:val="22"/>
                <w:szCs w:val="22"/>
              </w:rPr>
            </w:pPr>
            <w:r w:rsidRPr="003E3522">
              <w:rPr>
                <w:rFonts w:ascii="Arial" w:hAnsi="Arial" w:cs="Arial"/>
                <w:b/>
                <w:i/>
                <w:sz w:val="22"/>
                <w:szCs w:val="22"/>
              </w:rPr>
              <w:t>Year</w:t>
            </w:r>
          </w:p>
        </w:tc>
        <w:tc>
          <w:tcPr>
            <w:tcW w:w="1559" w:type="dxa"/>
          </w:tcPr>
          <w:p w14:paraId="0413C355"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£p</w:t>
            </w:r>
          </w:p>
        </w:tc>
        <w:tc>
          <w:tcPr>
            <w:tcW w:w="5591" w:type="dxa"/>
            <w:vMerge w:val="restart"/>
          </w:tcPr>
          <w:p w14:paraId="05393C7E" w14:textId="77777777" w:rsidR="003E3522" w:rsidRPr="003E3522" w:rsidRDefault="003E3522" w:rsidP="003E3522">
            <w:pPr>
              <w:ind w:left="113"/>
              <w:rPr>
                <w:rFonts w:ascii="Arial" w:hAnsi="Arial" w:cs="Arial"/>
                <w:b/>
                <w:i/>
              </w:rPr>
            </w:pPr>
            <w:r w:rsidRPr="003E3522">
              <w:rPr>
                <w:rFonts w:ascii="Arial" w:hAnsi="Arial" w:cs="Arial"/>
                <w:b/>
                <w:i/>
                <w:noProof/>
              </w:rPr>
              <w:drawing>
                <wp:inline distT="0" distB="0" distL="0" distR="0" wp14:anchorId="59CE8BF9" wp14:editId="63DCB0F0">
                  <wp:extent cx="3219450" cy="1631950"/>
                  <wp:effectExtent l="19050" t="0" r="19050" b="63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E3522" w:rsidRPr="003E3522" w14:paraId="5CB7F2D1" w14:textId="77777777" w:rsidTr="003E3522">
        <w:tc>
          <w:tcPr>
            <w:tcW w:w="1373" w:type="dxa"/>
          </w:tcPr>
          <w:p w14:paraId="477EC82D" w14:textId="2928C4EB" w:rsidR="003E3522" w:rsidRPr="003E3522" w:rsidRDefault="003E3522" w:rsidP="003E3522">
            <w:pPr>
              <w:rPr>
                <w:rFonts w:ascii="Arial" w:hAnsi="Arial" w:cs="Arial"/>
                <w:b/>
                <w:i/>
                <w:sz w:val="22"/>
                <w:szCs w:val="22"/>
              </w:rPr>
            </w:pPr>
            <w:r w:rsidRPr="003E3522">
              <w:rPr>
                <w:rFonts w:ascii="Arial" w:hAnsi="Arial" w:cs="Arial"/>
                <w:b/>
                <w:i/>
                <w:sz w:val="22"/>
                <w:szCs w:val="22"/>
              </w:rPr>
              <w:t xml:space="preserve">2008 </w:t>
            </w:r>
            <w:r w:rsidR="00473146">
              <w:rPr>
                <w:rFonts w:ascii="Arial" w:hAnsi="Arial" w:cs="Arial"/>
                <w:b/>
                <w:i/>
                <w:sz w:val="22"/>
                <w:szCs w:val="22"/>
              </w:rPr>
              <w:t>–</w:t>
            </w:r>
            <w:r w:rsidRPr="003E3522">
              <w:rPr>
                <w:rFonts w:ascii="Arial" w:hAnsi="Arial" w:cs="Arial"/>
                <w:b/>
                <w:i/>
                <w:sz w:val="22"/>
                <w:szCs w:val="22"/>
              </w:rPr>
              <w:t xml:space="preserve"> 09</w:t>
            </w:r>
          </w:p>
        </w:tc>
        <w:tc>
          <w:tcPr>
            <w:tcW w:w="1559" w:type="dxa"/>
          </w:tcPr>
          <w:p w14:paraId="65D24AF9"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555.62</w:t>
            </w:r>
          </w:p>
        </w:tc>
        <w:tc>
          <w:tcPr>
            <w:tcW w:w="5591" w:type="dxa"/>
            <w:vMerge/>
          </w:tcPr>
          <w:p w14:paraId="4F93307C" w14:textId="77777777" w:rsidR="003E3522" w:rsidRPr="003E3522" w:rsidRDefault="003E3522" w:rsidP="003E3522">
            <w:pPr>
              <w:rPr>
                <w:rFonts w:ascii="Arial" w:hAnsi="Arial" w:cs="Arial"/>
                <w:b/>
                <w:i/>
              </w:rPr>
            </w:pPr>
          </w:p>
        </w:tc>
      </w:tr>
      <w:tr w:rsidR="003E3522" w:rsidRPr="003E3522" w14:paraId="461E632D" w14:textId="77777777" w:rsidTr="003E3522">
        <w:tc>
          <w:tcPr>
            <w:tcW w:w="1373" w:type="dxa"/>
          </w:tcPr>
          <w:p w14:paraId="17EB19BD" w14:textId="77777777" w:rsidR="003E3522" w:rsidRPr="003E3522" w:rsidRDefault="003E3522" w:rsidP="003E3522">
            <w:pPr>
              <w:rPr>
                <w:rFonts w:ascii="Arial" w:hAnsi="Arial" w:cs="Arial"/>
                <w:b/>
                <w:i/>
                <w:sz w:val="22"/>
                <w:szCs w:val="22"/>
              </w:rPr>
            </w:pPr>
            <w:r w:rsidRPr="003E3522">
              <w:rPr>
                <w:rFonts w:ascii="Arial" w:hAnsi="Arial" w:cs="Arial"/>
                <w:b/>
                <w:i/>
                <w:sz w:val="22"/>
                <w:szCs w:val="22"/>
              </w:rPr>
              <w:t>2009 – 10</w:t>
            </w:r>
          </w:p>
        </w:tc>
        <w:tc>
          <w:tcPr>
            <w:tcW w:w="1559" w:type="dxa"/>
          </w:tcPr>
          <w:p w14:paraId="31472B06"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3,146.33</w:t>
            </w:r>
          </w:p>
        </w:tc>
        <w:tc>
          <w:tcPr>
            <w:tcW w:w="5591" w:type="dxa"/>
            <w:vMerge/>
          </w:tcPr>
          <w:p w14:paraId="124A43F9" w14:textId="77777777" w:rsidR="003E3522" w:rsidRPr="003E3522" w:rsidRDefault="003E3522" w:rsidP="003E3522">
            <w:pPr>
              <w:rPr>
                <w:rFonts w:ascii="Arial" w:hAnsi="Arial" w:cs="Arial"/>
                <w:b/>
                <w:i/>
              </w:rPr>
            </w:pPr>
          </w:p>
        </w:tc>
      </w:tr>
      <w:tr w:rsidR="003E3522" w:rsidRPr="003E3522" w14:paraId="2C2F3F69" w14:textId="77777777" w:rsidTr="003E3522">
        <w:tc>
          <w:tcPr>
            <w:tcW w:w="1373" w:type="dxa"/>
          </w:tcPr>
          <w:p w14:paraId="16CF8646" w14:textId="77777777" w:rsidR="003E3522" w:rsidRPr="003E3522" w:rsidRDefault="003E3522" w:rsidP="003E3522">
            <w:pPr>
              <w:rPr>
                <w:rFonts w:ascii="Arial" w:hAnsi="Arial" w:cs="Arial"/>
                <w:b/>
                <w:i/>
                <w:sz w:val="22"/>
                <w:szCs w:val="22"/>
              </w:rPr>
            </w:pPr>
            <w:r w:rsidRPr="003E3522">
              <w:rPr>
                <w:rFonts w:ascii="Arial" w:hAnsi="Arial" w:cs="Arial"/>
                <w:b/>
                <w:i/>
                <w:sz w:val="22"/>
                <w:szCs w:val="22"/>
              </w:rPr>
              <w:t>2010 – 11</w:t>
            </w:r>
          </w:p>
        </w:tc>
        <w:tc>
          <w:tcPr>
            <w:tcW w:w="1559" w:type="dxa"/>
          </w:tcPr>
          <w:p w14:paraId="325EE580"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5,528.69</w:t>
            </w:r>
          </w:p>
        </w:tc>
        <w:tc>
          <w:tcPr>
            <w:tcW w:w="5591" w:type="dxa"/>
            <w:vMerge/>
          </w:tcPr>
          <w:p w14:paraId="7D973092" w14:textId="77777777" w:rsidR="003E3522" w:rsidRPr="003E3522" w:rsidRDefault="003E3522" w:rsidP="003E3522">
            <w:pPr>
              <w:rPr>
                <w:rFonts w:ascii="Arial" w:hAnsi="Arial" w:cs="Arial"/>
                <w:b/>
                <w:i/>
              </w:rPr>
            </w:pPr>
          </w:p>
        </w:tc>
      </w:tr>
      <w:tr w:rsidR="003E3522" w:rsidRPr="003E3522" w14:paraId="2D29AAB3" w14:textId="77777777" w:rsidTr="003E3522">
        <w:tc>
          <w:tcPr>
            <w:tcW w:w="1373" w:type="dxa"/>
          </w:tcPr>
          <w:p w14:paraId="2BA0680D" w14:textId="272921D1" w:rsidR="003E3522" w:rsidRPr="003E3522" w:rsidRDefault="003E3522" w:rsidP="00473146">
            <w:pPr>
              <w:rPr>
                <w:rFonts w:ascii="Arial" w:hAnsi="Arial" w:cs="Arial"/>
                <w:b/>
                <w:i/>
                <w:sz w:val="22"/>
                <w:szCs w:val="22"/>
              </w:rPr>
            </w:pPr>
            <w:r w:rsidRPr="003E3522">
              <w:rPr>
                <w:rFonts w:ascii="Arial" w:hAnsi="Arial" w:cs="Arial"/>
                <w:b/>
                <w:i/>
                <w:sz w:val="22"/>
                <w:szCs w:val="22"/>
              </w:rPr>
              <w:t>2011</w:t>
            </w:r>
            <w:r w:rsidR="00473146">
              <w:rPr>
                <w:rFonts w:ascii="Arial" w:hAnsi="Arial" w:cs="Arial"/>
                <w:b/>
                <w:i/>
                <w:sz w:val="22"/>
                <w:szCs w:val="22"/>
              </w:rPr>
              <w:t xml:space="preserve"> – </w:t>
            </w:r>
            <w:r w:rsidRPr="003E3522">
              <w:rPr>
                <w:rFonts w:ascii="Arial" w:hAnsi="Arial" w:cs="Arial"/>
                <w:b/>
                <w:i/>
                <w:sz w:val="22"/>
                <w:szCs w:val="22"/>
              </w:rPr>
              <w:t>12</w:t>
            </w:r>
          </w:p>
        </w:tc>
        <w:tc>
          <w:tcPr>
            <w:tcW w:w="1559" w:type="dxa"/>
          </w:tcPr>
          <w:p w14:paraId="43C48A72"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6,612.94</w:t>
            </w:r>
          </w:p>
        </w:tc>
        <w:tc>
          <w:tcPr>
            <w:tcW w:w="5591" w:type="dxa"/>
            <w:vMerge/>
          </w:tcPr>
          <w:p w14:paraId="66001B71" w14:textId="77777777" w:rsidR="003E3522" w:rsidRPr="003E3522" w:rsidRDefault="003E3522" w:rsidP="003E3522">
            <w:pPr>
              <w:rPr>
                <w:rFonts w:ascii="Arial" w:hAnsi="Arial" w:cs="Arial"/>
                <w:b/>
                <w:i/>
              </w:rPr>
            </w:pPr>
          </w:p>
        </w:tc>
      </w:tr>
      <w:tr w:rsidR="003E3522" w:rsidRPr="003E3522" w14:paraId="09993576" w14:textId="77777777" w:rsidTr="003E3522">
        <w:tc>
          <w:tcPr>
            <w:tcW w:w="1373" w:type="dxa"/>
          </w:tcPr>
          <w:p w14:paraId="3286570A" w14:textId="77777777" w:rsidR="003E3522" w:rsidRPr="003E3522" w:rsidRDefault="003E3522" w:rsidP="003E3522">
            <w:pPr>
              <w:rPr>
                <w:rFonts w:ascii="Arial" w:hAnsi="Arial" w:cs="Arial"/>
                <w:b/>
                <w:i/>
                <w:sz w:val="22"/>
                <w:szCs w:val="22"/>
              </w:rPr>
            </w:pPr>
            <w:r w:rsidRPr="003E3522">
              <w:rPr>
                <w:rFonts w:ascii="Arial" w:hAnsi="Arial" w:cs="Arial"/>
                <w:b/>
                <w:i/>
                <w:sz w:val="22"/>
                <w:szCs w:val="22"/>
              </w:rPr>
              <w:t>2012 – 13</w:t>
            </w:r>
          </w:p>
        </w:tc>
        <w:tc>
          <w:tcPr>
            <w:tcW w:w="1559" w:type="dxa"/>
          </w:tcPr>
          <w:p w14:paraId="66C5F572"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7,984.64</w:t>
            </w:r>
          </w:p>
        </w:tc>
        <w:tc>
          <w:tcPr>
            <w:tcW w:w="5591" w:type="dxa"/>
            <w:vMerge/>
          </w:tcPr>
          <w:p w14:paraId="5365F5F2" w14:textId="77777777" w:rsidR="003E3522" w:rsidRPr="003E3522" w:rsidRDefault="003E3522" w:rsidP="003E3522">
            <w:pPr>
              <w:rPr>
                <w:rFonts w:ascii="Arial" w:hAnsi="Arial" w:cs="Arial"/>
                <w:b/>
                <w:i/>
              </w:rPr>
            </w:pPr>
          </w:p>
        </w:tc>
      </w:tr>
      <w:tr w:rsidR="003E3522" w:rsidRPr="003E3522" w14:paraId="3AB4FA12" w14:textId="77777777" w:rsidTr="003E3522">
        <w:tc>
          <w:tcPr>
            <w:tcW w:w="1373" w:type="dxa"/>
          </w:tcPr>
          <w:p w14:paraId="55A49C99" w14:textId="77777777" w:rsidR="003E3522" w:rsidRPr="003E3522" w:rsidRDefault="003E3522" w:rsidP="003E3522">
            <w:pPr>
              <w:rPr>
                <w:rFonts w:ascii="Arial" w:hAnsi="Arial" w:cs="Arial"/>
                <w:b/>
                <w:i/>
                <w:sz w:val="22"/>
                <w:szCs w:val="22"/>
              </w:rPr>
            </w:pPr>
            <w:r w:rsidRPr="003E3522">
              <w:rPr>
                <w:rFonts w:ascii="Arial" w:hAnsi="Arial" w:cs="Arial"/>
                <w:b/>
                <w:i/>
                <w:sz w:val="22"/>
                <w:szCs w:val="22"/>
              </w:rPr>
              <w:t xml:space="preserve">2013 – 14 </w:t>
            </w:r>
          </w:p>
        </w:tc>
        <w:tc>
          <w:tcPr>
            <w:tcW w:w="1559" w:type="dxa"/>
          </w:tcPr>
          <w:p w14:paraId="27188448"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9,088.73</w:t>
            </w:r>
          </w:p>
        </w:tc>
        <w:tc>
          <w:tcPr>
            <w:tcW w:w="5591" w:type="dxa"/>
            <w:vMerge/>
          </w:tcPr>
          <w:p w14:paraId="72978ACE" w14:textId="77777777" w:rsidR="003E3522" w:rsidRPr="003E3522" w:rsidRDefault="003E3522" w:rsidP="003E3522">
            <w:pPr>
              <w:rPr>
                <w:rFonts w:ascii="Arial" w:hAnsi="Arial" w:cs="Arial"/>
                <w:b/>
                <w:i/>
              </w:rPr>
            </w:pPr>
          </w:p>
        </w:tc>
      </w:tr>
      <w:tr w:rsidR="003E3522" w:rsidRPr="003E3522" w14:paraId="229B8393" w14:textId="77777777" w:rsidTr="003E3522">
        <w:tc>
          <w:tcPr>
            <w:tcW w:w="1373" w:type="dxa"/>
          </w:tcPr>
          <w:p w14:paraId="78B631C6" w14:textId="77777777" w:rsidR="00473146" w:rsidRDefault="003E3522" w:rsidP="003E3522">
            <w:pPr>
              <w:rPr>
                <w:rFonts w:ascii="Arial" w:hAnsi="Arial" w:cs="Arial"/>
                <w:b/>
                <w:i/>
                <w:sz w:val="22"/>
                <w:szCs w:val="22"/>
              </w:rPr>
            </w:pPr>
            <w:r w:rsidRPr="003E3522">
              <w:rPr>
                <w:rFonts w:ascii="Arial" w:hAnsi="Arial" w:cs="Arial"/>
                <w:b/>
                <w:i/>
                <w:sz w:val="22"/>
                <w:szCs w:val="22"/>
              </w:rPr>
              <w:t xml:space="preserve">2014 – 15 (up to </w:t>
            </w:r>
          </w:p>
          <w:p w14:paraId="4BEA5A7B" w14:textId="00A07889" w:rsidR="003E3522" w:rsidRPr="003E3522" w:rsidRDefault="003E3522" w:rsidP="003E3522">
            <w:pPr>
              <w:rPr>
                <w:rFonts w:ascii="Arial" w:hAnsi="Arial" w:cs="Arial"/>
                <w:b/>
                <w:i/>
                <w:sz w:val="22"/>
                <w:szCs w:val="22"/>
              </w:rPr>
            </w:pPr>
            <w:r w:rsidRPr="003E3522">
              <w:rPr>
                <w:rFonts w:ascii="Arial" w:hAnsi="Arial" w:cs="Arial"/>
                <w:b/>
                <w:i/>
                <w:sz w:val="22"/>
                <w:szCs w:val="22"/>
              </w:rPr>
              <w:t>28 Feb)</w:t>
            </w:r>
          </w:p>
        </w:tc>
        <w:tc>
          <w:tcPr>
            <w:tcW w:w="1559" w:type="dxa"/>
          </w:tcPr>
          <w:p w14:paraId="789E07A2"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11,233.28</w:t>
            </w:r>
          </w:p>
          <w:p w14:paraId="6197C1B8" w14:textId="77777777" w:rsidR="003E3522" w:rsidRPr="003E3522" w:rsidRDefault="003E3522" w:rsidP="00473146">
            <w:pPr>
              <w:jc w:val="right"/>
              <w:rPr>
                <w:rFonts w:ascii="Arial" w:hAnsi="Arial" w:cs="Arial"/>
                <w:b/>
                <w:i/>
                <w:sz w:val="22"/>
                <w:szCs w:val="22"/>
              </w:rPr>
            </w:pPr>
            <w:r w:rsidRPr="003E3522">
              <w:rPr>
                <w:rFonts w:ascii="Arial" w:hAnsi="Arial" w:cs="Arial"/>
                <w:b/>
                <w:i/>
                <w:sz w:val="22"/>
                <w:szCs w:val="22"/>
              </w:rPr>
              <w:t>12,254.50 (annualised)</w:t>
            </w:r>
          </w:p>
        </w:tc>
        <w:tc>
          <w:tcPr>
            <w:tcW w:w="5591" w:type="dxa"/>
            <w:vMerge/>
          </w:tcPr>
          <w:p w14:paraId="15EF9107" w14:textId="77777777" w:rsidR="003E3522" w:rsidRPr="003E3522" w:rsidRDefault="003E3522" w:rsidP="003E3522">
            <w:pPr>
              <w:rPr>
                <w:rFonts w:ascii="Arial" w:hAnsi="Arial" w:cs="Arial"/>
                <w:b/>
                <w:i/>
              </w:rPr>
            </w:pPr>
          </w:p>
        </w:tc>
      </w:tr>
    </w:tbl>
    <w:p w14:paraId="43136390" w14:textId="77777777" w:rsidR="003E3522" w:rsidRDefault="003E3522" w:rsidP="003E3522">
      <w:pPr>
        <w:rPr>
          <w:rFonts w:ascii="Arial" w:hAnsi="Arial" w:cs="Arial"/>
          <w:b/>
          <w:i/>
        </w:rPr>
      </w:pPr>
    </w:p>
    <w:p w14:paraId="715529F1" w14:textId="77777777" w:rsidR="009E2CA5" w:rsidRPr="003E3522" w:rsidRDefault="009E2CA5" w:rsidP="003E3522">
      <w:pPr>
        <w:rPr>
          <w:rFonts w:ascii="Arial" w:hAnsi="Arial" w:cs="Arial"/>
          <w:b/>
          <w:i/>
        </w:rPr>
      </w:pPr>
    </w:p>
    <w:p w14:paraId="59DF57E3" w14:textId="77777777" w:rsidR="00F72E0D" w:rsidRDefault="00117B5F" w:rsidP="00F72E0D">
      <w:pPr>
        <w:pStyle w:val="sssubhead1"/>
        <w:jc w:val="both"/>
      </w:pPr>
      <w:r>
        <w:t xml:space="preserve">Financial Implications </w:t>
      </w:r>
    </w:p>
    <w:p w14:paraId="683B91BA" w14:textId="77777777" w:rsidR="00F72E0D" w:rsidRPr="006D45C8" w:rsidRDefault="00F72E0D" w:rsidP="00F72E0D">
      <w:pPr>
        <w:widowControl w:val="0"/>
        <w:rPr>
          <w:rFonts w:ascii="Arial" w:hAnsi="Arial" w:cs="Arial"/>
          <w:snapToGrid w:val="0"/>
          <w:lang w:eastAsia="en-US"/>
        </w:rPr>
      </w:pPr>
    </w:p>
    <w:p w14:paraId="50528CD9" w14:textId="6819FDA0" w:rsidR="003E3522" w:rsidRPr="000833ED" w:rsidRDefault="003E3522" w:rsidP="00473146">
      <w:pPr>
        <w:widowControl w:val="0"/>
        <w:ind w:left="709"/>
        <w:rPr>
          <w:rFonts w:ascii="Arial" w:hAnsi="Arial" w:cs="Arial"/>
          <w:snapToGrid w:val="0"/>
        </w:rPr>
      </w:pPr>
      <w:r w:rsidRPr="000833ED">
        <w:rPr>
          <w:rFonts w:ascii="Arial" w:hAnsi="Arial" w:cs="Arial"/>
          <w:snapToGrid w:val="0"/>
        </w:rPr>
        <w:t xml:space="preserve">All financial implications have </w:t>
      </w:r>
      <w:r w:rsidR="00473146">
        <w:rPr>
          <w:rFonts w:ascii="Arial" w:hAnsi="Arial" w:cs="Arial"/>
          <w:snapToGrid w:val="0"/>
        </w:rPr>
        <w:t>been considered as part of the b</w:t>
      </w:r>
      <w:r w:rsidRPr="000833ED">
        <w:rPr>
          <w:rFonts w:ascii="Arial" w:hAnsi="Arial" w:cs="Arial"/>
          <w:snapToGrid w:val="0"/>
        </w:rPr>
        <w:t xml:space="preserve">usiness </w:t>
      </w:r>
      <w:r w:rsidR="00473146">
        <w:rPr>
          <w:rFonts w:ascii="Arial" w:hAnsi="Arial" w:cs="Arial"/>
          <w:snapToGrid w:val="0"/>
        </w:rPr>
        <w:t>p</w:t>
      </w:r>
      <w:r w:rsidRPr="000833ED">
        <w:rPr>
          <w:rFonts w:ascii="Arial" w:hAnsi="Arial" w:cs="Arial"/>
          <w:snapToGrid w:val="0"/>
        </w:rPr>
        <w:t xml:space="preserve">lanning process.  Any new actions will be considered at the time and </w:t>
      </w:r>
      <w:r w:rsidR="00473146">
        <w:rPr>
          <w:rFonts w:ascii="Arial" w:hAnsi="Arial" w:cs="Arial"/>
          <w:snapToGrid w:val="0"/>
        </w:rPr>
        <w:t>either absorbed in</w:t>
      </w:r>
      <w:r w:rsidRPr="000833ED">
        <w:rPr>
          <w:rFonts w:ascii="Arial" w:hAnsi="Arial" w:cs="Arial"/>
          <w:snapToGrid w:val="0"/>
        </w:rPr>
        <w:t xml:space="preserve">to current workloads </w:t>
      </w:r>
      <w:r w:rsidR="00473146">
        <w:rPr>
          <w:rFonts w:ascii="Arial" w:hAnsi="Arial" w:cs="Arial"/>
          <w:snapToGrid w:val="0"/>
        </w:rPr>
        <w:t>or included within next year’s business p</w:t>
      </w:r>
      <w:r w:rsidRPr="000833ED">
        <w:rPr>
          <w:rFonts w:ascii="Arial" w:hAnsi="Arial" w:cs="Arial"/>
          <w:snapToGrid w:val="0"/>
        </w:rPr>
        <w:t>lans.</w:t>
      </w:r>
    </w:p>
    <w:p w14:paraId="09F2397A" w14:textId="77777777" w:rsidR="003E3522" w:rsidRDefault="003E3522" w:rsidP="00473146">
      <w:pPr>
        <w:widowControl w:val="0"/>
        <w:ind w:left="709"/>
        <w:rPr>
          <w:rFonts w:ascii="Arial" w:hAnsi="Arial" w:cs="Arial"/>
          <w:snapToGrid w:val="0"/>
          <w:lang w:eastAsia="en-US"/>
        </w:rPr>
      </w:pPr>
    </w:p>
    <w:p w14:paraId="2C93AC3A" w14:textId="2F08E679" w:rsidR="00063078" w:rsidRDefault="00F415C5" w:rsidP="00473146">
      <w:pPr>
        <w:widowControl w:val="0"/>
        <w:ind w:left="709"/>
        <w:rPr>
          <w:rFonts w:ascii="Arial" w:hAnsi="Arial" w:cs="Arial"/>
          <w:snapToGrid w:val="0"/>
          <w:lang w:eastAsia="en-US"/>
        </w:rPr>
      </w:pPr>
      <w:r w:rsidRPr="00F415C5">
        <w:rPr>
          <w:rFonts w:ascii="Arial" w:hAnsi="Arial" w:cs="Arial"/>
          <w:snapToGrid w:val="0"/>
          <w:lang w:eastAsia="en-US"/>
        </w:rPr>
        <w:t>The</w:t>
      </w:r>
      <w:r w:rsidR="009B40B0">
        <w:rPr>
          <w:rFonts w:ascii="Arial" w:hAnsi="Arial" w:cs="Arial"/>
          <w:snapToGrid w:val="0"/>
          <w:lang w:eastAsia="en-US"/>
        </w:rPr>
        <w:t xml:space="preserve"> </w:t>
      </w:r>
      <w:r w:rsidR="00063078">
        <w:rPr>
          <w:rFonts w:ascii="Arial" w:hAnsi="Arial" w:cs="Arial"/>
          <w:snapToGrid w:val="0"/>
          <w:lang w:eastAsia="en-US"/>
        </w:rPr>
        <w:t>above analysis of year-on-year costs for th</w:t>
      </w:r>
      <w:r w:rsidRPr="00F415C5">
        <w:rPr>
          <w:rFonts w:ascii="Arial" w:hAnsi="Arial" w:cs="Arial"/>
          <w:snapToGrid w:val="0"/>
          <w:lang w:eastAsia="en-US"/>
        </w:rPr>
        <w:t xml:space="preserve">e </w:t>
      </w:r>
      <w:r w:rsidR="00473146">
        <w:rPr>
          <w:rFonts w:ascii="Arial" w:hAnsi="Arial" w:cs="Arial"/>
          <w:snapToGrid w:val="0"/>
          <w:lang w:eastAsia="en-US"/>
        </w:rPr>
        <w:t>reasonable a</w:t>
      </w:r>
      <w:r w:rsidR="00063078">
        <w:rPr>
          <w:rFonts w:ascii="Arial" w:hAnsi="Arial" w:cs="Arial"/>
          <w:snapToGrid w:val="0"/>
          <w:lang w:eastAsia="en-US"/>
        </w:rPr>
        <w:t>djustments programme suggests that</w:t>
      </w:r>
      <w:r w:rsidR="00473146">
        <w:rPr>
          <w:rFonts w:ascii="Arial" w:hAnsi="Arial" w:cs="Arial"/>
          <w:snapToGrid w:val="0"/>
          <w:lang w:eastAsia="en-US"/>
        </w:rPr>
        <w:t>,</w:t>
      </w:r>
      <w:r w:rsidR="00063078">
        <w:rPr>
          <w:rFonts w:ascii="Arial" w:hAnsi="Arial" w:cs="Arial"/>
          <w:snapToGrid w:val="0"/>
          <w:lang w:eastAsia="en-US"/>
        </w:rPr>
        <w:t xml:space="preserve"> as the programme attracts more employees</w:t>
      </w:r>
      <w:r w:rsidR="00473146">
        <w:rPr>
          <w:rFonts w:ascii="Arial" w:hAnsi="Arial" w:cs="Arial"/>
          <w:snapToGrid w:val="0"/>
          <w:lang w:eastAsia="en-US"/>
        </w:rPr>
        <w:t>,</w:t>
      </w:r>
      <w:r w:rsidR="00063078">
        <w:rPr>
          <w:rFonts w:ascii="Arial" w:hAnsi="Arial" w:cs="Arial"/>
          <w:snapToGrid w:val="0"/>
          <w:lang w:eastAsia="en-US"/>
        </w:rPr>
        <w:t xml:space="preserve"> costs are likely to rise. </w:t>
      </w:r>
      <w:r w:rsidR="00473146">
        <w:rPr>
          <w:rFonts w:ascii="Arial" w:hAnsi="Arial" w:cs="Arial"/>
          <w:snapToGrid w:val="0"/>
          <w:lang w:eastAsia="en-US"/>
        </w:rPr>
        <w:t xml:space="preserve"> </w:t>
      </w:r>
      <w:r w:rsidR="00063078">
        <w:rPr>
          <w:rFonts w:ascii="Arial" w:hAnsi="Arial" w:cs="Arial"/>
          <w:snapToGrid w:val="0"/>
          <w:lang w:eastAsia="en-US"/>
        </w:rPr>
        <w:t>Should ATW funding be withdrawn in future, costs of meeting the Authority’s statutory obligations will rise further.</w:t>
      </w:r>
    </w:p>
    <w:p w14:paraId="3842FBAC" w14:textId="77777777" w:rsidR="00F415C5" w:rsidRPr="00F415C5" w:rsidRDefault="00F415C5" w:rsidP="00063078">
      <w:pPr>
        <w:widowControl w:val="0"/>
        <w:ind w:left="1080"/>
        <w:rPr>
          <w:rFonts w:ascii="Arial" w:hAnsi="Arial" w:cs="Arial"/>
          <w:snapToGrid w:val="0"/>
          <w:lang w:eastAsia="en-US"/>
        </w:rPr>
      </w:pPr>
    </w:p>
    <w:p w14:paraId="65F84FBD" w14:textId="77777777" w:rsidR="009E2CA5" w:rsidRDefault="009E2CA5">
      <w:pPr>
        <w:rPr>
          <w:rFonts w:ascii="Arial" w:hAnsi="Arial" w:cs="Arial"/>
          <w:b/>
          <w:bCs/>
          <w:snapToGrid w:val="0"/>
          <w:sz w:val="28"/>
          <w:szCs w:val="28"/>
          <w:lang w:eastAsia="en-US"/>
        </w:rPr>
      </w:pPr>
      <w:r>
        <w:rPr>
          <w:snapToGrid w:val="0"/>
          <w:lang w:eastAsia="en-US"/>
        </w:rPr>
        <w:br w:type="page"/>
      </w:r>
    </w:p>
    <w:p w14:paraId="7CBDBDB6" w14:textId="45338EC1" w:rsidR="00591426" w:rsidRDefault="00591426" w:rsidP="00F72E0D">
      <w:pPr>
        <w:pStyle w:val="sssubhead1"/>
        <w:jc w:val="both"/>
        <w:rPr>
          <w:snapToGrid w:val="0"/>
          <w:lang w:eastAsia="en-US"/>
        </w:rPr>
      </w:pPr>
      <w:r>
        <w:rPr>
          <w:snapToGrid w:val="0"/>
          <w:lang w:eastAsia="en-US"/>
        </w:rPr>
        <w:t>Legal Comment</w:t>
      </w:r>
    </w:p>
    <w:p w14:paraId="1623F338" w14:textId="77777777" w:rsidR="00591426" w:rsidRPr="006D45C8" w:rsidRDefault="00591426" w:rsidP="00F72E0D">
      <w:pPr>
        <w:widowControl w:val="0"/>
        <w:rPr>
          <w:rFonts w:ascii="Arial" w:hAnsi="Arial" w:cs="Arial"/>
          <w:snapToGrid w:val="0"/>
          <w:lang w:eastAsia="en-US"/>
        </w:rPr>
      </w:pPr>
    </w:p>
    <w:p w14:paraId="7C3667CF" w14:textId="77777777" w:rsidR="00063078" w:rsidRPr="00E33EF8" w:rsidRDefault="00063078" w:rsidP="00063078">
      <w:pPr>
        <w:pStyle w:val="PlainText"/>
        <w:ind w:left="720"/>
        <w:rPr>
          <w:rFonts w:ascii="Arial" w:hAnsi="Arial" w:cs="Arial"/>
          <w:sz w:val="24"/>
          <w:szCs w:val="24"/>
        </w:rPr>
      </w:pPr>
      <w:r>
        <w:rPr>
          <w:rFonts w:ascii="Arial" w:hAnsi="Arial" w:cs="Arial"/>
          <w:sz w:val="24"/>
          <w:szCs w:val="24"/>
        </w:rPr>
        <w:t>This is a summary of action taken and does not require legal comment.</w:t>
      </w:r>
    </w:p>
    <w:p w14:paraId="4E396071" w14:textId="77777777" w:rsidR="00063078" w:rsidRDefault="00063078" w:rsidP="00063078">
      <w:pPr>
        <w:pStyle w:val="PlainText"/>
        <w:rPr>
          <w:rFonts w:ascii="Arial" w:hAnsi="Arial" w:cs="Arial"/>
          <w:sz w:val="24"/>
          <w:szCs w:val="24"/>
        </w:rPr>
      </w:pPr>
    </w:p>
    <w:p w14:paraId="48327DC6" w14:textId="77777777" w:rsidR="0082640F" w:rsidRDefault="0082640F" w:rsidP="00F72E0D">
      <w:pPr>
        <w:pStyle w:val="sssubhead1"/>
        <w:jc w:val="both"/>
        <w:rPr>
          <w:snapToGrid w:val="0"/>
          <w:lang w:eastAsia="en-US"/>
        </w:rPr>
      </w:pPr>
      <w:r>
        <w:rPr>
          <w:snapToGrid w:val="0"/>
          <w:lang w:eastAsia="en-US"/>
        </w:rPr>
        <w:t>Initial Impact Assessment</w:t>
      </w:r>
    </w:p>
    <w:p w14:paraId="540FFE34" w14:textId="77777777" w:rsidR="0082640F" w:rsidRPr="0082640F" w:rsidRDefault="0082640F" w:rsidP="0082640F">
      <w:pPr>
        <w:pStyle w:val="PlainText"/>
        <w:rPr>
          <w:rFonts w:ascii="Arial" w:hAnsi="Arial" w:cs="Arial"/>
          <w:sz w:val="24"/>
          <w:szCs w:val="24"/>
          <w:lang w:eastAsia="en-US"/>
        </w:rPr>
      </w:pPr>
    </w:p>
    <w:p w14:paraId="3AF7DFD3" w14:textId="37A2FBE1" w:rsidR="002010EB" w:rsidRDefault="00080577" w:rsidP="009B40B0">
      <w:pPr>
        <w:pStyle w:val="PlainText"/>
        <w:ind w:left="720"/>
        <w:rPr>
          <w:snapToGrid w:val="0"/>
          <w:lang w:eastAsia="en-US"/>
        </w:rPr>
      </w:pPr>
      <w:r>
        <w:rPr>
          <w:rFonts w:ascii="Arial" w:hAnsi="Arial" w:cs="Arial"/>
          <w:sz w:val="24"/>
          <w:szCs w:val="24"/>
          <w:lang w:eastAsia="en-US"/>
        </w:rPr>
        <w:t>This report contains merely statements of fact / historical data.  An Initial Impact Assessment is not, therefore, required.</w:t>
      </w:r>
    </w:p>
    <w:p w14:paraId="5843AF25" w14:textId="77777777" w:rsidR="009B40B0" w:rsidRPr="009B40B0" w:rsidRDefault="009B40B0" w:rsidP="009B40B0">
      <w:pPr>
        <w:pStyle w:val="PlainText"/>
        <w:ind w:left="720"/>
        <w:rPr>
          <w:rFonts w:ascii="Arial" w:hAnsi="Arial" w:cs="Arial"/>
          <w:sz w:val="24"/>
          <w:szCs w:val="24"/>
          <w:lang w:eastAsia="en-US"/>
        </w:rPr>
      </w:pPr>
    </w:p>
    <w:p w14:paraId="1CCE5738" w14:textId="63F4A201" w:rsidR="00987CF9" w:rsidRDefault="00987CF9" w:rsidP="00F72E0D">
      <w:pPr>
        <w:pStyle w:val="sssubhead1"/>
        <w:jc w:val="both"/>
        <w:rPr>
          <w:snapToGrid w:val="0"/>
          <w:lang w:eastAsia="en-US"/>
        </w:rPr>
      </w:pPr>
      <w:r>
        <w:rPr>
          <w:snapToGrid w:val="0"/>
          <w:lang w:eastAsia="en-US"/>
        </w:rPr>
        <w:t>Equality Impact Assessment</w:t>
      </w:r>
    </w:p>
    <w:p w14:paraId="32F4CE8B" w14:textId="77777777" w:rsidR="00987CF9" w:rsidRPr="00987CF9" w:rsidRDefault="00987CF9" w:rsidP="00987CF9">
      <w:pPr>
        <w:pStyle w:val="PlainText"/>
        <w:rPr>
          <w:rFonts w:ascii="Arial" w:hAnsi="Arial" w:cs="Arial"/>
          <w:sz w:val="24"/>
          <w:szCs w:val="24"/>
          <w:lang w:eastAsia="en-US"/>
        </w:rPr>
      </w:pPr>
    </w:p>
    <w:p w14:paraId="74A4841C" w14:textId="77777777" w:rsidR="00063078" w:rsidRPr="00080577" w:rsidRDefault="00063078" w:rsidP="00063078">
      <w:pPr>
        <w:pStyle w:val="PlainText"/>
        <w:ind w:left="720"/>
        <w:rPr>
          <w:rFonts w:ascii="Arial" w:hAnsi="Arial" w:cs="Arial"/>
          <w:sz w:val="24"/>
          <w:szCs w:val="24"/>
          <w:lang w:eastAsia="en-US"/>
        </w:rPr>
      </w:pPr>
      <w:r>
        <w:rPr>
          <w:rFonts w:ascii="Arial" w:hAnsi="Arial" w:cs="Arial"/>
          <w:sz w:val="24"/>
          <w:szCs w:val="24"/>
          <w:lang w:eastAsia="en-US"/>
        </w:rPr>
        <w:t>This report contains merely statements of fact / historical data.  An Equality Impact Assessment is not, therefore, required.</w:t>
      </w:r>
    </w:p>
    <w:p w14:paraId="000AB4CE" w14:textId="5FB49DD2" w:rsidR="00631B6A" w:rsidRDefault="00631B6A">
      <w:pPr>
        <w:rPr>
          <w:rFonts w:ascii="Arial" w:hAnsi="Arial" w:cs="Arial"/>
          <w:b/>
          <w:bCs/>
          <w:snapToGrid w:val="0"/>
          <w:sz w:val="28"/>
          <w:szCs w:val="28"/>
          <w:lang w:eastAsia="en-US"/>
        </w:rPr>
      </w:pPr>
    </w:p>
    <w:p w14:paraId="35C6F08B" w14:textId="65199679" w:rsidR="005B53B1" w:rsidRPr="00EB4C4A" w:rsidRDefault="00473146" w:rsidP="00F72E0D">
      <w:pPr>
        <w:pStyle w:val="sssubhead1"/>
        <w:jc w:val="both"/>
        <w:rPr>
          <w:snapToGrid w:val="0"/>
          <w:lang w:eastAsia="en-US"/>
        </w:rPr>
      </w:pPr>
      <w:r>
        <w:rPr>
          <w:snapToGrid w:val="0"/>
          <w:lang w:eastAsia="en-US"/>
        </w:rPr>
        <w:t>Appendix</w:t>
      </w:r>
    </w:p>
    <w:p w14:paraId="2C06D6B2" w14:textId="77777777" w:rsidR="005B53B1" w:rsidRPr="00473146" w:rsidRDefault="005B53B1" w:rsidP="007B08DA">
      <w:pPr>
        <w:widowControl w:val="0"/>
        <w:ind w:left="720"/>
        <w:rPr>
          <w:rFonts w:ascii="Arial" w:hAnsi="Arial" w:cs="Arial"/>
          <w:snapToGrid w:val="0"/>
          <w:lang w:eastAsia="en-US"/>
        </w:rPr>
      </w:pPr>
    </w:p>
    <w:p w14:paraId="1B859404" w14:textId="6FA47E52" w:rsidR="00063078" w:rsidRPr="00473146" w:rsidRDefault="00063078" w:rsidP="00473146">
      <w:pPr>
        <w:ind w:left="720"/>
        <w:rPr>
          <w:rFonts w:ascii="Arial" w:hAnsi="Arial" w:cs="Arial"/>
        </w:rPr>
      </w:pPr>
      <w:r w:rsidRPr="00473146">
        <w:rPr>
          <w:rFonts w:ascii="Arial" w:hAnsi="Arial" w:cs="Arial"/>
        </w:rPr>
        <w:t xml:space="preserve">Equipment and tuition </w:t>
      </w:r>
      <w:r w:rsidR="00473146" w:rsidRPr="00473146">
        <w:rPr>
          <w:rFonts w:ascii="Arial" w:hAnsi="Arial" w:cs="Arial"/>
        </w:rPr>
        <w:t>for current cases</w:t>
      </w:r>
    </w:p>
    <w:p w14:paraId="1D80C223" w14:textId="77777777" w:rsidR="00473146" w:rsidRPr="00473146" w:rsidRDefault="00473146" w:rsidP="00473146">
      <w:pPr>
        <w:ind w:left="720"/>
        <w:rPr>
          <w:snapToGrid w:val="0"/>
          <w:lang w:eastAsia="en-US"/>
        </w:rPr>
      </w:pPr>
    </w:p>
    <w:p w14:paraId="6E8C16B2" w14:textId="77777777" w:rsidR="00591426" w:rsidRPr="00EB4C4A" w:rsidRDefault="00591426" w:rsidP="00F72E0D">
      <w:pPr>
        <w:pStyle w:val="sssubhead1"/>
        <w:rPr>
          <w:snapToGrid w:val="0"/>
          <w:lang w:eastAsia="en-US"/>
        </w:rPr>
      </w:pPr>
      <w:r>
        <w:rPr>
          <w:snapToGrid w:val="0"/>
          <w:lang w:eastAsia="en-US"/>
        </w:rPr>
        <w:t>Background Papers</w:t>
      </w:r>
    </w:p>
    <w:p w14:paraId="0F4FA22E" w14:textId="77777777" w:rsidR="00591426" w:rsidRPr="006D45C8" w:rsidRDefault="00591426" w:rsidP="00F72E0D">
      <w:pPr>
        <w:widowControl w:val="0"/>
        <w:rPr>
          <w:rFonts w:ascii="Arial" w:hAnsi="Arial" w:cs="Arial"/>
          <w:snapToGrid w:val="0"/>
          <w:lang w:eastAsia="en-US"/>
        </w:rPr>
      </w:pPr>
    </w:p>
    <w:p w14:paraId="7D0D6765" w14:textId="77777777" w:rsidR="001A493F" w:rsidRDefault="001A493F" w:rsidP="00F72E0D">
      <w:pPr>
        <w:widowControl w:val="0"/>
        <w:ind w:left="720"/>
        <w:rPr>
          <w:rFonts w:ascii="Arial" w:hAnsi="Arial" w:cs="Arial"/>
          <w:snapToGrid w:val="0"/>
          <w:lang w:eastAsia="en-US"/>
        </w:rPr>
      </w:pPr>
      <w:r w:rsidRPr="001A493F">
        <w:rPr>
          <w:rFonts w:ascii="Arial" w:hAnsi="Arial" w:cs="Arial"/>
          <w:snapToGrid w:val="0"/>
          <w:lang w:eastAsia="en-US"/>
        </w:rPr>
        <w:t>There are no background papers associated with this report.</w:t>
      </w:r>
    </w:p>
    <w:p w14:paraId="06447FBC" w14:textId="77777777" w:rsidR="00662B17" w:rsidRDefault="00662B17" w:rsidP="00F72E0D">
      <w:pPr>
        <w:widowControl w:val="0"/>
        <w:ind w:left="720"/>
        <w:rPr>
          <w:rFonts w:ascii="Arial" w:hAnsi="Arial" w:cs="Arial"/>
          <w:snapToGrid w:val="0"/>
          <w:lang w:eastAsia="en-US"/>
        </w:rPr>
      </w:pPr>
    </w:p>
    <w:p w14:paraId="5B196796" w14:textId="77777777" w:rsidR="00662B17" w:rsidRDefault="00662B17" w:rsidP="00F72E0D">
      <w:pPr>
        <w:widowControl w:val="0"/>
        <w:ind w:left="720"/>
        <w:rPr>
          <w:rFonts w:ascii="Arial" w:hAnsi="Arial" w:cs="Arial"/>
          <w:snapToGrid w:val="0"/>
          <w:lang w:eastAsia="en-US"/>
        </w:rPr>
      </w:pPr>
    </w:p>
    <w:p w14:paraId="78A7C9D1" w14:textId="77777777" w:rsidR="00063078" w:rsidRDefault="00063078">
      <w:pPr>
        <w:rPr>
          <w:rFonts w:ascii="Arial" w:hAnsi="Arial" w:cs="Arial"/>
          <w:snapToGrid w:val="0"/>
          <w:lang w:eastAsia="en-US"/>
        </w:rPr>
      </w:pPr>
      <w:r>
        <w:rPr>
          <w:rFonts w:ascii="Arial" w:hAnsi="Arial" w:cs="Arial"/>
          <w:snapToGrid w:val="0"/>
          <w:lang w:eastAsia="en-US"/>
        </w:rPr>
        <w:br w:type="page"/>
      </w:r>
    </w:p>
    <w:p w14:paraId="57F65F72" w14:textId="77777777" w:rsidR="00063078" w:rsidRDefault="00063078" w:rsidP="00063078">
      <w:pPr>
        <w:rPr>
          <w:rFonts w:ascii="Arial" w:hAnsi="Arial" w:cs="Arial"/>
          <w:b/>
        </w:rPr>
        <w:sectPr w:rsidR="00063078" w:rsidSect="0080523B">
          <w:footerReference w:type="default" r:id="rId13"/>
          <w:headerReference w:type="first" r:id="rId14"/>
          <w:footerReference w:type="first" r:id="rId15"/>
          <w:pgSz w:w="11907" w:h="16840" w:code="9"/>
          <w:pgMar w:top="567" w:right="1440" w:bottom="567" w:left="1440" w:header="289" w:footer="57" w:gutter="0"/>
          <w:cols w:space="708"/>
          <w:titlePg/>
          <w:docGrid w:linePitch="360"/>
        </w:sectPr>
      </w:pPr>
      <w:bookmarkStart w:id="0" w:name="_GoBack"/>
      <w:bookmarkEnd w:id="0"/>
    </w:p>
    <w:p w14:paraId="58524251" w14:textId="7E4CC3B4" w:rsidR="00473146" w:rsidRPr="00473146" w:rsidRDefault="00473146" w:rsidP="00473146">
      <w:pPr>
        <w:jc w:val="right"/>
        <w:rPr>
          <w:rFonts w:ascii="Arial" w:hAnsi="Arial" w:cs="Arial"/>
          <w:sz w:val="22"/>
          <w:szCs w:val="22"/>
        </w:rPr>
      </w:pPr>
      <w:r w:rsidRPr="00473146">
        <w:rPr>
          <w:rFonts w:ascii="Arial" w:hAnsi="Arial" w:cs="Arial"/>
          <w:b/>
          <w:sz w:val="22"/>
          <w:szCs w:val="22"/>
        </w:rPr>
        <w:lastRenderedPageBreak/>
        <w:t xml:space="preserve">Appendix </w:t>
      </w:r>
      <w:r w:rsidRPr="00473146">
        <w:rPr>
          <w:rFonts w:ascii="Arial" w:hAnsi="Arial" w:cs="Arial"/>
          <w:sz w:val="22"/>
          <w:szCs w:val="22"/>
        </w:rPr>
        <w:t>to report on Reasonable Adjustments Update</w:t>
      </w:r>
    </w:p>
    <w:p w14:paraId="49D7FE8A" w14:textId="52960C2A" w:rsidR="00473146" w:rsidRPr="00473146" w:rsidRDefault="00473146" w:rsidP="00473146">
      <w:pPr>
        <w:jc w:val="right"/>
        <w:rPr>
          <w:rFonts w:ascii="Arial" w:hAnsi="Arial" w:cs="Arial"/>
          <w:sz w:val="22"/>
          <w:szCs w:val="22"/>
        </w:rPr>
      </w:pPr>
      <w:r w:rsidRPr="00473146">
        <w:rPr>
          <w:rFonts w:ascii="Arial" w:hAnsi="Arial" w:cs="Arial"/>
          <w:sz w:val="22"/>
          <w:szCs w:val="22"/>
        </w:rPr>
        <w:t>Shropshire and Wrekin Fire and Rescue Authority</w:t>
      </w:r>
    </w:p>
    <w:p w14:paraId="7F9357A3" w14:textId="3E320440" w:rsidR="00473146" w:rsidRPr="00473146" w:rsidRDefault="00473146" w:rsidP="00473146">
      <w:pPr>
        <w:jc w:val="right"/>
        <w:rPr>
          <w:rFonts w:ascii="Arial" w:hAnsi="Arial" w:cs="Arial"/>
          <w:sz w:val="22"/>
          <w:szCs w:val="22"/>
        </w:rPr>
      </w:pPr>
      <w:r>
        <w:rPr>
          <w:rFonts w:ascii="Arial" w:hAnsi="Arial" w:cs="Arial"/>
          <w:sz w:val="22"/>
          <w:szCs w:val="22"/>
        </w:rPr>
        <w:t>Standards and Human Resou</w:t>
      </w:r>
      <w:r w:rsidRPr="00473146">
        <w:rPr>
          <w:rFonts w:ascii="Arial" w:hAnsi="Arial" w:cs="Arial"/>
          <w:sz w:val="22"/>
          <w:szCs w:val="22"/>
        </w:rPr>
        <w:t>rces Committee</w:t>
      </w:r>
    </w:p>
    <w:p w14:paraId="615D7C26" w14:textId="310E11B8" w:rsidR="00473146" w:rsidRPr="00473146" w:rsidRDefault="00473146" w:rsidP="00473146">
      <w:pPr>
        <w:jc w:val="right"/>
        <w:rPr>
          <w:rFonts w:ascii="Arial" w:hAnsi="Arial" w:cs="Arial"/>
          <w:sz w:val="22"/>
          <w:szCs w:val="22"/>
        </w:rPr>
      </w:pPr>
      <w:r w:rsidRPr="00473146">
        <w:rPr>
          <w:rFonts w:ascii="Arial" w:hAnsi="Arial" w:cs="Arial"/>
          <w:sz w:val="22"/>
          <w:szCs w:val="22"/>
        </w:rPr>
        <w:t>17 March 2015</w:t>
      </w:r>
    </w:p>
    <w:p w14:paraId="5B74FEC3" w14:textId="77777777" w:rsidR="00473146" w:rsidRDefault="00473146" w:rsidP="00063078">
      <w:pPr>
        <w:rPr>
          <w:rFonts w:ascii="Arial" w:hAnsi="Arial" w:cs="Arial"/>
          <w:b/>
        </w:rPr>
      </w:pPr>
    </w:p>
    <w:p w14:paraId="21B87075" w14:textId="03A12744" w:rsidR="00063078" w:rsidRDefault="00063078" w:rsidP="00063078">
      <w:pPr>
        <w:rPr>
          <w:rFonts w:ascii="Arial" w:hAnsi="Arial" w:cs="Arial"/>
          <w:b/>
        </w:rPr>
      </w:pPr>
      <w:r>
        <w:rPr>
          <w:rFonts w:ascii="Arial" w:hAnsi="Arial" w:cs="Arial"/>
          <w:b/>
        </w:rPr>
        <w:t>E</w:t>
      </w:r>
      <w:r w:rsidRPr="00EF5EE6">
        <w:rPr>
          <w:rFonts w:ascii="Arial" w:hAnsi="Arial" w:cs="Arial"/>
          <w:b/>
        </w:rPr>
        <w:t>quipment and tuition</w:t>
      </w:r>
      <w:r>
        <w:rPr>
          <w:rFonts w:ascii="Arial" w:hAnsi="Arial" w:cs="Arial"/>
          <w:b/>
        </w:rPr>
        <w:t xml:space="preserve"> </w:t>
      </w:r>
      <w:r w:rsidRPr="00EF5EE6">
        <w:rPr>
          <w:rFonts w:ascii="Arial" w:hAnsi="Arial" w:cs="Arial"/>
          <w:b/>
        </w:rPr>
        <w:t>for current cases</w:t>
      </w:r>
    </w:p>
    <w:p w14:paraId="1FD9DA87" w14:textId="77777777" w:rsidR="00473146" w:rsidRPr="00EF5EE6" w:rsidRDefault="00473146" w:rsidP="00063078">
      <w:pPr>
        <w:rPr>
          <w:rFonts w:ascii="Arial" w:hAnsi="Arial" w:cs="Arial"/>
          <w:b/>
        </w:rPr>
      </w:pPr>
    </w:p>
    <w:tbl>
      <w:tblPr>
        <w:tblStyle w:val="TableGrid"/>
        <w:tblW w:w="10627" w:type="dxa"/>
        <w:tblInd w:w="113" w:type="dxa"/>
        <w:tblLook w:val="04A0" w:firstRow="1" w:lastRow="0" w:firstColumn="1" w:lastColumn="0" w:noHBand="0" w:noVBand="1"/>
      </w:tblPr>
      <w:tblGrid>
        <w:gridCol w:w="817"/>
        <w:gridCol w:w="1276"/>
        <w:gridCol w:w="1559"/>
        <w:gridCol w:w="6975"/>
      </w:tblGrid>
      <w:tr w:rsidR="00063078" w14:paraId="689D316D" w14:textId="77777777" w:rsidTr="00435268">
        <w:tc>
          <w:tcPr>
            <w:tcW w:w="817" w:type="dxa"/>
          </w:tcPr>
          <w:p w14:paraId="3BBEFC64" w14:textId="77777777" w:rsidR="00063078" w:rsidRDefault="00063078" w:rsidP="00063078">
            <w:pPr>
              <w:rPr>
                <w:rFonts w:ascii="Arial" w:hAnsi="Arial" w:cs="Arial"/>
                <w:b/>
              </w:rPr>
            </w:pPr>
            <w:r>
              <w:rPr>
                <w:rFonts w:ascii="Arial" w:hAnsi="Arial" w:cs="Arial"/>
                <w:b/>
              </w:rPr>
              <w:t>Case no.</w:t>
            </w:r>
          </w:p>
        </w:tc>
        <w:tc>
          <w:tcPr>
            <w:tcW w:w="1276" w:type="dxa"/>
          </w:tcPr>
          <w:p w14:paraId="28E55189" w14:textId="77777777" w:rsidR="00063078" w:rsidRDefault="00063078" w:rsidP="00063078">
            <w:pPr>
              <w:rPr>
                <w:rFonts w:ascii="Arial" w:hAnsi="Arial" w:cs="Arial"/>
                <w:b/>
              </w:rPr>
            </w:pPr>
            <w:r>
              <w:rPr>
                <w:rFonts w:ascii="Arial" w:hAnsi="Arial" w:cs="Arial"/>
                <w:b/>
              </w:rPr>
              <w:t>Staff category</w:t>
            </w:r>
          </w:p>
        </w:tc>
        <w:tc>
          <w:tcPr>
            <w:tcW w:w="1559" w:type="dxa"/>
          </w:tcPr>
          <w:p w14:paraId="0075BA02" w14:textId="77777777" w:rsidR="00063078" w:rsidRDefault="00063078" w:rsidP="00063078">
            <w:pPr>
              <w:rPr>
                <w:rFonts w:ascii="Arial" w:hAnsi="Arial" w:cs="Arial"/>
                <w:b/>
              </w:rPr>
            </w:pPr>
            <w:r>
              <w:rPr>
                <w:rFonts w:ascii="Arial" w:hAnsi="Arial" w:cs="Arial"/>
                <w:b/>
              </w:rPr>
              <w:t>Impairment</w:t>
            </w:r>
          </w:p>
        </w:tc>
        <w:tc>
          <w:tcPr>
            <w:tcW w:w="6975" w:type="dxa"/>
          </w:tcPr>
          <w:p w14:paraId="3F6D8BE9" w14:textId="77777777" w:rsidR="00063078" w:rsidRDefault="00063078" w:rsidP="00063078">
            <w:pPr>
              <w:rPr>
                <w:rFonts w:ascii="Arial" w:hAnsi="Arial" w:cs="Arial"/>
                <w:b/>
              </w:rPr>
            </w:pPr>
            <w:r>
              <w:rPr>
                <w:rFonts w:ascii="Arial" w:hAnsi="Arial" w:cs="Arial"/>
                <w:b/>
              </w:rPr>
              <w:t>Support measures</w:t>
            </w:r>
          </w:p>
        </w:tc>
      </w:tr>
      <w:tr w:rsidR="00063078" w14:paraId="194F1C5A" w14:textId="77777777" w:rsidTr="00435268">
        <w:tc>
          <w:tcPr>
            <w:tcW w:w="817" w:type="dxa"/>
          </w:tcPr>
          <w:p w14:paraId="717E0859" w14:textId="77777777" w:rsidR="00063078" w:rsidRPr="00516DC9" w:rsidRDefault="00063078" w:rsidP="00063078">
            <w:pPr>
              <w:rPr>
                <w:rFonts w:ascii="Arial" w:hAnsi="Arial" w:cs="Arial"/>
              </w:rPr>
            </w:pPr>
            <w:r>
              <w:rPr>
                <w:rFonts w:ascii="Arial" w:hAnsi="Arial" w:cs="Arial"/>
              </w:rPr>
              <w:t>37</w:t>
            </w:r>
          </w:p>
        </w:tc>
        <w:tc>
          <w:tcPr>
            <w:tcW w:w="1276" w:type="dxa"/>
          </w:tcPr>
          <w:p w14:paraId="0B1331CD"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7A6A3580" w14:textId="77777777" w:rsidR="00063078" w:rsidRDefault="00063078" w:rsidP="00063078">
            <w:r w:rsidRPr="005A0394">
              <w:rPr>
                <w:rFonts w:ascii="Arial" w:hAnsi="Arial" w:cs="Arial"/>
              </w:rPr>
              <w:t>Dyslexia</w:t>
            </w:r>
          </w:p>
        </w:tc>
        <w:tc>
          <w:tcPr>
            <w:tcW w:w="6975" w:type="dxa"/>
          </w:tcPr>
          <w:p w14:paraId="579359E6"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 xml:space="preserve">Preliminary self-assessment adult checklist complete </w:t>
            </w:r>
          </w:p>
          <w:p w14:paraId="4AECA3B2"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 xml:space="preserve">Completed a professional diagnostic assessment </w:t>
            </w:r>
          </w:p>
          <w:p w14:paraId="7350C704"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 xml:space="preserve">Meeting complete to discuss assessment </w:t>
            </w:r>
          </w:p>
          <w:p w14:paraId="7CEFDF1B" w14:textId="073C5F71" w:rsidR="00063078" w:rsidRPr="00CA738D" w:rsidRDefault="009E2CA5"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ATW</w:t>
            </w:r>
            <w:r w:rsidR="00063078" w:rsidRPr="00CA738D">
              <w:rPr>
                <w:rFonts w:ascii="Arial" w:hAnsi="Arial" w:cs="Arial"/>
                <w:szCs w:val="24"/>
              </w:rPr>
              <w:t xml:space="preserve"> </w:t>
            </w:r>
            <w:r w:rsidR="00063078">
              <w:rPr>
                <w:rFonts w:ascii="Arial" w:hAnsi="Arial" w:cs="Arial"/>
                <w:szCs w:val="24"/>
              </w:rPr>
              <w:t>to be contacted</w:t>
            </w:r>
          </w:p>
        </w:tc>
      </w:tr>
      <w:tr w:rsidR="00063078" w14:paraId="39FA4E8E" w14:textId="77777777" w:rsidTr="00435268">
        <w:tc>
          <w:tcPr>
            <w:tcW w:w="817" w:type="dxa"/>
          </w:tcPr>
          <w:p w14:paraId="0AFF60D2" w14:textId="77777777" w:rsidR="00063078" w:rsidRPr="00516DC9" w:rsidRDefault="00063078" w:rsidP="00063078">
            <w:pPr>
              <w:rPr>
                <w:rFonts w:ascii="Arial" w:hAnsi="Arial" w:cs="Arial"/>
              </w:rPr>
            </w:pPr>
            <w:r>
              <w:rPr>
                <w:rFonts w:ascii="Arial" w:hAnsi="Arial" w:cs="Arial"/>
              </w:rPr>
              <w:t>39</w:t>
            </w:r>
          </w:p>
        </w:tc>
        <w:tc>
          <w:tcPr>
            <w:tcW w:w="1276" w:type="dxa"/>
          </w:tcPr>
          <w:p w14:paraId="02320DA4"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55420CA4" w14:textId="77777777" w:rsidR="00063078" w:rsidRDefault="00063078" w:rsidP="00063078">
            <w:r w:rsidRPr="005A0394">
              <w:rPr>
                <w:rFonts w:ascii="Arial" w:hAnsi="Arial" w:cs="Arial"/>
              </w:rPr>
              <w:t>Dyslexia</w:t>
            </w:r>
          </w:p>
        </w:tc>
        <w:tc>
          <w:tcPr>
            <w:tcW w:w="6975" w:type="dxa"/>
          </w:tcPr>
          <w:p w14:paraId="61EBD508"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 xml:space="preserve">Completed a professional diagnostic assessment </w:t>
            </w:r>
          </w:p>
          <w:p w14:paraId="2F588280"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 xml:space="preserve">Meeting complete to discuss assessment </w:t>
            </w:r>
          </w:p>
          <w:p w14:paraId="7193463C" w14:textId="3AC22B29" w:rsidR="00063078" w:rsidRPr="00CA738D" w:rsidRDefault="009E2CA5"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ATW</w:t>
            </w:r>
            <w:r w:rsidR="00063078" w:rsidRPr="00CA738D">
              <w:rPr>
                <w:rFonts w:ascii="Arial" w:hAnsi="Arial" w:cs="Arial"/>
                <w:szCs w:val="24"/>
              </w:rPr>
              <w:t xml:space="preserve"> contacted next step work</w:t>
            </w:r>
            <w:r w:rsidR="00473146">
              <w:rPr>
                <w:rFonts w:ascii="Arial" w:hAnsi="Arial" w:cs="Arial"/>
                <w:szCs w:val="24"/>
              </w:rPr>
              <w:t>place assessment for equipment and</w:t>
            </w:r>
            <w:r w:rsidR="00063078" w:rsidRPr="00CA738D">
              <w:rPr>
                <w:rFonts w:ascii="Arial" w:hAnsi="Arial" w:cs="Arial"/>
                <w:szCs w:val="24"/>
              </w:rPr>
              <w:t xml:space="preserve"> tuition</w:t>
            </w:r>
          </w:p>
        </w:tc>
      </w:tr>
      <w:tr w:rsidR="00063078" w14:paraId="1DE812F0" w14:textId="77777777" w:rsidTr="00435268">
        <w:tc>
          <w:tcPr>
            <w:tcW w:w="817" w:type="dxa"/>
          </w:tcPr>
          <w:p w14:paraId="52A460A5" w14:textId="77777777" w:rsidR="00063078" w:rsidRPr="00516DC9" w:rsidRDefault="00063078" w:rsidP="00063078">
            <w:pPr>
              <w:rPr>
                <w:rFonts w:ascii="Arial" w:hAnsi="Arial" w:cs="Arial"/>
              </w:rPr>
            </w:pPr>
            <w:r>
              <w:rPr>
                <w:rFonts w:ascii="Arial" w:hAnsi="Arial" w:cs="Arial"/>
              </w:rPr>
              <w:t>40</w:t>
            </w:r>
          </w:p>
        </w:tc>
        <w:tc>
          <w:tcPr>
            <w:tcW w:w="1276" w:type="dxa"/>
          </w:tcPr>
          <w:p w14:paraId="071C8997" w14:textId="77777777" w:rsidR="00063078" w:rsidRDefault="00063078" w:rsidP="00063078">
            <w:pPr>
              <w:autoSpaceDE w:val="0"/>
              <w:autoSpaceDN w:val="0"/>
              <w:adjustRightInd w:val="0"/>
              <w:rPr>
                <w:rFonts w:ascii="Arial" w:hAnsi="Arial" w:cs="Arial"/>
              </w:rPr>
            </w:pPr>
            <w:r>
              <w:rPr>
                <w:rFonts w:ascii="Arial" w:hAnsi="Arial" w:cs="Arial"/>
              </w:rPr>
              <w:t>WT</w:t>
            </w:r>
          </w:p>
        </w:tc>
        <w:tc>
          <w:tcPr>
            <w:tcW w:w="1559" w:type="dxa"/>
          </w:tcPr>
          <w:p w14:paraId="6CD70BB1" w14:textId="77777777" w:rsidR="00063078" w:rsidRDefault="00063078" w:rsidP="00063078">
            <w:r w:rsidRPr="005A0394">
              <w:rPr>
                <w:rFonts w:ascii="Arial" w:hAnsi="Arial" w:cs="Arial"/>
              </w:rPr>
              <w:t>Dyslexia</w:t>
            </w:r>
          </w:p>
        </w:tc>
        <w:tc>
          <w:tcPr>
            <w:tcW w:w="6975" w:type="dxa"/>
          </w:tcPr>
          <w:p w14:paraId="10E87B17" w14:textId="77777777" w:rsidR="00063078" w:rsidRDefault="00063078" w:rsidP="00063078">
            <w:pPr>
              <w:pStyle w:val="ListParagraph"/>
              <w:numPr>
                <w:ilvl w:val="0"/>
                <w:numId w:val="28"/>
              </w:numPr>
              <w:contextualSpacing/>
              <w:rPr>
                <w:rFonts w:ascii="Arial" w:hAnsi="Arial" w:cs="Arial"/>
                <w:szCs w:val="24"/>
              </w:rPr>
            </w:pPr>
            <w:r w:rsidRPr="00CA738D">
              <w:rPr>
                <w:rFonts w:ascii="Arial" w:hAnsi="Arial" w:cs="Arial"/>
                <w:szCs w:val="24"/>
              </w:rPr>
              <w:t xml:space="preserve">Gold Read and Write package with training </w:t>
            </w:r>
            <w:r>
              <w:rPr>
                <w:rFonts w:ascii="Arial" w:hAnsi="Arial" w:cs="Arial"/>
                <w:szCs w:val="24"/>
              </w:rPr>
              <w:t>complete</w:t>
            </w:r>
          </w:p>
          <w:p w14:paraId="41C6E983"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To request tuition from ATW</w:t>
            </w:r>
          </w:p>
          <w:p w14:paraId="06F91D5C" w14:textId="77777777" w:rsidR="00063078" w:rsidRPr="00086017" w:rsidRDefault="00063078" w:rsidP="00063078">
            <w:pPr>
              <w:pStyle w:val="ListParagraph"/>
              <w:numPr>
                <w:ilvl w:val="0"/>
                <w:numId w:val="28"/>
              </w:numPr>
              <w:contextualSpacing/>
              <w:rPr>
                <w:rFonts w:ascii="Arial" w:hAnsi="Arial" w:cs="Arial"/>
                <w:szCs w:val="24"/>
              </w:rPr>
            </w:pPr>
            <w:r w:rsidRPr="00CA738D">
              <w:rPr>
                <w:rFonts w:ascii="Arial" w:hAnsi="Arial" w:cs="Arial"/>
                <w:szCs w:val="24"/>
              </w:rPr>
              <w:t xml:space="preserve">Professional support tutor </w:t>
            </w:r>
            <w:r>
              <w:rPr>
                <w:rFonts w:ascii="Arial" w:hAnsi="Arial" w:cs="Arial"/>
                <w:szCs w:val="24"/>
              </w:rPr>
              <w:t>in place</w:t>
            </w:r>
          </w:p>
        </w:tc>
      </w:tr>
      <w:tr w:rsidR="00063078" w14:paraId="4714B50A" w14:textId="77777777" w:rsidTr="00435268">
        <w:tc>
          <w:tcPr>
            <w:tcW w:w="817" w:type="dxa"/>
          </w:tcPr>
          <w:p w14:paraId="6B2B43B9" w14:textId="77777777" w:rsidR="00063078" w:rsidRPr="00516DC9" w:rsidRDefault="00063078" w:rsidP="00063078">
            <w:pPr>
              <w:rPr>
                <w:rFonts w:ascii="Arial" w:hAnsi="Arial" w:cs="Arial"/>
              </w:rPr>
            </w:pPr>
            <w:r>
              <w:rPr>
                <w:rFonts w:ascii="Arial" w:hAnsi="Arial" w:cs="Arial"/>
              </w:rPr>
              <w:t>46</w:t>
            </w:r>
          </w:p>
        </w:tc>
        <w:tc>
          <w:tcPr>
            <w:tcW w:w="1276" w:type="dxa"/>
          </w:tcPr>
          <w:p w14:paraId="75D1F56F" w14:textId="77777777" w:rsidR="00063078" w:rsidRDefault="00063078" w:rsidP="00063078">
            <w:pPr>
              <w:rPr>
                <w:rFonts w:ascii="Arial" w:hAnsi="Arial" w:cs="Arial"/>
              </w:rPr>
            </w:pPr>
            <w:r>
              <w:rPr>
                <w:rFonts w:ascii="Arial" w:hAnsi="Arial" w:cs="Arial"/>
              </w:rPr>
              <w:t>RDS</w:t>
            </w:r>
          </w:p>
        </w:tc>
        <w:tc>
          <w:tcPr>
            <w:tcW w:w="1559" w:type="dxa"/>
          </w:tcPr>
          <w:p w14:paraId="12C18C74" w14:textId="77777777" w:rsidR="00063078" w:rsidRDefault="00063078" w:rsidP="00063078">
            <w:r w:rsidRPr="005A0394">
              <w:rPr>
                <w:rFonts w:ascii="Arial" w:hAnsi="Arial" w:cs="Arial"/>
              </w:rPr>
              <w:t>Dyslexia</w:t>
            </w:r>
          </w:p>
        </w:tc>
        <w:tc>
          <w:tcPr>
            <w:tcW w:w="6975" w:type="dxa"/>
          </w:tcPr>
          <w:p w14:paraId="2635EBA0"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complete</w:t>
            </w:r>
          </w:p>
          <w:p w14:paraId="7D9D166A"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Pr="00CA738D">
              <w:rPr>
                <w:rFonts w:ascii="Arial" w:hAnsi="Arial" w:cs="Arial"/>
                <w:szCs w:val="24"/>
              </w:rPr>
              <w:t>to discuss report &amp; reasonable adjustments</w:t>
            </w:r>
            <w:r>
              <w:rPr>
                <w:rFonts w:ascii="Arial" w:hAnsi="Arial" w:cs="Arial"/>
                <w:szCs w:val="24"/>
              </w:rPr>
              <w:t xml:space="preserve"> complete</w:t>
            </w:r>
          </w:p>
          <w:p w14:paraId="0E71D0AE" w14:textId="6224011B"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Self-registered</w:t>
            </w:r>
            <w:r w:rsidR="009E2CA5">
              <w:rPr>
                <w:rFonts w:ascii="Arial" w:hAnsi="Arial" w:cs="Arial"/>
                <w:szCs w:val="24"/>
              </w:rPr>
              <w:t xml:space="preserve"> with ATW</w:t>
            </w:r>
            <w:r w:rsidRPr="00CA738D">
              <w:rPr>
                <w:rFonts w:ascii="Arial" w:hAnsi="Arial" w:cs="Arial"/>
                <w:szCs w:val="24"/>
              </w:rPr>
              <w:t xml:space="preserve"> for tuition and computer packages</w:t>
            </w:r>
          </w:p>
          <w:p w14:paraId="3F5F538A" w14:textId="77777777" w:rsidR="00063078" w:rsidRPr="00CA738D" w:rsidRDefault="00063078" w:rsidP="00063078">
            <w:pPr>
              <w:pStyle w:val="ListParagraph"/>
              <w:numPr>
                <w:ilvl w:val="0"/>
                <w:numId w:val="28"/>
              </w:numPr>
              <w:contextualSpacing/>
              <w:rPr>
                <w:rFonts w:ascii="Arial" w:hAnsi="Arial" w:cs="Arial"/>
                <w:szCs w:val="24"/>
              </w:rPr>
            </w:pPr>
            <w:r w:rsidRPr="00CA738D">
              <w:rPr>
                <w:rFonts w:ascii="Arial" w:hAnsi="Arial" w:cs="Arial"/>
                <w:szCs w:val="24"/>
              </w:rPr>
              <w:t>Professional support tutor</w:t>
            </w:r>
          </w:p>
        </w:tc>
      </w:tr>
      <w:tr w:rsidR="00063078" w14:paraId="26B304B4" w14:textId="77777777" w:rsidTr="00435268">
        <w:tc>
          <w:tcPr>
            <w:tcW w:w="817" w:type="dxa"/>
          </w:tcPr>
          <w:p w14:paraId="00722DA8" w14:textId="77777777" w:rsidR="00063078" w:rsidRPr="00516DC9" w:rsidRDefault="00063078" w:rsidP="00063078">
            <w:pPr>
              <w:rPr>
                <w:rFonts w:ascii="Arial" w:hAnsi="Arial" w:cs="Arial"/>
              </w:rPr>
            </w:pPr>
            <w:r>
              <w:rPr>
                <w:rFonts w:ascii="Arial" w:hAnsi="Arial" w:cs="Arial"/>
              </w:rPr>
              <w:t>48</w:t>
            </w:r>
          </w:p>
        </w:tc>
        <w:tc>
          <w:tcPr>
            <w:tcW w:w="1276" w:type="dxa"/>
          </w:tcPr>
          <w:p w14:paraId="374E4486" w14:textId="77777777" w:rsidR="00063078" w:rsidRDefault="00063078" w:rsidP="00063078">
            <w:pPr>
              <w:rPr>
                <w:rFonts w:ascii="Arial" w:hAnsi="Arial" w:cs="Arial"/>
              </w:rPr>
            </w:pPr>
            <w:r>
              <w:rPr>
                <w:rFonts w:ascii="Arial" w:hAnsi="Arial" w:cs="Arial"/>
              </w:rPr>
              <w:t>RDS</w:t>
            </w:r>
          </w:p>
        </w:tc>
        <w:tc>
          <w:tcPr>
            <w:tcW w:w="1559" w:type="dxa"/>
          </w:tcPr>
          <w:p w14:paraId="50A78EE3" w14:textId="77777777" w:rsidR="00063078" w:rsidRDefault="00063078" w:rsidP="00063078">
            <w:r w:rsidRPr="005A0394">
              <w:rPr>
                <w:rFonts w:ascii="Arial" w:hAnsi="Arial" w:cs="Arial"/>
              </w:rPr>
              <w:t>Dyslexia</w:t>
            </w:r>
          </w:p>
        </w:tc>
        <w:tc>
          <w:tcPr>
            <w:tcW w:w="6975" w:type="dxa"/>
          </w:tcPr>
          <w:p w14:paraId="47218756"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complete</w:t>
            </w:r>
          </w:p>
          <w:p w14:paraId="6C51C528"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Pr="00CA738D">
              <w:rPr>
                <w:rFonts w:ascii="Arial" w:hAnsi="Arial" w:cs="Arial"/>
                <w:szCs w:val="24"/>
              </w:rPr>
              <w:t>to discuss report &amp; reasonable adjustments</w:t>
            </w:r>
            <w:r>
              <w:rPr>
                <w:rFonts w:ascii="Arial" w:hAnsi="Arial" w:cs="Arial"/>
                <w:szCs w:val="24"/>
              </w:rPr>
              <w:t xml:space="preserve"> complete</w:t>
            </w:r>
          </w:p>
          <w:p w14:paraId="18058459" w14:textId="14339EB9" w:rsidR="00063078" w:rsidRPr="002510C8" w:rsidRDefault="00063078" w:rsidP="009E2CA5">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In process of self-registering with</w:t>
            </w:r>
            <w:r w:rsidR="009E2CA5">
              <w:rPr>
                <w:rFonts w:ascii="Arial" w:hAnsi="Arial" w:cs="Arial"/>
                <w:szCs w:val="24"/>
              </w:rPr>
              <w:t xml:space="preserve"> ATW</w:t>
            </w:r>
            <w:r w:rsidRPr="00CA738D">
              <w:rPr>
                <w:rFonts w:ascii="Arial" w:hAnsi="Arial" w:cs="Arial"/>
                <w:szCs w:val="24"/>
              </w:rPr>
              <w:t xml:space="preserve"> for tuition and computer packages</w:t>
            </w:r>
          </w:p>
        </w:tc>
      </w:tr>
      <w:tr w:rsidR="00063078" w14:paraId="467D8E7A" w14:textId="77777777" w:rsidTr="00435268">
        <w:tc>
          <w:tcPr>
            <w:tcW w:w="817" w:type="dxa"/>
          </w:tcPr>
          <w:p w14:paraId="3CC833F9" w14:textId="77777777" w:rsidR="00063078" w:rsidRPr="00516DC9" w:rsidRDefault="00063078" w:rsidP="00063078">
            <w:pPr>
              <w:rPr>
                <w:rFonts w:ascii="Arial" w:hAnsi="Arial" w:cs="Arial"/>
              </w:rPr>
            </w:pPr>
            <w:r>
              <w:rPr>
                <w:rFonts w:ascii="Arial" w:hAnsi="Arial" w:cs="Arial"/>
              </w:rPr>
              <w:t>49</w:t>
            </w:r>
          </w:p>
        </w:tc>
        <w:tc>
          <w:tcPr>
            <w:tcW w:w="1276" w:type="dxa"/>
          </w:tcPr>
          <w:p w14:paraId="677EB557"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02FFBB4D" w14:textId="77777777" w:rsidR="00063078" w:rsidRDefault="00063078" w:rsidP="00063078">
            <w:r w:rsidRPr="005A0394">
              <w:rPr>
                <w:rFonts w:ascii="Arial" w:hAnsi="Arial" w:cs="Arial"/>
              </w:rPr>
              <w:t>Dyslexia</w:t>
            </w:r>
          </w:p>
        </w:tc>
        <w:tc>
          <w:tcPr>
            <w:tcW w:w="6975" w:type="dxa"/>
          </w:tcPr>
          <w:p w14:paraId="27C133A5"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39E6FD09" w14:textId="5199FEBF" w:rsidR="00063078" w:rsidRDefault="009E2CA5"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Fire Brigades Union</w:t>
            </w:r>
            <w:r w:rsidR="00063078">
              <w:rPr>
                <w:rFonts w:ascii="Arial" w:hAnsi="Arial" w:cs="Arial"/>
                <w:szCs w:val="24"/>
              </w:rPr>
              <w:t xml:space="preserve"> assessment </w:t>
            </w:r>
            <w:r w:rsidR="00063078" w:rsidRPr="00530CC2">
              <w:rPr>
                <w:rFonts w:ascii="Arial" w:hAnsi="Arial" w:cs="Arial"/>
                <w:szCs w:val="24"/>
              </w:rPr>
              <w:t>done</w:t>
            </w:r>
            <w:r>
              <w:rPr>
                <w:rFonts w:ascii="Arial" w:hAnsi="Arial" w:cs="Arial"/>
                <w:szCs w:val="24"/>
              </w:rPr>
              <w:t>,</w:t>
            </w:r>
            <w:r w:rsidR="00063078" w:rsidRPr="00530CC2">
              <w:rPr>
                <w:rFonts w:ascii="Arial" w:hAnsi="Arial" w:cs="Arial"/>
                <w:szCs w:val="24"/>
              </w:rPr>
              <w:t xml:space="preserve"> as not strong indication of dyslexia</w:t>
            </w:r>
            <w:r w:rsidR="00063078">
              <w:rPr>
                <w:rFonts w:ascii="Arial" w:hAnsi="Arial" w:cs="Arial"/>
                <w:szCs w:val="24"/>
              </w:rPr>
              <w:t xml:space="preserve"> on checklist</w:t>
            </w:r>
          </w:p>
          <w:p w14:paraId="6D8626AC"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Assessment showed indication of dyslexia</w:t>
            </w:r>
          </w:p>
          <w:p w14:paraId="4E867D9C"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completed</w:t>
            </w:r>
          </w:p>
          <w:p w14:paraId="188D9D85" w14:textId="4A3B41AC"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009E2CA5">
              <w:rPr>
                <w:rFonts w:ascii="Arial" w:hAnsi="Arial" w:cs="Arial"/>
                <w:szCs w:val="24"/>
              </w:rPr>
              <w:t>to discuss report and</w:t>
            </w:r>
            <w:r w:rsidRPr="00CA738D">
              <w:rPr>
                <w:rFonts w:ascii="Arial" w:hAnsi="Arial" w:cs="Arial"/>
                <w:szCs w:val="24"/>
              </w:rPr>
              <w:t xml:space="preserve"> reasonable adjustments</w:t>
            </w:r>
            <w:r>
              <w:rPr>
                <w:rFonts w:ascii="Arial" w:hAnsi="Arial" w:cs="Arial"/>
                <w:szCs w:val="24"/>
              </w:rPr>
              <w:t xml:space="preserve"> complete</w:t>
            </w:r>
          </w:p>
          <w:p w14:paraId="0BE0B49C" w14:textId="5D60FA00" w:rsidR="00063078" w:rsidRPr="00C543E5" w:rsidRDefault="00063078" w:rsidP="009E2CA5">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Self-registered</w:t>
            </w:r>
            <w:r w:rsidR="009E2CA5">
              <w:rPr>
                <w:rFonts w:ascii="Arial" w:hAnsi="Arial" w:cs="Arial"/>
                <w:szCs w:val="24"/>
              </w:rPr>
              <w:t xml:space="preserve"> with ATW</w:t>
            </w:r>
            <w:r w:rsidRPr="00CA738D">
              <w:rPr>
                <w:rFonts w:ascii="Arial" w:hAnsi="Arial" w:cs="Arial"/>
                <w:szCs w:val="24"/>
              </w:rPr>
              <w:t xml:space="preserve"> for tuition and computer packages</w:t>
            </w:r>
          </w:p>
        </w:tc>
      </w:tr>
      <w:tr w:rsidR="00063078" w14:paraId="5E081408" w14:textId="77777777" w:rsidTr="00435268">
        <w:tc>
          <w:tcPr>
            <w:tcW w:w="817" w:type="dxa"/>
          </w:tcPr>
          <w:p w14:paraId="59CFB4F0" w14:textId="77777777" w:rsidR="00063078" w:rsidRDefault="00063078" w:rsidP="00063078">
            <w:pPr>
              <w:rPr>
                <w:rFonts w:ascii="Arial" w:hAnsi="Arial" w:cs="Arial"/>
              </w:rPr>
            </w:pPr>
            <w:r>
              <w:rPr>
                <w:rFonts w:ascii="Arial" w:hAnsi="Arial" w:cs="Arial"/>
              </w:rPr>
              <w:t>52</w:t>
            </w:r>
          </w:p>
        </w:tc>
        <w:tc>
          <w:tcPr>
            <w:tcW w:w="1276" w:type="dxa"/>
          </w:tcPr>
          <w:p w14:paraId="105D3421" w14:textId="77777777" w:rsidR="00063078" w:rsidRDefault="00063078" w:rsidP="00063078">
            <w:pPr>
              <w:autoSpaceDE w:val="0"/>
              <w:autoSpaceDN w:val="0"/>
              <w:adjustRightInd w:val="0"/>
              <w:rPr>
                <w:rFonts w:ascii="Arial" w:hAnsi="Arial" w:cs="Arial"/>
              </w:rPr>
            </w:pPr>
            <w:r>
              <w:rPr>
                <w:rFonts w:ascii="Arial" w:hAnsi="Arial" w:cs="Arial"/>
              </w:rPr>
              <w:t>WT</w:t>
            </w:r>
          </w:p>
        </w:tc>
        <w:tc>
          <w:tcPr>
            <w:tcW w:w="1559" w:type="dxa"/>
          </w:tcPr>
          <w:p w14:paraId="62A5A0C4" w14:textId="77777777" w:rsidR="00063078" w:rsidRDefault="00063078" w:rsidP="00063078">
            <w:r w:rsidRPr="005A0394">
              <w:rPr>
                <w:rFonts w:ascii="Arial" w:hAnsi="Arial" w:cs="Arial"/>
              </w:rPr>
              <w:t>Dyslexia</w:t>
            </w:r>
          </w:p>
        </w:tc>
        <w:tc>
          <w:tcPr>
            <w:tcW w:w="6975" w:type="dxa"/>
          </w:tcPr>
          <w:p w14:paraId="071563B0"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Professional diagnostic assessment complete</w:t>
            </w:r>
          </w:p>
          <w:p w14:paraId="5A9DFA4D" w14:textId="5C5B7C7D"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Pr="00CA738D">
              <w:rPr>
                <w:rFonts w:ascii="Arial" w:hAnsi="Arial" w:cs="Arial"/>
                <w:szCs w:val="24"/>
              </w:rPr>
              <w:t xml:space="preserve">to </w:t>
            </w:r>
            <w:r w:rsidR="009E2CA5">
              <w:rPr>
                <w:rFonts w:ascii="Arial" w:hAnsi="Arial" w:cs="Arial"/>
                <w:szCs w:val="24"/>
              </w:rPr>
              <w:t>discuss report and</w:t>
            </w:r>
            <w:r w:rsidRPr="00CA738D">
              <w:rPr>
                <w:rFonts w:ascii="Arial" w:hAnsi="Arial" w:cs="Arial"/>
                <w:szCs w:val="24"/>
              </w:rPr>
              <w:t xml:space="preserve"> reasonable adjustments</w:t>
            </w:r>
            <w:r>
              <w:rPr>
                <w:rFonts w:ascii="Arial" w:hAnsi="Arial" w:cs="Arial"/>
                <w:szCs w:val="24"/>
              </w:rPr>
              <w:t xml:space="preserve"> complete</w:t>
            </w:r>
          </w:p>
          <w:p w14:paraId="799851FB" w14:textId="16CAE319"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Self-registered</w:t>
            </w:r>
            <w:r w:rsidRPr="00CA738D">
              <w:rPr>
                <w:rFonts w:ascii="Arial" w:hAnsi="Arial" w:cs="Arial"/>
                <w:szCs w:val="24"/>
              </w:rPr>
              <w:t xml:space="preserve"> with</w:t>
            </w:r>
            <w:r w:rsidR="009E2CA5">
              <w:rPr>
                <w:rFonts w:ascii="Arial" w:hAnsi="Arial" w:cs="Arial"/>
                <w:szCs w:val="24"/>
              </w:rPr>
              <w:t xml:space="preserve"> ATW</w:t>
            </w:r>
            <w:r w:rsidRPr="00CA738D">
              <w:rPr>
                <w:rFonts w:ascii="Arial" w:hAnsi="Arial" w:cs="Arial"/>
                <w:szCs w:val="24"/>
              </w:rPr>
              <w:t xml:space="preserve"> for tuition and computer packages</w:t>
            </w:r>
          </w:p>
          <w:p w14:paraId="638E0D9B" w14:textId="77777777" w:rsidR="00063078" w:rsidRDefault="00063078" w:rsidP="00063078">
            <w:pPr>
              <w:pStyle w:val="ListParagraph"/>
              <w:numPr>
                <w:ilvl w:val="0"/>
                <w:numId w:val="28"/>
              </w:numPr>
              <w:contextualSpacing/>
              <w:rPr>
                <w:rFonts w:ascii="Arial" w:hAnsi="Arial" w:cs="Arial"/>
                <w:szCs w:val="24"/>
              </w:rPr>
            </w:pPr>
            <w:r w:rsidRPr="00CA738D">
              <w:rPr>
                <w:rFonts w:ascii="Arial" w:hAnsi="Arial" w:cs="Arial"/>
                <w:szCs w:val="24"/>
              </w:rPr>
              <w:t xml:space="preserve">Professional support tutor </w:t>
            </w:r>
          </w:p>
          <w:p w14:paraId="5BACE439" w14:textId="77777777" w:rsidR="00063078" w:rsidRPr="00CA738D" w:rsidRDefault="00063078" w:rsidP="00063078">
            <w:pPr>
              <w:pStyle w:val="ListParagraph"/>
              <w:numPr>
                <w:ilvl w:val="0"/>
                <w:numId w:val="28"/>
              </w:numPr>
              <w:contextualSpacing/>
              <w:rPr>
                <w:rFonts w:ascii="Arial" w:hAnsi="Arial" w:cs="Arial"/>
                <w:szCs w:val="24"/>
              </w:rPr>
            </w:pPr>
            <w:r w:rsidRPr="00CA738D">
              <w:rPr>
                <w:rFonts w:ascii="Arial" w:hAnsi="Arial" w:cs="Arial"/>
                <w:szCs w:val="24"/>
              </w:rPr>
              <w:t>Gold read and write package and training</w:t>
            </w:r>
          </w:p>
          <w:p w14:paraId="12BC54A6" w14:textId="77777777" w:rsidR="00063078" w:rsidRPr="00797FA8" w:rsidRDefault="00063078" w:rsidP="00063078">
            <w:pPr>
              <w:pStyle w:val="ListParagraph"/>
              <w:numPr>
                <w:ilvl w:val="0"/>
                <w:numId w:val="28"/>
              </w:numPr>
              <w:contextualSpacing/>
              <w:rPr>
                <w:rFonts w:ascii="Arial" w:hAnsi="Arial" w:cs="Arial"/>
                <w:szCs w:val="24"/>
              </w:rPr>
            </w:pPr>
            <w:r w:rsidRPr="00CA738D">
              <w:rPr>
                <w:rFonts w:ascii="Arial" w:hAnsi="Arial" w:cs="Arial"/>
                <w:szCs w:val="24"/>
              </w:rPr>
              <w:t>Professional support tutor</w:t>
            </w:r>
          </w:p>
        </w:tc>
      </w:tr>
      <w:tr w:rsidR="00063078" w14:paraId="2216A355" w14:textId="77777777" w:rsidTr="00435268">
        <w:tc>
          <w:tcPr>
            <w:tcW w:w="817" w:type="dxa"/>
          </w:tcPr>
          <w:p w14:paraId="76F56BCB" w14:textId="77777777" w:rsidR="00063078" w:rsidRDefault="00063078" w:rsidP="00063078">
            <w:pPr>
              <w:rPr>
                <w:rFonts w:ascii="Arial" w:hAnsi="Arial" w:cs="Arial"/>
              </w:rPr>
            </w:pPr>
            <w:r>
              <w:rPr>
                <w:rFonts w:ascii="Arial" w:hAnsi="Arial" w:cs="Arial"/>
              </w:rPr>
              <w:t>54</w:t>
            </w:r>
          </w:p>
        </w:tc>
        <w:tc>
          <w:tcPr>
            <w:tcW w:w="1276" w:type="dxa"/>
          </w:tcPr>
          <w:p w14:paraId="4035325F"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53DA4871" w14:textId="77777777" w:rsidR="00063078" w:rsidRDefault="00063078" w:rsidP="00063078">
            <w:r w:rsidRPr="005A0394">
              <w:rPr>
                <w:rFonts w:ascii="Arial" w:hAnsi="Arial" w:cs="Arial"/>
              </w:rPr>
              <w:t>Dyslexia</w:t>
            </w:r>
          </w:p>
        </w:tc>
        <w:tc>
          <w:tcPr>
            <w:tcW w:w="6975" w:type="dxa"/>
          </w:tcPr>
          <w:p w14:paraId="781A0066"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Professional diagnostic assessment complete</w:t>
            </w:r>
          </w:p>
          <w:p w14:paraId="188E31BB" w14:textId="2080705B" w:rsidR="00063078" w:rsidRPr="00C543E5"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009E2CA5">
              <w:rPr>
                <w:rFonts w:ascii="Arial" w:hAnsi="Arial" w:cs="Arial"/>
                <w:szCs w:val="24"/>
              </w:rPr>
              <w:t>to discuss report and</w:t>
            </w:r>
            <w:r w:rsidRPr="00CA738D">
              <w:rPr>
                <w:rFonts w:ascii="Arial" w:hAnsi="Arial" w:cs="Arial"/>
                <w:szCs w:val="24"/>
              </w:rPr>
              <w:t xml:space="preserve"> reasonable adjustments</w:t>
            </w:r>
            <w:r>
              <w:rPr>
                <w:rFonts w:ascii="Arial" w:hAnsi="Arial" w:cs="Arial"/>
                <w:szCs w:val="24"/>
              </w:rPr>
              <w:t xml:space="preserve"> to be arranged</w:t>
            </w:r>
          </w:p>
        </w:tc>
      </w:tr>
      <w:tr w:rsidR="00063078" w14:paraId="6312341E" w14:textId="77777777" w:rsidTr="00435268">
        <w:tc>
          <w:tcPr>
            <w:tcW w:w="817" w:type="dxa"/>
          </w:tcPr>
          <w:p w14:paraId="5984C9E5" w14:textId="77777777" w:rsidR="00063078" w:rsidRDefault="00063078" w:rsidP="00063078">
            <w:pPr>
              <w:rPr>
                <w:rFonts w:ascii="Arial" w:hAnsi="Arial" w:cs="Arial"/>
              </w:rPr>
            </w:pPr>
            <w:r>
              <w:rPr>
                <w:rFonts w:ascii="Arial" w:hAnsi="Arial" w:cs="Arial"/>
              </w:rPr>
              <w:t>56</w:t>
            </w:r>
          </w:p>
        </w:tc>
        <w:tc>
          <w:tcPr>
            <w:tcW w:w="1276" w:type="dxa"/>
          </w:tcPr>
          <w:p w14:paraId="5642441C"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473BD1EB" w14:textId="77777777" w:rsidR="00063078" w:rsidRPr="005A0394" w:rsidRDefault="00063078" w:rsidP="00063078">
            <w:pPr>
              <w:rPr>
                <w:rFonts w:ascii="Arial" w:hAnsi="Arial" w:cs="Arial"/>
              </w:rPr>
            </w:pPr>
            <w:r>
              <w:rPr>
                <w:rFonts w:ascii="Arial" w:hAnsi="Arial" w:cs="Arial"/>
              </w:rPr>
              <w:t xml:space="preserve">Dyslexia </w:t>
            </w:r>
          </w:p>
        </w:tc>
        <w:tc>
          <w:tcPr>
            <w:tcW w:w="6975" w:type="dxa"/>
          </w:tcPr>
          <w:p w14:paraId="5CF105DA"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257A621A" w14:textId="77777777" w:rsidR="00063078" w:rsidRPr="00F417B5" w:rsidRDefault="00063078" w:rsidP="00063078">
            <w:pPr>
              <w:pStyle w:val="ListParagraph"/>
              <w:numPr>
                <w:ilvl w:val="0"/>
                <w:numId w:val="28"/>
              </w:numPr>
              <w:autoSpaceDE w:val="0"/>
              <w:autoSpaceDN w:val="0"/>
              <w:adjustRightInd w:val="0"/>
              <w:contextualSpacing/>
              <w:rPr>
                <w:rFonts w:ascii="Arial" w:hAnsi="Arial" w:cs="Arial"/>
                <w:szCs w:val="24"/>
              </w:rPr>
            </w:pPr>
            <w:r w:rsidRPr="00F417B5">
              <w:rPr>
                <w:rFonts w:ascii="Arial" w:hAnsi="Arial" w:cs="Arial"/>
                <w:szCs w:val="24"/>
              </w:rPr>
              <w:t xml:space="preserve">Professional diagnostic assessment </w:t>
            </w:r>
            <w:r>
              <w:rPr>
                <w:rFonts w:ascii="Arial" w:hAnsi="Arial" w:cs="Arial"/>
                <w:szCs w:val="24"/>
              </w:rPr>
              <w:t>to be arranged</w:t>
            </w:r>
          </w:p>
        </w:tc>
      </w:tr>
    </w:tbl>
    <w:p w14:paraId="48AA51A4" w14:textId="77777777" w:rsidR="009E2CA5" w:rsidRDefault="009E2CA5">
      <w:r>
        <w:lastRenderedPageBreak/>
        <w:br w:type="page"/>
      </w:r>
    </w:p>
    <w:tbl>
      <w:tblPr>
        <w:tblStyle w:val="TableGrid"/>
        <w:tblW w:w="10627" w:type="dxa"/>
        <w:tblInd w:w="113" w:type="dxa"/>
        <w:tblLook w:val="04A0" w:firstRow="1" w:lastRow="0" w:firstColumn="1" w:lastColumn="0" w:noHBand="0" w:noVBand="1"/>
      </w:tblPr>
      <w:tblGrid>
        <w:gridCol w:w="817"/>
        <w:gridCol w:w="1276"/>
        <w:gridCol w:w="1559"/>
        <w:gridCol w:w="6975"/>
      </w:tblGrid>
      <w:tr w:rsidR="00063078" w14:paraId="57E1C3C3" w14:textId="77777777" w:rsidTr="00435268">
        <w:tc>
          <w:tcPr>
            <w:tcW w:w="817" w:type="dxa"/>
          </w:tcPr>
          <w:p w14:paraId="0D31626D" w14:textId="7A6325B4" w:rsidR="00063078" w:rsidRDefault="00063078" w:rsidP="00063078">
            <w:pPr>
              <w:rPr>
                <w:rFonts w:ascii="Arial" w:hAnsi="Arial" w:cs="Arial"/>
                <w:b/>
              </w:rPr>
            </w:pPr>
            <w:r>
              <w:br w:type="page"/>
            </w:r>
            <w:r>
              <w:rPr>
                <w:rFonts w:ascii="Arial" w:hAnsi="Arial" w:cs="Arial"/>
                <w:b/>
              </w:rPr>
              <w:t>Case no.</w:t>
            </w:r>
          </w:p>
        </w:tc>
        <w:tc>
          <w:tcPr>
            <w:tcW w:w="1276" w:type="dxa"/>
          </w:tcPr>
          <w:p w14:paraId="3A999D74" w14:textId="77777777" w:rsidR="00063078" w:rsidRDefault="00063078" w:rsidP="00063078">
            <w:pPr>
              <w:rPr>
                <w:rFonts w:ascii="Arial" w:hAnsi="Arial" w:cs="Arial"/>
                <w:b/>
              </w:rPr>
            </w:pPr>
            <w:r>
              <w:rPr>
                <w:rFonts w:ascii="Arial" w:hAnsi="Arial" w:cs="Arial"/>
                <w:b/>
              </w:rPr>
              <w:t>Staff category</w:t>
            </w:r>
          </w:p>
        </w:tc>
        <w:tc>
          <w:tcPr>
            <w:tcW w:w="1559" w:type="dxa"/>
          </w:tcPr>
          <w:p w14:paraId="323A4B46" w14:textId="77777777" w:rsidR="00063078" w:rsidRDefault="00063078" w:rsidP="00063078">
            <w:pPr>
              <w:rPr>
                <w:rFonts w:ascii="Arial" w:hAnsi="Arial" w:cs="Arial"/>
                <w:b/>
              </w:rPr>
            </w:pPr>
            <w:r>
              <w:rPr>
                <w:rFonts w:ascii="Arial" w:hAnsi="Arial" w:cs="Arial"/>
                <w:b/>
              </w:rPr>
              <w:t>Impairment</w:t>
            </w:r>
          </w:p>
        </w:tc>
        <w:tc>
          <w:tcPr>
            <w:tcW w:w="6975" w:type="dxa"/>
          </w:tcPr>
          <w:p w14:paraId="016697FF" w14:textId="77777777" w:rsidR="00063078" w:rsidRDefault="00063078" w:rsidP="00063078">
            <w:pPr>
              <w:rPr>
                <w:rFonts w:ascii="Arial" w:hAnsi="Arial" w:cs="Arial"/>
                <w:b/>
              </w:rPr>
            </w:pPr>
            <w:r>
              <w:rPr>
                <w:rFonts w:ascii="Arial" w:hAnsi="Arial" w:cs="Arial"/>
                <w:b/>
              </w:rPr>
              <w:t>Support measures</w:t>
            </w:r>
          </w:p>
        </w:tc>
      </w:tr>
      <w:tr w:rsidR="00063078" w14:paraId="3E4DC4AA" w14:textId="77777777" w:rsidTr="00435268">
        <w:tc>
          <w:tcPr>
            <w:tcW w:w="817" w:type="dxa"/>
          </w:tcPr>
          <w:p w14:paraId="0B1FFD8A" w14:textId="77777777" w:rsidR="00063078" w:rsidRDefault="00063078" w:rsidP="00063078">
            <w:pPr>
              <w:rPr>
                <w:rFonts w:ascii="Arial" w:hAnsi="Arial" w:cs="Arial"/>
              </w:rPr>
            </w:pPr>
            <w:r>
              <w:rPr>
                <w:rFonts w:ascii="Arial" w:hAnsi="Arial" w:cs="Arial"/>
              </w:rPr>
              <w:t>58</w:t>
            </w:r>
          </w:p>
        </w:tc>
        <w:tc>
          <w:tcPr>
            <w:tcW w:w="1276" w:type="dxa"/>
          </w:tcPr>
          <w:p w14:paraId="654E5313"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08D5E5BC" w14:textId="77777777" w:rsidR="00063078" w:rsidRPr="005A0394" w:rsidRDefault="00063078" w:rsidP="00063078">
            <w:pPr>
              <w:rPr>
                <w:rFonts w:ascii="Arial" w:hAnsi="Arial" w:cs="Arial"/>
              </w:rPr>
            </w:pPr>
            <w:r>
              <w:rPr>
                <w:rFonts w:ascii="Arial" w:hAnsi="Arial" w:cs="Arial"/>
              </w:rPr>
              <w:t xml:space="preserve">Dyslexia </w:t>
            </w:r>
          </w:p>
        </w:tc>
        <w:tc>
          <w:tcPr>
            <w:tcW w:w="6975" w:type="dxa"/>
          </w:tcPr>
          <w:p w14:paraId="10DB0B02"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complete</w:t>
            </w:r>
          </w:p>
          <w:p w14:paraId="3E41F78F" w14:textId="76EB3F54"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009E2CA5">
              <w:rPr>
                <w:rFonts w:ascii="Arial" w:hAnsi="Arial" w:cs="Arial"/>
                <w:szCs w:val="24"/>
              </w:rPr>
              <w:t>to discuss report and</w:t>
            </w:r>
            <w:r w:rsidRPr="00CA738D">
              <w:rPr>
                <w:rFonts w:ascii="Arial" w:hAnsi="Arial" w:cs="Arial"/>
                <w:szCs w:val="24"/>
              </w:rPr>
              <w:t xml:space="preserve"> reasonable adjustments</w:t>
            </w:r>
            <w:r>
              <w:rPr>
                <w:rFonts w:ascii="Arial" w:hAnsi="Arial" w:cs="Arial"/>
                <w:szCs w:val="24"/>
              </w:rPr>
              <w:t xml:space="preserve"> complete</w:t>
            </w:r>
          </w:p>
          <w:p w14:paraId="03C30CC2" w14:textId="7F8020C8"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Self-registered</w:t>
            </w:r>
            <w:r w:rsidRPr="00CA738D">
              <w:rPr>
                <w:rFonts w:ascii="Arial" w:hAnsi="Arial" w:cs="Arial"/>
                <w:szCs w:val="24"/>
              </w:rPr>
              <w:t xml:space="preserve"> with</w:t>
            </w:r>
            <w:r w:rsidR="009E2CA5">
              <w:rPr>
                <w:rFonts w:ascii="Arial" w:hAnsi="Arial" w:cs="Arial"/>
                <w:szCs w:val="24"/>
              </w:rPr>
              <w:t xml:space="preserve"> ATW</w:t>
            </w:r>
            <w:r w:rsidRPr="00CA738D">
              <w:rPr>
                <w:rFonts w:ascii="Arial" w:hAnsi="Arial" w:cs="Arial"/>
                <w:szCs w:val="24"/>
              </w:rPr>
              <w:t xml:space="preserve"> for tuition and computer packages</w:t>
            </w:r>
          </w:p>
          <w:p w14:paraId="6CCD1FDA" w14:textId="77777777" w:rsidR="00063078" w:rsidRPr="00CA738D" w:rsidRDefault="00063078" w:rsidP="00063078">
            <w:pPr>
              <w:pStyle w:val="ListParagraph"/>
              <w:numPr>
                <w:ilvl w:val="0"/>
                <w:numId w:val="28"/>
              </w:numPr>
              <w:contextualSpacing/>
              <w:rPr>
                <w:rFonts w:ascii="Arial" w:hAnsi="Arial" w:cs="Arial"/>
                <w:szCs w:val="24"/>
              </w:rPr>
            </w:pPr>
            <w:r w:rsidRPr="00CA738D">
              <w:rPr>
                <w:rFonts w:ascii="Arial" w:hAnsi="Arial" w:cs="Arial"/>
                <w:szCs w:val="24"/>
              </w:rPr>
              <w:t>Gold read and write package and training</w:t>
            </w:r>
          </w:p>
          <w:p w14:paraId="144BE2F0" w14:textId="77777777" w:rsidR="00063078" w:rsidRPr="00797FA8"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Professional support tutor</w:t>
            </w:r>
          </w:p>
        </w:tc>
      </w:tr>
      <w:tr w:rsidR="00063078" w14:paraId="2FFFC336" w14:textId="77777777" w:rsidTr="00435268">
        <w:tc>
          <w:tcPr>
            <w:tcW w:w="817" w:type="dxa"/>
          </w:tcPr>
          <w:p w14:paraId="487E7F6E" w14:textId="77777777" w:rsidR="00063078" w:rsidRDefault="00063078" w:rsidP="00063078">
            <w:pPr>
              <w:rPr>
                <w:rFonts w:ascii="Arial" w:hAnsi="Arial" w:cs="Arial"/>
              </w:rPr>
            </w:pPr>
            <w:r>
              <w:rPr>
                <w:rFonts w:ascii="Arial" w:hAnsi="Arial" w:cs="Arial"/>
              </w:rPr>
              <w:t>59</w:t>
            </w:r>
          </w:p>
        </w:tc>
        <w:tc>
          <w:tcPr>
            <w:tcW w:w="1276" w:type="dxa"/>
          </w:tcPr>
          <w:p w14:paraId="37EB785A"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5F74E2EB" w14:textId="77777777" w:rsidR="00063078" w:rsidRPr="005A0394" w:rsidRDefault="00063078" w:rsidP="00063078">
            <w:pPr>
              <w:rPr>
                <w:rFonts w:ascii="Arial" w:hAnsi="Arial" w:cs="Arial"/>
              </w:rPr>
            </w:pPr>
            <w:r>
              <w:rPr>
                <w:rFonts w:ascii="Arial" w:hAnsi="Arial" w:cs="Arial"/>
              </w:rPr>
              <w:t xml:space="preserve">Dyslexia </w:t>
            </w:r>
          </w:p>
        </w:tc>
        <w:tc>
          <w:tcPr>
            <w:tcW w:w="6975" w:type="dxa"/>
          </w:tcPr>
          <w:p w14:paraId="2232437D"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Professional diagnostic assessment complete</w:t>
            </w:r>
          </w:p>
          <w:p w14:paraId="7D53DE62" w14:textId="6CB30541"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009E2CA5">
              <w:rPr>
                <w:rFonts w:ascii="Arial" w:hAnsi="Arial" w:cs="Arial"/>
                <w:szCs w:val="24"/>
              </w:rPr>
              <w:t>to discuss report and</w:t>
            </w:r>
            <w:r w:rsidRPr="00CA738D">
              <w:rPr>
                <w:rFonts w:ascii="Arial" w:hAnsi="Arial" w:cs="Arial"/>
                <w:szCs w:val="24"/>
              </w:rPr>
              <w:t xml:space="preserve"> reasonable adjustments</w:t>
            </w:r>
            <w:r>
              <w:rPr>
                <w:rFonts w:ascii="Arial" w:hAnsi="Arial" w:cs="Arial"/>
                <w:szCs w:val="24"/>
              </w:rPr>
              <w:t xml:space="preserve"> done</w:t>
            </w:r>
          </w:p>
          <w:p w14:paraId="15875CDA" w14:textId="147365B5"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Self-registering</w:t>
            </w:r>
            <w:r w:rsidRPr="00CA738D">
              <w:rPr>
                <w:rFonts w:ascii="Arial" w:hAnsi="Arial" w:cs="Arial"/>
                <w:szCs w:val="24"/>
              </w:rPr>
              <w:t xml:space="preserve"> with</w:t>
            </w:r>
            <w:r w:rsidR="009E2CA5">
              <w:rPr>
                <w:rFonts w:ascii="Arial" w:hAnsi="Arial" w:cs="Arial"/>
                <w:szCs w:val="24"/>
              </w:rPr>
              <w:t xml:space="preserve"> ATW</w:t>
            </w:r>
            <w:r w:rsidRPr="00CA738D">
              <w:rPr>
                <w:rFonts w:ascii="Arial" w:hAnsi="Arial" w:cs="Arial"/>
                <w:szCs w:val="24"/>
              </w:rPr>
              <w:t xml:space="preserve"> for tuition and computer packages</w:t>
            </w:r>
          </w:p>
          <w:p w14:paraId="0501C56E" w14:textId="77777777" w:rsidR="00063078" w:rsidRPr="00AC76AC" w:rsidRDefault="00063078" w:rsidP="00063078">
            <w:pPr>
              <w:pStyle w:val="ListParagraph"/>
              <w:numPr>
                <w:ilvl w:val="0"/>
                <w:numId w:val="28"/>
              </w:numPr>
              <w:autoSpaceDE w:val="0"/>
              <w:autoSpaceDN w:val="0"/>
              <w:adjustRightInd w:val="0"/>
              <w:contextualSpacing/>
              <w:rPr>
                <w:rFonts w:ascii="Arial" w:hAnsi="Arial" w:cs="Arial"/>
                <w:szCs w:val="24"/>
              </w:rPr>
            </w:pPr>
            <w:r w:rsidRPr="00CA738D">
              <w:rPr>
                <w:rFonts w:ascii="Arial" w:hAnsi="Arial" w:cs="Arial"/>
                <w:szCs w:val="24"/>
              </w:rPr>
              <w:t>Professional support tutor</w:t>
            </w:r>
          </w:p>
        </w:tc>
      </w:tr>
      <w:tr w:rsidR="00063078" w14:paraId="209B0B07" w14:textId="77777777" w:rsidTr="00435268">
        <w:tc>
          <w:tcPr>
            <w:tcW w:w="817" w:type="dxa"/>
          </w:tcPr>
          <w:p w14:paraId="01F0B594" w14:textId="77777777" w:rsidR="00063078" w:rsidRDefault="00063078" w:rsidP="00063078">
            <w:pPr>
              <w:rPr>
                <w:rFonts w:ascii="Arial" w:hAnsi="Arial" w:cs="Arial"/>
              </w:rPr>
            </w:pPr>
            <w:r>
              <w:rPr>
                <w:rFonts w:ascii="Arial" w:hAnsi="Arial" w:cs="Arial"/>
              </w:rPr>
              <w:t>60</w:t>
            </w:r>
          </w:p>
        </w:tc>
        <w:tc>
          <w:tcPr>
            <w:tcW w:w="1276" w:type="dxa"/>
          </w:tcPr>
          <w:p w14:paraId="0A72A2C5"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6ADB154A" w14:textId="77777777" w:rsidR="00063078" w:rsidRDefault="00063078" w:rsidP="00063078">
            <w:pPr>
              <w:rPr>
                <w:rFonts w:ascii="Arial" w:hAnsi="Arial" w:cs="Arial"/>
              </w:rPr>
            </w:pPr>
            <w:r>
              <w:rPr>
                <w:rFonts w:ascii="Arial" w:hAnsi="Arial" w:cs="Arial"/>
              </w:rPr>
              <w:t>Possible Dyslexia</w:t>
            </w:r>
          </w:p>
        </w:tc>
        <w:tc>
          <w:tcPr>
            <w:tcW w:w="6975" w:type="dxa"/>
          </w:tcPr>
          <w:p w14:paraId="71CCB1C7"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Initial checklist sent </w:t>
            </w:r>
          </w:p>
          <w:p w14:paraId="54CD2497" w14:textId="77777777" w:rsidR="00063078" w:rsidRPr="00BF629B"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5D019416" w14:textId="7F6379AE" w:rsidR="00063078" w:rsidRPr="002F3FFA"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F</w:t>
            </w:r>
            <w:r w:rsidR="009E2CA5">
              <w:rPr>
                <w:rFonts w:ascii="Arial" w:hAnsi="Arial" w:cs="Arial"/>
                <w:szCs w:val="24"/>
              </w:rPr>
              <w:t xml:space="preserve">ire </w:t>
            </w:r>
            <w:r>
              <w:rPr>
                <w:rFonts w:ascii="Arial" w:hAnsi="Arial" w:cs="Arial"/>
                <w:szCs w:val="24"/>
              </w:rPr>
              <w:t>B</w:t>
            </w:r>
            <w:r w:rsidR="009E2CA5">
              <w:rPr>
                <w:rFonts w:ascii="Arial" w:hAnsi="Arial" w:cs="Arial"/>
                <w:szCs w:val="24"/>
              </w:rPr>
              <w:t xml:space="preserve">rigades </w:t>
            </w:r>
            <w:r>
              <w:rPr>
                <w:rFonts w:ascii="Arial" w:hAnsi="Arial" w:cs="Arial"/>
                <w:szCs w:val="24"/>
              </w:rPr>
              <w:t>U</w:t>
            </w:r>
            <w:r w:rsidR="009E2CA5">
              <w:rPr>
                <w:rFonts w:ascii="Arial" w:hAnsi="Arial" w:cs="Arial"/>
                <w:szCs w:val="24"/>
              </w:rPr>
              <w:t>nion</w:t>
            </w:r>
            <w:r>
              <w:rPr>
                <w:rFonts w:ascii="Arial" w:hAnsi="Arial" w:cs="Arial"/>
                <w:szCs w:val="24"/>
              </w:rPr>
              <w:t xml:space="preserve"> assessment </w:t>
            </w:r>
            <w:r w:rsidRPr="00530CC2">
              <w:rPr>
                <w:rFonts w:ascii="Arial" w:hAnsi="Arial" w:cs="Arial"/>
                <w:szCs w:val="24"/>
              </w:rPr>
              <w:t>done</w:t>
            </w:r>
            <w:r w:rsidR="009E2CA5">
              <w:rPr>
                <w:rFonts w:ascii="Arial" w:hAnsi="Arial" w:cs="Arial"/>
                <w:szCs w:val="24"/>
              </w:rPr>
              <w:t>,</w:t>
            </w:r>
            <w:r w:rsidRPr="00530CC2">
              <w:rPr>
                <w:rFonts w:ascii="Arial" w:hAnsi="Arial" w:cs="Arial"/>
                <w:szCs w:val="24"/>
              </w:rPr>
              <w:t xml:space="preserve"> as not strong indication of dyslexia</w:t>
            </w:r>
            <w:r>
              <w:rPr>
                <w:rFonts w:ascii="Arial" w:hAnsi="Arial" w:cs="Arial"/>
                <w:szCs w:val="24"/>
              </w:rPr>
              <w:t xml:space="preserve"> on checklist</w:t>
            </w:r>
          </w:p>
        </w:tc>
      </w:tr>
      <w:tr w:rsidR="00063078" w14:paraId="1CFB2799" w14:textId="77777777" w:rsidTr="00435268">
        <w:tc>
          <w:tcPr>
            <w:tcW w:w="817" w:type="dxa"/>
          </w:tcPr>
          <w:p w14:paraId="7702C8C2" w14:textId="77777777" w:rsidR="00063078" w:rsidRDefault="00063078" w:rsidP="00063078">
            <w:pPr>
              <w:rPr>
                <w:rFonts w:ascii="Arial" w:hAnsi="Arial" w:cs="Arial"/>
              </w:rPr>
            </w:pPr>
            <w:r>
              <w:rPr>
                <w:rFonts w:ascii="Arial" w:hAnsi="Arial" w:cs="Arial"/>
              </w:rPr>
              <w:t>61</w:t>
            </w:r>
          </w:p>
        </w:tc>
        <w:tc>
          <w:tcPr>
            <w:tcW w:w="1276" w:type="dxa"/>
          </w:tcPr>
          <w:p w14:paraId="40DCA3AD" w14:textId="77777777" w:rsidR="00063078" w:rsidRDefault="00063078" w:rsidP="00063078">
            <w:pPr>
              <w:autoSpaceDE w:val="0"/>
              <w:autoSpaceDN w:val="0"/>
              <w:adjustRightInd w:val="0"/>
              <w:rPr>
                <w:rFonts w:ascii="Arial" w:hAnsi="Arial" w:cs="Arial"/>
              </w:rPr>
            </w:pPr>
            <w:r>
              <w:rPr>
                <w:rFonts w:ascii="Arial" w:hAnsi="Arial" w:cs="Arial"/>
              </w:rPr>
              <w:t>WT</w:t>
            </w:r>
          </w:p>
        </w:tc>
        <w:tc>
          <w:tcPr>
            <w:tcW w:w="1559" w:type="dxa"/>
          </w:tcPr>
          <w:p w14:paraId="6B7FFE95" w14:textId="77777777" w:rsidR="00063078" w:rsidRDefault="00063078" w:rsidP="00063078">
            <w:pPr>
              <w:rPr>
                <w:rFonts w:ascii="Arial" w:hAnsi="Arial" w:cs="Arial"/>
              </w:rPr>
            </w:pPr>
            <w:r>
              <w:rPr>
                <w:rFonts w:ascii="Arial" w:hAnsi="Arial" w:cs="Arial"/>
              </w:rPr>
              <w:t>Back pain</w:t>
            </w:r>
          </w:p>
        </w:tc>
        <w:tc>
          <w:tcPr>
            <w:tcW w:w="6975" w:type="dxa"/>
          </w:tcPr>
          <w:p w14:paraId="2856990F"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Occupational H</w:t>
            </w:r>
            <w:r w:rsidRPr="00CA738D">
              <w:rPr>
                <w:rFonts w:ascii="Arial" w:hAnsi="Arial" w:cs="Arial"/>
                <w:szCs w:val="24"/>
              </w:rPr>
              <w:t xml:space="preserve">ealth requested referral to ATW to </w:t>
            </w:r>
            <w:r>
              <w:rPr>
                <w:rFonts w:ascii="Arial" w:hAnsi="Arial" w:cs="Arial"/>
                <w:szCs w:val="24"/>
              </w:rPr>
              <w:t>assess</w:t>
            </w:r>
            <w:r w:rsidRPr="00CA738D">
              <w:rPr>
                <w:rFonts w:ascii="Arial" w:hAnsi="Arial" w:cs="Arial"/>
                <w:szCs w:val="24"/>
              </w:rPr>
              <w:t xml:space="preserve"> workplace adjustments</w:t>
            </w:r>
          </w:p>
          <w:p w14:paraId="1D3AA2E7" w14:textId="680DD817" w:rsidR="00063078" w:rsidRDefault="009E2CA5"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ATW</w:t>
            </w:r>
            <w:r w:rsidR="00063078">
              <w:rPr>
                <w:rFonts w:ascii="Arial" w:hAnsi="Arial" w:cs="Arial"/>
                <w:szCs w:val="24"/>
              </w:rPr>
              <w:t xml:space="preserve"> assessment complete</w:t>
            </w:r>
          </w:p>
          <w:p w14:paraId="6D883236" w14:textId="77777777" w:rsidR="00063078" w:rsidRPr="00CA738D"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Chair and keyboards in place</w:t>
            </w:r>
          </w:p>
        </w:tc>
      </w:tr>
      <w:tr w:rsidR="00063078" w14:paraId="7D83BC5E" w14:textId="77777777" w:rsidTr="00435268">
        <w:tc>
          <w:tcPr>
            <w:tcW w:w="817" w:type="dxa"/>
          </w:tcPr>
          <w:p w14:paraId="6A2AD44C" w14:textId="77777777" w:rsidR="00063078" w:rsidRDefault="00063078" w:rsidP="00063078">
            <w:pPr>
              <w:rPr>
                <w:rFonts w:ascii="Arial" w:hAnsi="Arial" w:cs="Arial"/>
              </w:rPr>
            </w:pPr>
            <w:r>
              <w:rPr>
                <w:rFonts w:ascii="Arial" w:hAnsi="Arial" w:cs="Arial"/>
              </w:rPr>
              <w:t>62</w:t>
            </w:r>
          </w:p>
        </w:tc>
        <w:tc>
          <w:tcPr>
            <w:tcW w:w="1276" w:type="dxa"/>
          </w:tcPr>
          <w:p w14:paraId="081F5EE6" w14:textId="77777777" w:rsidR="00063078" w:rsidRDefault="00063078" w:rsidP="00063078">
            <w:pPr>
              <w:autoSpaceDE w:val="0"/>
              <w:autoSpaceDN w:val="0"/>
              <w:adjustRightInd w:val="0"/>
              <w:rPr>
                <w:rFonts w:ascii="Arial" w:hAnsi="Arial" w:cs="Arial"/>
              </w:rPr>
            </w:pPr>
            <w:r>
              <w:rPr>
                <w:rFonts w:ascii="Arial" w:hAnsi="Arial" w:cs="Arial"/>
              </w:rPr>
              <w:t>SY HQ</w:t>
            </w:r>
          </w:p>
        </w:tc>
        <w:tc>
          <w:tcPr>
            <w:tcW w:w="1559" w:type="dxa"/>
          </w:tcPr>
          <w:p w14:paraId="368857A0" w14:textId="77777777" w:rsidR="00063078" w:rsidRDefault="00063078" w:rsidP="00063078">
            <w:pPr>
              <w:rPr>
                <w:rFonts w:ascii="Arial" w:hAnsi="Arial" w:cs="Arial"/>
              </w:rPr>
            </w:pPr>
            <w:r>
              <w:rPr>
                <w:rFonts w:ascii="Arial" w:hAnsi="Arial" w:cs="Arial"/>
              </w:rPr>
              <w:t xml:space="preserve">Dyslexia </w:t>
            </w:r>
          </w:p>
        </w:tc>
        <w:tc>
          <w:tcPr>
            <w:tcW w:w="6975" w:type="dxa"/>
          </w:tcPr>
          <w:p w14:paraId="27966633" w14:textId="77777777" w:rsidR="00063078" w:rsidRPr="00BF629B"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4FDB7A88" w14:textId="6614C5CA" w:rsidR="00063078" w:rsidRDefault="009E2CA5"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Fire Brigades Union</w:t>
            </w:r>
            <w:r w:rsidR="00063078">
              <w:rPr>
                <w:rFonts w:ascii="Arial" w:hAnsi="Arial" w:cs="Arial"/>
                <w:szCs w:val="24"/>
              </w:rPr>
              <w:t xml:space="preserve"> assessment </w:t>
            </w:r>
            <w:r w:rsidR="00063078" w:rsidRPr="00530CC2">
              <w:rPr>
                <w:rFonts w:ascii="Arial" w:hAnsi="Arial" w:cs="Arial"/>
                <w:szCs w:val="24"/>
              </w:rPr>
              <w:t>done</w:t>
            </w:r>
            <w:r>
              <w:rPr>
                <w:rFonts w:ascii="Arial" w:hAnsi="Arial" w:cs="Arial"/>
                <w:szCs w:val="24"/>
              </w:rPr>
              <w:t>,</w:t>
            </w:r>
            <w:r w:rsidR="00063078" w:rsidRPr="00530CC2">
              <w:rPr>
                <w:rFonts w:ascii="Arial" w:hAnsi="Arial" w:cs="Arial"/>
                <w:szCs w:val="24"/>
              </w:rPr>
              <w:t xml:space="preserve"> as not strong indication of dyslexia</w:t>
            </w:r>
            <w:r w:rsidR="00063078">
              <w:rPr>
                <w:rFonts w:ascii="Arial" w:hAnsi="Arial" w:cs="Arial"/>
                <w:szCs w:val="24"/>
              </w:rPr>
              <w:t xml:space="preserve"> on checklist</w:t>
            </w:r>
          </w:p>
          <w:p w14:paraId="31F8A29A"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Assessment showed indication of dyslexia</w:t>
            </w:r>
          </w:p>
          <w:p w14:paraId="2A82B6B4"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completed</w:t>
            </w:r>
          </w:p>
          <w:p w14:paraId="73A7D92D" w14:textId="01C0A659"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009E2CA5">
              <w:rPr>
                <w:rFonts w:ascii="Arial" w:hAnsi="Arial" w:cs="Arial"/>
                <w:szCs w:val="24"/>
              </w:rPr>
              <w:t>to discuss report and</w:t>
            </w:r>
            <w:r w:rsidRPr="00CA738D">
              <w:rPr>
                <w:rFonts w:ascii="Arial" w:hAnsi="Arial" w:cs="Arial"/>
                <w:szCs w:val="24"/>
              </w:rPr>
              <w:t xml:space="preserve"> reasonable adjustments</w:t>
            </w:r>
            <w:r>
              <w:rPr>
                <w:rFonts w:ascii="Arial" w:hAnsi="Arial" w:cs="Arial"/>
                <w:szCs w:val="24"/>
              </w:rPr>
              <w:t xml:space="preserve"> done</w:t>
            </w:r>
          </w:p>
          <w:p w14:paraId="09437F9F" w14:textId="78F3C372" w:rsidR="00063078" w:rsidRPr="002F3FFA" w:rsidRDefault="00063078" w:rsidP="009E2CA5">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Self-registering</w:t>
            </w:r>
            <w:r w:rsidRPr="00CA738D">
              <w:rPr>
                <w:rFonts w:ascii="Arial" w:hAnsi="Arial" w:cs="Arial"/>
                <w:szCs w:val="24"/>
              </w:rPr>
              <w:t xml:space="preserve"> with</w:t>
            </w:r>
            <w:r w:rsidR="009E2CA5">
              <w:rPr>
                <w:rFonts w:ascii="Arial" w:hAnsi="Arial" w:cs="Arial"/>
                <w:szCs w:val="24"/>
              </w:rPr>
              <w:t xml:space="preserve"> ATW</w:t>
            </w:r>
            <w:r w:rsidRPr="00CA738D">
              <w:rPr>
                <w:rFonts w:ascii="Arial" w:hAnsi="Arial" w:cs="Arial"/>
                <w:szCs w:val="24"/>
              </w:rPr>
              <w:t xml:space="preserve"> for tuition and computer packages</w:t>
            </w:r>
          </w:p>
        </w:tc>
      </w:tr>
      <w:tr w:rsidR="00063078" w14:paraId="011541F6" w14:textId="77777777" w:rsidTr="00435268">
        <w:tc>
          <w:tcPr>
            <w:tcW w:w="817" w:type="dxa"/>
          </w:tcPr>
          <w:p w14:paraId="41DE5889" w14:textId="77777777" w:rsidR="00063078" w:rsidRDefault="00063078" w:rsidP="00063078">
            <w:pPr>
              <w:rPr>
                <w:rFonts w:ascii="Arial" w:hAnsi="Arial" w:cs="Arial"/>
              </w:rPr>
            </w:pPr>
            <w:r>
              <w:rPr>
                <w:rFonts w:ascii="Arial" w:hAnsi="Arial" w:cs="Arial"/>
              </w:rPr>
              <w:t>63</w:t>
            </w:r>
          </w:p>
        </w:tc>
        <w:tc>
          <w:tcPr>
            <w:tcW w:w="1276" w:type="dxa"/>
          </w:tcPr>
          <w:p w14:paraId="09F75950" w14:textId="77777777" w:rsidR="00063078" w:rsidRDefault="00063078" w:rsidP="00063078">
            <w:pPr>
              <w:autoSpaceDE w:val="0"/>
              <w:autoSpaceDN w:val="0"/>
              <w:adjustRightInd w:val="0"/>
              <w:rPr>
                <w:rFonts w:ascii="Arial" w:hAnsi="Arial" w:cs="Arial"/>
              </w:rPr>
            </w:pPr>
            <w:r>
              <w:rPr>
                <w:rFonts w:ascii="Arial" w:hAnsi="Arial" w:cs="Arial"/>
              </w:rPr>
              <w:t>WT</w:t>
            </w:r>
          </w:p>
        </w:tc>
        <w:tc>
          <w:tcPr>
            <w:tcW w:w="1559" w:type="dxa"/>
          </w:tcPr>
          <w:p w14:paraId="712A07DC" w14:textId="77777777" w:rsidR="00063078" w:rsidRDefault="00063078" w:rsidP="00063078">
            <w:pPr>
              <w:rPr>
                <w:rFonts w:ascii="Arial" w:hAnsi="Arial" w:cs="Arial"/>
              </w:rPr>
            </w:pPr>
            <w:r>
              <w:rPr>
                <w:rFonts w:ascii="Arial" w:hAnsi="Arial" w:cs="Arial"/>
              </w:rPr>
              <w:t>Dyslexia</w:t>
            </w:r>
          </w:p>
        </w:tc>
        <w:tc>
          <w:tcPr>
            <w:tcW w:w="6975" w:type="dxa"/>
          </w:tcPr>
          <w:p w14:paraId="747C6CCB"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64669AE9"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complete</w:t>
            </w:r>
          </w:p>
          <w:p w14:paraId="4F51BD87" w14:textId="7B96CEA5"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009E2CA5">
              <w:rPr>
                <w:rFonts w:ascii="Arial" w:hAnsi="Arial" w:cs="Arial"/>
                <w:szCs w:val="24"/>
              </w:rPr>
              <w:t>to discuss report and</w:t>
            </w:r>
            <w:r w:rsidRPr="00CA738D">
              <w:rPr>
                <w:rFonts w:ascii="Arial" w:hAnsi="Arial" w:cs="Arial"/>
                <w:szCs w:val="24"/>
              </w:rPr>
              <w:t xml:space="preserve"> reasonable adjustments</w:t>
            </w:r>
            <w:r>
              <w:rPr>
                <w:rFonts w:ascii="Arial" w:hAnsi="Arial" w:cs="Arial"/>
                <w:szCs w:val="24"/>
              </w:rPr>
              <w:t xml:space="preserve"> completed</w:t>
            </w:r>
          </w:p>
          <w:p w14:paraId="0DE0B891" w14:textId="35FF61A6" w:rsidR="00063078" w:rsidRPr="00BF629B" w:rsidRDefault="00063078" w:rsidP="009E2CA5">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Self-registering</w:t>
            </w:r>
            <w:r w:rsidRPr="00CA738D">
              <w:rPr>
                <w:rFonts w:ascii="Arial" w:hAnsi="Arial" w:cs="Arial"/>
                <w:szCs w:val="24"/>
              </w:rPr>
              <w:t xml:space="preserve"> with</w:t>
            </w:r>
            <w:r w:rsidR="009E2CA5">
              <w:rPr>
                <w:rFonts w:ascii="Arial" w:hAnsi="Arial" w:cs="Arial"/>
                <w:szCs w:val="24"/>
              </w:rPr>
              <w:t xml:space="preserve"> ATW</w:t>
            </w:r>
            <w:r w:rsidRPr="00CA738D">
              <w:rPr>
                <w:rFonts w:ascii="Arial" w:hAnsi="Arial" w:cs="Arial"/>
                <w:szCs w:val="24"/>
              </w:rPr>
              <w:t xml:space="preserve"> for tuition and computer packages</w:t>
            </w:r>
          </w:p>
        </w:tc>
      </w:tr>
      <w:tr w:rsidR="00063078" w14:paraId="3DDA38BA" w14:textId="77777777" w:rsidTr="00435268">
        <w:tc>
          <w:tcPr>
            <w:tcW w:w="817" w:type="dxa"/>
          </w:tcPr>
          <w:p w14:paraId="27901F15" w14:textId="77777777" w:rsidR="00063078" w:rsidRDefault="00063078" w:rsidP="00063078">
            <w:pPr>
              <w:rPr>
                <w:rFonts w:ascii="Arial" w:hAnsi="Arial" w:cs="Arial"/>
              </w:rPr>
            </w:pPr>
            <w:r>
              <w:rPr>
                <w:rFonts w:ascii="Arial" w:hAnsi="Arial" w:cs="Arial"/>
              </w:rPr>
              <w:t>64</w:t>
            </w:r>
          </w:p>
        </w:tc>
        <w:tc>
          <w:tcPr>
            <w:tcW w:w="1276" w:type="dxa"/>
          </w:tcPr>
          <w:p w14:paraId="5F05429E"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67D99282" w14:textId="77777777" w:rsidR="00063078" w:rsidRDefault="00063078" w:rsidP="00063078">
            <w:pPr>
              <w:rPr>
                <w:rFonts w:ascii="Arial" w:hAnsi="Arial" w:cs="Arial"/>
              </w:rPr>
            </w:pPr>
            <w:r>
              <w:rPr>
                <w:rFonts w:ascii="Arial" w:hAnsi="Arial" w:cs="Arial"/>
              </w:rPr>
              <w:t>Dyslexia</w:t>
            </w:r>
          </w:p>
        </w:tc>
        <w:tc>
          <w:tcPr>
            <w:tcW w:w="6975" w:type="dxa"/>
          </w:tcPr>
          <w:p w14:paraId="20D664FD"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5BECF6A1"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complete</w:t>
            </w:r>
          </w:p>
          <w:p w14:paraId="2CBE6B96" w14:textId="11084BEA"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 xml:space="preserve">Meeting </w:t>
            </w:r>
            <w:r w:rsidR="009E2CA5">
              <w:rPr>
                <w:rFonts w:ascii="Arial" w:hAnsi="Arial" w:cs="Arial"/>
                <w:szCs w:val="24"/>
              </w:rPr>
              <w:t>to discuss report and</w:t>
            </w:r>
            <w:r w:rsidRPr="00CA738D">
              <w:rPr>
                <w:rFonts w:ascii="Arial" w:hAnsi="Arial" w:cs="Arial"/>
                <w:szCs w:val="24"/>
              </w:rPr>
              <w:t xml:space="preserve"> reasonable adjustments</w:t>
            </w:r>
            <w:r>
              <w:rPr>
                <w:rFonts w:ascii="Arial" w:hAnsi="Arial" w:cs="Arial"/>
                <w:szCs w:val="24"/>
              </w:rPr>
              <w:t xml:space="preserve"> done</w:t>
            </w:r>
          </w:p>
          <w:p w14:paraId="20321EF4" w14:textId="462F1D8F" w:rsidR="00063078" w:rsidRDefault="00063078" w:rsidP="009E2CA5">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Self-registering</w:t>
            </w:r>
            <w:r w:rsidRPr="00CA738D">
              <w:rPr>
                <w:rFonts w:ascii="Arial" w:hAnsi="Arial" w:cs="Arial"/>
                <w:szCs w:val="24"/>
              </w:rPr>
              <w:t xml:space="preserve"> with</w:t>
            </w:r>
            <w:r w:rsidR="009E2CA5">
              <w:rPr>
                <w:rFonts w:ascii="Arial" w:hAnsi="Arial" w:cs="Arial"/>
                <w:szCs w:val="24"/>
              </w:rPr>
              <w:t xml:space="preserve"> ATW</w:t>
            </w:r>
            <w:r w:rsidRPr="00CA738D">
              <w:rPr>
                <w:rFonts w:ascii="Arial" w:hAnsi="Arial" w:cs="Arial"/>
                <w:szCs w:val="24"/>
              </w:rPr>
              <w:t xml:space="preserve"> for tuition and computer packages</w:t>
            </w:r>
          </w:p>
        </w:tc>
      </w:tr>
      <w:tr w:rsidR="00063078" w14:paraId="439A733D" w14:textId="77777777" w:rsidTr="00435268">
        <w:tc>
          <w:tcPr>
            <w:tcW w:w="817" w:type="dxa"/>
          </w:tcPr>
          <w:p w14:paraId="77BF1959" w14:textId="77777777" w:rsidR="00063078" w:rsidRDefault="00063078" w:rsidP="00063078">
            <w:pPr>
              <w:rPr>
                <w:rFonts w:ascii="Arial" w:hAnsi="Arial" w:cs="Arial"/>
              </w:rPr>
            </w:pPr>
            <w:r>
              <w:rPr>
                <w:rFonts w:ascii="Arial" w:hAnsi="Arial" w:cs="Arial"/>
              </w:rPr>
              <w:t>65</w:t>
            </w:r>
          </w:p>
        </w:tc>
        <w:tc>
          <w:tcPr>
            <w:tcW w:w="1276" w:type="dxa"/>
          </w:tcPr>
          <w:p w14:paraId="793C6D1B"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1E3295BA" w14:textId="77777777" w:rsidR="00063078" w:rsidRDefault="00063078" w:rsidP="00063078">
            <w:pPr>
              <w:rPr>
                <w:rFonts w:ascii="Arial" w:hAnsi="Arial" w:cs="Arial"/>
              </w:rPr>
            </w:pPr>
            <w:r>
              <w:rPr>
                <w:rFonts w:ascii="Arial" w:hAnsi="Arial" w:cs="Arial"/>
              </w:rPr>
              <w:t>Dyslexia</w:t>
            </w:r>
          </w:p>
        </w:tc>
        <w:tc>
          <w:tcPr>
            <w:tcW w:w="6975" w:type="dxa"/>
          </w:tcPr>
          <w:p w14:paraId="15A6D039" w14:textId="77777777" w:rsidR="00063078" w:rsidRPr="00BF629B"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3B8ED168" w14:textId="59A2C8FA" w:rsidR="00063078" w:rsidRDefault="009E2CA5"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Fire Brigades Union</w:t>
            </w:r>
            <w:r w:rsidR="00063078">
              <w:rPr>
                <w:rFonts w:ascii="Arial" w:hAnsi="Arial" w:cs="Arial"/>
                <w:szCs w:val="24"/>
              </w:rPr>
              <w:t xml:space="preserve"> assessment to be arranged</w:t>
            </w:r>
            <w:r>
              <w:rPr>
                <w:rFonts w:ascii="Arial" w:hAnsi="Arial" w:cs="Arial"/>
                <w:szCs w:val="24"/>
              </w:rPr>
              <w:t>,</w:t>
            </w:r>
            <w:r w:rsidR="00063078" w:rsidRPr="00530CC2">
              <w:rPr>
                <w:rFonts w:ascii="Arial" w:hAnsi="Arial" w:cs="Arial"/>
                <w:szCs w:val="24"/>
              </w:rPr>
              <w:t xml:space="preserve"> as not strong indication of dyslexia</w:t>
            </w:r>
            <w:r w:rsidR="00063078">
              <w:rPr>
                <w:rFonts w:ascii="Arial" w:hAnsi="Arial" w:cs="Arial"/>
                <w:szCs w:val="24"/>
              </w:rPr>
              <w:t xml:space="preserve"> on checklist</w:t>
            </w:r>
          </w:p>
          <w:p w14:paraId="71044D2F" w14:textId="77777777" w:rsidR="00063078" w:rsidRDefault="00063078" w:rsidP="00063078">
            <w:pPr>
              <w:pStyle w:val="ListParagraph"/>
              <w:numPr>
                <w:ilvl w:val="0"/>
                <w:numId w:val="28"/>
              </w:numPr>
              <w:contextualSpacing/>
              <w:rPr>
                <w:rFonts w:ascii="Arial" w:hAnsi="Arial" w:cs="Arial"/>
                <w:szCs w:val="24"/>
              </w:rPr>
            </w:pPr>
            <w:r>
              <w:rPr>
                <w:rFonts w:ascii="Arial" w:hAnsi="Arial" w:cs="Arial"/>
                <w:szCs w:val="24"/>
              </w:rPr>
              <w:t>Assessment showed indication of dyslexia</w:t>
            </w:r>
          </w:p>
          <w:p w14:paraId="4D11EC13" w14:textId="77777777" w:rsidR="00063078" w:rsidRPr="00BF629B"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to be arranged</w:t>
            </w:r>
          </w:p>
        </w:tc>
      </w:tr>
      <w:tr w:rsidR="00063078" w14:paraId="09754212" w14:textId="77777777" w:rsidTr="00435268">
        <w:tc>
          <w:tcPr>
            <w:tcW w:w="817" w:type="dxa"/>
          </w:tcPr>
          <w:p w14:paraId="1743B8F0" w14:textId="77777777" w:rsidR="00063078" w:rsidRDefault="00063078" w:rsidP="00063078">
            <w:pPr>
              <w:rPr>
                <w:rFonts w:ascii="Arial" w:hAnsi="Arial" w:cs="Arial"/>
              </w:rPr>
            </w:pPr>
            <w:r>
              <w:rPr>
                <w:rFonts w:ascii="Arial" w:hAnsi="Arial" w:cs="Arial"/>
              </w:rPr>
              <w:t>66</w:t>
            </w:r>
          </w:p>
        </w:tc>
        <w:tc>
          <w:tcPr>
            <w:tcW w:w="1276" w:type="dxa"/>
          </w:tcPr>
          <w:p w14:paraId="1C1A977F"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4332A17A" w14:textId="77777777" w:rsidR="00063078" w:rsidRDefault="00063078" w:rsidP="00063078">
            <w:pPr>
              <w:rPr>
                <w:rFonts w:ascii="Arial" w:hAnsi="Arial" w:cs="Arial"/>
              </w:rPr>
            </w:pPr>
            <w:r>
              <w:rPr>
                <w:rFonts w:ascii="Arial" w:hAnsi="Arial" w:cs="Arial"/>
              </w:rPr>
              <w:t>Dyslexia</w:t>
            </w:r>
          </w:p>
        </w:tc>
        <w:tc>
          <w:tcPr>
            <w:tcW w:w="6975" w:type="dxa"/>
          </w:tcPr>
          <w:p w14:paraId="0869A3F5" w14:textId="77777777" w:rsidR="00063078" w:rsidRPr="00BF629B"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57C3B14A" w14:textId="77777777" w:rsidR="00063078" w:rsidRPr="002F3FFA"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to be arranged</w:t>
            </w:r>
          </w:p>
        </w:tc>
      </w:tr>
      <w:tr w:rsidR="00063078" w14:paraId="2BCFA284" w14:textId="77777777" w:rsidTr="00435268">
        <w:tc>
          <w:tcPr>
            <w:tcW w:w="817" w:type="dxa"/>
          </w:tcPr>
          <w:p w14:paraId="72746C60" w14:textId="77777777" w:rsidR="00063078" w:rsidRDefault="00063078" w:rsidP="00063078">
            <w:pPr>
              <w:rPr>
                <w:rFonts w:ascii="Arial" w:hAnsi="Arial" w:cs="Arial"/>
              </w:rPr>
            </w:pPr>
            <w:r>
              <w:rPr>
                <w:rFonts w:ascii="Arial" w:hAnsi="Arial" w:cs="Arial"/>
              </w:rPr>
              <w:t>67</w:t>
            </w:r>
          </w:p>
        </w:tc>
        <w:tc>
          <w:tcPr>
            <w:tcW w:w="1276" w:type="dxa"/>
          </w:tcPr>
          <w:p w14:paraId="776E95C8" w14:textId="77777777" w:rsidR="00063078" w:rsidRDefault="00063078" w:rsidP="00063078">
            <w:pPr>
              <w:autoSpaceDE w:val="0"/>
              <w:autoSpaceDN w:val="0"/>
              <w:adjustRightInd w:val="0"/>
              <w:rPr>
                <w:rFonts w:ascii="Arial" w:hAnsi="Arial" w:cs="Arial"/>
              </w:rPr>
            </w:pPr>
            <w:r>
              <w:rPr>
                <w:rFonts w:ascii="Arial" w:hAnsi="Arial" w:cs="Arial"/>
              </w:rPr>
              <w:t>RDS</w:t>
            </w:r>
          </w:p>
        </w:tc>
        <w:tc>
          <w:tcPr>
            <w:tcW w:w="1559" w:type="dxa"/>
          </w:tcPr>
          <w:p w14:paraId="6875240C" w14:textId="77777777" w:rsidR="00063078" w:rsidRDefault="00063078" w:rsidP="00063078">
            <w:pPr>
              <w:rPr>
                <w:rFonts w:ascii="Arial" w:hAnsi="Arial" w:cs="Arial"/>
              </w:rPr>
            </w:pPr>
            <w:r>
              <w:rPr>
                <w:rFonts w:ascii="Arial" w:hAnsi="Arial" w:cs="Arial"/>
              </w:rPr>
              <w:t>Dyslexia</w:t>
            </w:r>
          </w:p>
        </w:tc>
        <w:tc>
          <w:tcPr>
            <w:tcW w:w="6975" w:type="dxa"/>
          </w:tcPr>
          <w:p w14:paraId="70F4CD14" w14:textId="77777777" w:rsidR="00063078" w:rsidRPr="00BF629B"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Initial checklist completed</w:t>
            </w:r>
          </w:p>
          <w:p w14:paraId="7A6C679B" w14:textId="77777777" w:rsidR="00063078" w:rsidRDefault="00063078" w:rsidP="00063078">
            <w:pPr>
              <w:pStyle w:val="ListParagraph"/>
              <w:numPr>
                <w:ilvl w:val="0"/>
                <w:numId w:val="28"/>
              </w:numPr>
              <w:autoSpaceDE w:val="0"/>
              <w:autoSpaceDN w:val="0"/>
              <w:adjustRightInd w:val="0"/>
              <w:contextualSpacing/>
              <w:rPr>
                <w:rFonts w:ascii="Arial" w:hAnsi="Arial" w:cs="Arial"/>
                <w:szCs w:val="24"/>
              </w:rPr>
            </w:pPr>
            <w:r>
              <w:rPr>
                <w:rFonts w:ascii="Arial" w:hAnsi="Arial" w:cs="Arial"/>
                <w:szCs w:val="24"/>
              </w:rPr>
              <w:t>P</w:t>
            </w:r>
            <w:r w:rsidRPr="00CA738D">
              <w:rPr>
                <w:rFonts w:ascii="Arial" w:hAnsi="Arial" w:cs="Arial"/>
                <w:szCs w:val="24"/>
              </w:rPr>
              <w:t>rofessional diagnostic assessment</w:t>
            </w:r>
            <w:r>
              <w:rPr>
                <w:rFonts w:ascii="Arial" w:hAnsi="Arial" w:cs="Arial"/>
                <w:szCs w:val="24"/>
              </w:rPr>
              <w:t xml:space="preserve"> to be arranged</w:t>
            </w:r>
          </w:p>
        </w:tc>
      </w:tr>
    </w:tbl>
    <w:p w14:paraId="579A6982" w14:textId="77777777" w:rsidR="00063078" w:rsidRDefault="00063078" w:rsidP="00063078">
      <w:pPr>
        <w:rPr>
          <w:rFonts w:ascii="Arial" w:hAnsi="Arial" w:cs="Arial"/>
          <w:snapToGrid w:val="0"/>
          <w:lang w:eastAsia="en-US"/>
        </w:rPr>
      </w:pPr>
    </w:p>
    <w:sectPr w:rsidR="00063078" w:rsidSect="00473146">
      <w:headerReference w:type="first" r:id="rId16"/>
      <w:pgSz w:w="11907" w:h="16840" w:code="9"/>
      <w:pgMar w:top="567" w:right="907" w:bottom="567" w:left="907" w:header="28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DE06D" w14:textId="77777777" w:rsidR="00063078" w:rsidRDefault="00063078">
      <w:r>
        <w:separator/>
      </w:r>
    </w:p>
  </w:endnote>
  <w:endnote w:type="continuationSeparator" w:id="0">
    <w:p w14:paraId="328B64E6" w14:textId="77777777" w:rsidR="00063078" w:rsidRDefault="0006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83E3" w14:textId="70A2943E" w:rsidR="00063078" w:rsidRPr="009B40B0" w:rsidRDefault="002010EB" w:rsidP="00FA1FE1">
    <w:pPr>
      <w:pStyle w:val="Footer"/>
      <w:tabs>
        <w:tab w:val="clear" w:pos="8306"/>
        <w:tab w:val="right" w:pos="10065"/>
      </w:tabs>
      <w:rPr>
        <w:rFonts w:ascii="Arial" w:hAnsi="Arial" w:cs="Arial"/>
        <w:sz w:val="20"/>
        <w:szCs w:val="20"/>
      </w:rPr>
    </w:pPr>
    <w:r>
      <w:rPr>
        <w:noProof/>
      </w:rPr>
      <w:drawing>
        <wp:inline distT="0" distB="0" distL="0" distR="0" wp14:anchorId="7401B502" wp14:editId="008A1354">
          <wp:extent cx="1422400" cy="431800"/>
          <wp:effectExtent l="19050" t="0" r="6350" b="0"/>
          <wp:docPr id="30" name="Picture 30"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sf-12mm-bw"/>
                  <pic:cNvPicPr>
                    <a:picLocks noChangeAspect="1" noChangeArrowheads="1"/>
                  </pic:cNvPicPr>
                </pic:nvPicPr>
                <pic:blipFill>
                  <a:blip r:embed="rId1"/>
                  <a:srcRect/>
                  <a:stretch>
                    <a:fillRect/>
                  </a:stretch>
                </pic:blipFill>
                <pic:spPr bwMode="auto">
                  <a:xfrm>
                    <a:off x="0" y="0"/>
                    <a:ext cx="1422400" cy="431800"/>
                  </a:xfrm>
                  <a:prstGeom prst="rect">
                    <a:avLst/>
                  </a:prstGeom>
                  <a:noFill/>
                  <a:ln w="9525">
                    <a:noFill/>
                    <a:miter lim="800000"/>
                    <a:headEnd/>
                    <a:tailEnd/>
                  </a:ln>
                </pic:spPr>
              </pic:pic>
            </a:graphicData>
          </a:graphic>
        </wp:inline>
      </w:drawing>
    </w:r>
    <w:r w:rsidR="00063078">
      <w:rPr>
        <w:sz w:val="20"/>
        <w:szCs w:val="20"/>
      </w:rPr>
      <w:tab/>
    </w:r>
    <w:r w:rsidRPr="009B40B0">
      <w:rPr>
        <w:rFonts w:ascii="Arial" w:hAnsi="Arial" w:cs="Arial"/>
        <w:sz w:val="20"/>
        <w:szCs w:val="20"/>
      </w:rPr>
      <w:fldChar w:fldCharType="begin"/>
    </w:r>
    <w:r w:rsidRPr="009B40B0">
      <w:rPr>
        <w:rFonts w:ascii="Arial" w:hAnsi="Arial" w:cs="Arial"/>
        <w:sz w:val="20"/>
        <w:szCs w:val="20"/>
      </w:rPr>
      <w:instrText xml:space="preserve"> PAGE   \* MERGEFORMAT </w:instrText>
    </w:r>
    <w:r w:rsidRPr="009B40B0">
      <w:rPr>
        <w:rFonts w:ascii="Arial" w:hAnsi="Arial" w:cs="Arial"/>
        <w:sz w:val="20"/>
        <w:szCs w:val="20"/>
      </w:rPr>
      <w:fldChar w:fldCharType="separate"/>
    </w:r>
    <w:r w:rsidR="009E2CA5">
      <w:rPr>
        <w:rFonts w:ascii="Arial" w:hAnsi="Arial" w:cs="Arial"/>
        <w:noProof/>
        <w:sz w:val="20"/>
        <w:szCs w:val="20"/>
      </w:rPr>
      <w:t>6</w:t>
    </w:r>
    <w:r w:rsidRPr="009B40B0">
      <w:rPr>
        <w:rFonts w:ascii="Arial" w:hAnsi="Arial" w:cs="Arial"/>
        <w:noProof/>
        <w:sz w:val="20"/>
        <w:szCs w:val="20"/>
      </w:rPr>
      <w:fldChar w:fldCharType="end"/>
    </w:r>
    <w:r w:rsidRPr="002010EB">
      <w:rPr>
        <w:rFonts w:ascii="Arial" w:hAnsi="Arial" w:cs="Arial"/>
        <w:noProof/>
      </w:rPr>
      <w:tab/>
    </w:r>
    <w:r w:rsidRPr="009B40B0">
      <w:rPr>
        <w:rFonts w:ascii="Arial" w:hAnsi="Arial" w:cs="Arial"/>
        <w:noProof/>
        <w:sz w:val="20"/>
        <w:szCs w:val="20"/>
      </w:rPr>
      <w:t>S&amp;HR 17.3.15</w:t>
    </w:r>
  </w:p>
  <w:p w14:paraId="765D5BFA" w14:textId="77777777" w:rsidR="00063078" w:rsidRDefault="00063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4AD02" w14:textId="24689BED" w:rsidR="002010EB" w:rsidRPr="0080523B" w:rsidRDefault="002010EB">
    <w:pPr>
      <w:pStyle w:val="Footer"/>
      <w:rPr>
        <w:sz w:val="20"/>
        <w:szCs w:val="20"/>
      </w:rPr>
    </w:pPr>
    <w:r>
      <w:rPr>
        <w:noProof/>
      </w:rPr>
      <w:drawing>
        <wp:inline distT="0" distB="0" distL="0" distR="0" wp14:anchorId="465871F3" wp14:editId="4A185E01">
          <wp:extent cx="1422400" cy="431800"/>
          <wp:effectExtent l="19050" t="0" r="6350" b="0"/>
          <wp:docPr id="31" name="Picture 31"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sf-12mm-bw"/>
                  <pic:cNvPicPr>
                    <a:picLocks noChangeAspect="1" noChangeArrowheads="1"/>
                  </pic:cNvPicPr>
                </pic:nvPicPr>
                <pic:blipFill>
                  <a:blip r:embed="rId1"/>
                  <a:srcRect/>
                  <a:stretch>
                    <a:fillRect/>
                  </a:stretch>
                </pic:blipFill>
                <pic:spPr bwMode="auto">
                  <a:xfrm>
                    <a:off x="0" y="0"/>
                    <a:ext cx="1422400" cy="431800"/>
                  </a:xfrm>
                  <a:prstGeom prst="rect">
                    <a:avLst/>
                  </a:prstGeom>
                  <a:noFill/>
                  <a:ln w="9525">
                    <a:noFill/>
                    <a:miter lim="800000"/>
                    <a:headEnd/>
                    <a:tailEnd/>
                  </a:ln>
                </pic:spPr>
              </pic:pic>
            </a:graphicData>
          </a:graphic>
        </wp:inline>
      </w:drawing>
    </w:r>
    <w:r w:rsidRPr="0080523B">
      <w:rPr>
        <w:rFonts w:ascii="Arial" w:hAnsi="Arial" w:cs="Arial"/>
        <w:sz w:val="20"/>
        <w:szCs w:val="20"/>
      </w:rPr>
      <w:ptab w:relativeTo="margin" w:alignment="center" w:leader="none"/>
    </w:r>
    <w:r w:rsidRPr="0080523B">
      <w:rPr>
        <w:rFonts w:ascii="Arial" w:hAnsi="Arial" w:cs="Arial"/>
        <w:sz w:val="20"/>
        <w:szCs w:val="20"/>
      </w:rPr>
      <w:fldChar w:fldCharType="begin"/>
    </w:r>
    <w:r w:rsidRPr="0080523B">
      <w:rPr>
        <w:rFonts w:ascii="Arial" w:hAnsi="Arial" w:cs="Arial"/>
        <w:sz w:val="20"/>
        <w:szCs w:val="20"/>
      </w:rPr>
      <w:instrText xml:space="preserve"> PAGE   \* MERGEFORMAT </w:instrText>
    </w:r>
    <w:r w:rsidRPr="0080523B">
      <w:rPr>
        <w:rFonts w:ascii="Arial" w:hAnsi="Arial" w:cs="Arial"/>
        <w:sz w:val="20"/>
        <w:szCs w:val="20"/>
      </w:rPr>
      <w:fldChar w:fldCharType="separate"/>
    </w:r>
    <w:r w:rsidR="009E2CA5">
      <w:rPr>
        <w:rFonts w:ascii="Arial" w:hAnsi="Arial" w:cs="Arial"/>
        <w:noProof/>
        <w:sz w:val="20"/>
        <w:szCs w:val="20"/>
      </w:rPr>
      <w:t>5</w:t>
    </w:r>
    <w:r w:rsidRPr="0080523B">
      <w:rPr>
        <w:rFonts w:ascii="Arial" w:hAnsi="Arial" w:cs="Arial"/>
        <w:noProof/>
        <w:sz w:val="20"/>
        <w:szCs w:val="20"/>
      </w:rPr>
      <w:fldChar w:fldCharType="end"/>
    </w:r>
    <w:r w:rsidRPr="0080523B">
      <w:rPr>
        <w:rFonts w:ascii="Arial" w:hAnsi="Arial" w:cs="Arial"/>
        <w:sz w:val="20"/>
        <w:szCs w:val="20"/>
      </w:rPr>
      <w:ptab w:relativeTo="margin" w:alignment="right" w:leader="none"/>
    </w:r>
    <w:r w:rsidRPr="0080523B">
      <w:rPr>
        <w:rFonts w:ascii="Arial" w:hAnsi="Arial" w:cs="Arial"/>
        <w:sz w:val="20"/>
        <w:szCs w:val="20"/>
      </w:rPr>
      <w:t>S&amp;HR 17.3.15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C664" w14:textId="77777777" w:rsidR="00063078" w:rsidRDefault="00063078">
      <w:r>
        <w:separator/>
      </w:r>
    </w:p>
  </w:footnote>
  <w:footnote w:type="continuationSeparator" w:id="0">
    <w:p w14:paraId="032DE963" w14:textId="77777777" w:rsidR="00063078" w:rsidRDefault="00063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0DA7A" w14:textId="308872CC" w:rsidR="002010EB" w:rsidRPr="002010EB" w:rsidRDefault="002010EB">
    <w:pPr>
      <w:pStyle w:val="Header"/>
      <w:rPr>
        <w:rFonts w:ascii="Arial" w:hAnsi="Arial" w:cs="Arial"/>
        <w:b/>
        <w:sz w:val="144"/>
        <w:szCs w:val="144"/>
      </w:rPr>
    </w:pPr>
    <w:r>
      <w:tab/>
    </w:r>
    <w:r>
      <w:tab/>
    </w:r>
    <w:r w:rsidR="009B40B0">
      <w:rPr>
        <w:rFonts w:ascii="Arial" w:hAnsi="Arial" w:cs="Arial"/>
        <w:b/>
        <w:sz w:val="144"/>
        <w:szCs w:val="144"/>
      </w:rPr>
      <w:t>12</w:t>
    </w:r>
  </w:p>
  <w:p w14:paraId="370A6E13" w14:textId="77777777" w:rsidR="00063078" w:rsidRPr="000D7A88" w:rsidRDefault="00063078" w:rsidP="00662B17">
    <w:pPr>
      <w:pStyle w:val="Header"/>
      <w:jc w:val="right"/>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D50C" w14:textId="77777777" w:rsidR="00435268" w:rsidRPr="000D7A88" w:rsidRDefault="00435268" w:rsidP="00662B17">
    <w:pPr>
      <w:pStyle w:val="Header"/>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30405"/>
    <w:multiLevelType w:val="singleLevel"/>
    <w:tmpl w:val="D7BE2466"/>
    <w:lvl w:ilvl="0">
      <w:start w:val="1"/>
      <w:numFmt w:val="decimal"/>
      <w:pStyle w:val="sssubhead1"/>
      <w:lvlText w:val="%1"/>
      <w:lvlJc w:val="left"/>
      <w:pPr>
        <w:tabs>
          <w:tab w:val="num" w:pos="720"/>
        </w:tabs>
        <w:ind w:left="720" w:hanging="720"/>
      </w:pPr>
      <w:rPr>
        <w:rFonts w:hint="default"/>
      </w:rPr>
    </w:lvl>
  </w:abstractNum>
  <w:abstractNum w:abstractNumId="3">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9643B5"/>
    <w:multiLevelType w:val="hybridMultilevel"/>
    <w:tmpl w:val="7CF8DC6C"/>
    <w:lvl w:ilvl="0" w:tplc="08090001">
      <w:start w:val="1"/>
      <w:numFmt w:val="bullet"/>
      <w:lvlText w:val=""/>
      <w:lvlJc w:val="left"/>
      <w:pPr>
        <w:ind w:left="2368" w:hanging="95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16F74323"/>
    <w:multiLevelType w:val="hybridMultilevel"/>
    <w:tmpl w:val="8C80A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A253E6"/>
    <w:multiLevelType w:val="hybridMultilevel"/>
    <w:tmpl w:val="5B16F71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F149E1"/>
    <w:multiLevelType w:val="multilevel"/>
    <w:tmpl w:val="1066799E"/>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415CB2"/>
    <w:multiLevelType w:val="hybridMultilevel"/>
    <w:tmpl w:val="A75845B0"/>
    <w:lvl w:ilvl="0" w:tplc="DE40DA8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7C7211"/>
    <w:multiLevelType w:val="hybridMultilevel"/>
    <w:tmpl w:val="ABB0F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37744EA"/>
    <w:multiLevelType w:val="hybridMultilevel"/>
    <w:tmpl w:val="2146C1C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A152D7"/>
    <w:multiLevelType w:val="hybridMultilevel"/>
    <w:tmpl w:val="8738D372"/>
    <w:lvl w:ilvl="0" w:tplc="DE40DA80">
      <w:start w:val="1"/>
      <w:numFmt w:val="bullet"/>
      <w:lvlText w:val=""/>
      <w:lvlJc w:val="left"/>
      <w:pPr>
        <w:tabs>
          <w:tab w:val="num" w:pos="1117"/>
        </w:tabs>
        <w:ind w:left="1117" w:hanging="397"/>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91B78AD"/>
    <w:multiLevelType w:val="hybridMultilevel"/>
    <w:tmpl w:val="B9E2A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A6C53F7"/>
    <w:multiLevelType w:val="hybridMultilevel"/>
    <w:tmpl w:val="F4085DA4"/>
    <w:lvl w:ilvl="0" w:tplc="DE40DA80">
      <w:start w:val="1"/>
      <w:numFmt w:val="bullet"/>
      <w:lvlText w:val=""/>
      <w:lvlJc w:val="left"/>
      <w:pPr>
        <w:tabs>
          <w:tab w:val="num" w:pos="1117"/>
        </w:tabs>
        <w:ind w:left="1117" w:hanging="397"/>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D366220"/>
    <w:multiLevelType w:val="hybridMultilevel"/>
    <w:tmpl w:val="42AE6900"/>
    <w:lvl w:ilvl="0" w:tplc="589E3A22">
      <w:start w:val="1"/>
      <w:numFmt w:val="lowerLetter"/>
      <w:lvlText w:val="%1)"/>
      <w:lvlJc w:val="left"/>
      <w:pPr>
        <w:tabs>
          <w:tab w:val="num" w:pos="720"/>
        </w:tabs>
        <w:ind w:left="720" w:hanging="720"/>
      </w:pPr>
      <w:rPr>
        <w:rFonts w:hint="default"/>
      </w:rPr>
    </w:lvl>
    <w:lvl w:ilvl="1" w:tplc="B464F78E"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7"/>
  </w:num>
  <w:num w:numId="3">
    <w:abstractNumId w:val="13"/>
  </w:num>
  <w:num w:numId="4">
    <w:abstractNumId w:val="27"/>
  </w:num>
  <w:num w:numId="5">
    <w:abstractNumId w:val="20"/>
  </w:num>
  <w:num w:numId="6">
    <w:abstractNumId w:val="14"/>
  </w:num>
  <w:num w:numId="7">
    <w:abstractNumId w:val="9"/>
  </w:num>
  <w:num w:numId="8">
    <w:abstractNumId w:val="24"/>
  </w:num>
  <w:num w:numId="9">
    <w:abstractNumId w:val="21"/>
  </w:num>
  <w:num w:numId="10">
    <w:abstractNumId w:val="28"/>
  </w:num>
  <w:num w:numId="11">
    <w:abstractNumId w:val="15"/>
  </w:num>
  <w:num w:numId="12">
    <w:abstractNumId w:val="8"/>
  </w:num>
  <w:num w:numId="13">
    <w:abstractNumId w:val="6"/>
  </w:num>
  <w:num w:numId="14">
    <w:abstractNumId w:val="1"/>
  </w:num>
  <w:num w:numId="15">
    <w:abstractNumId w:val="23"/>
  </w:num>
  <w:num w:numId="16">
    <w:abstractNumId w:val="3"/>
  </w:num>
  <w:num w:numId="17">
    <w:abstractNumId w:val="0"/>
  </w:num>
  <w:num w:numId="18">
    <w:abstractNumId w:val="11"/>
  </w:num>
  <w:num w:numId="19">
    <w:abstractNumId w:val="10"/>
  </w:num>
  <w:num w:numId="20">
    <w:abstractNumId w:val="12"/>
  </w:num>
  <w:num w:numId="21">
    <w:abstractNumId w:val="19"/>
  </w:num>
  <w:num w:numId="22">
    <w:abstractNumId w:val="7"/>
  </w:num>
  <w:num w:numId="23">
    <w:abstractNumId w:val="4"/>
  </w:num>
  <w:num w:numId="24">
    <w:abstractNumId w:val="16"/>
  </w:num>
  <w:num w:numId="25">
    <w:abstractNumId w:val="26"/>
  </w:num>
  <w:num w:numId="26">
    <w:abstractNumId w:val="22"/>
  </w:num>
  <w:num w:numId="27">
    <w:abstractNumId w:val="5"/>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27B51"/>
    <w:rsid w:val="0003618A"/>
    <w:rsid w:val="00055E65"/>
    <w:rsid w:val="00056BC8"/>
    <w:rsid w:val="00063078"/>
    <w:rsid w:val="00067D30"/>
    <w:rsid w:val="00071AF4"/>
    <w:rsid w:val="00071C80"/>
    <w:rsid w:val="0007411D"/>
    <w:rsid w:val="00080577"/>
    <w:rsid w:val="0008691F"/>
    <w:rsid w:val="000975D5"/>
    <w:rsid w:val="000B57C9"/>
    <w:rsid w:val="000B5822"/>
    <w:rsid w:val="000C77B2"/>
    <w:rsid w:val="000D1AF2"/>
    <w:rsid w:val="000D4EEB"/>
    <w:rsid w:val="000D7A88"/>
    <w:rsid w:val="00104D4A"/>
    <w:rsid w:val="00111D47"/>
    <w:rsid w:val="00117B5F"/>
    <w:rsid w:val="0012003A"/>
    <w:rsid w:val="001229B4"/>
    <w:rsid w:val="00123DAC"/>
    <w:rsid w:val="00153375"/>
    <w:rsid w:val="00155B17"/>
    <w:rsid w:val="00174455"/>
    <w:rsid w:val="00176057"/>
    <w:rsid w:val="00181FED"/>
    <w:rsid w:val="00195B8D"/>
    <w:rsid w:val="001A493F"/>
    <w:rsid w:val="001B1B5B"/>
    <w:rsid w:val="001D30A0"/>
    <w:rsid w:val="001E0E93"/>
    <w:rsid w:val="001E1932"/>
    <w:rsid w:val="002010EB"/>
    <w:rsid w:val="00202FD0"/>
    <w:rsid w:val="00206612"/>
    <w:rsid w:val="00214EAE"/>
    <w:rsid w:val="00217242"/>
    <w:rsid w:val="002231CA"/>
    <w:rsid w:val="00231193"/>
    <w:rsid w:val="00233AA4"/>
    <w:rsid w:val="00237155"/>
    <w:rsid w:val="00244625"/>
    <w:rsid w:val="0026234D"/>
    <w:rsid w:val="00265F4A"/>
    <w:rsid w:val="00286199"/>
    <w:rsid w:val="002A3B29"/>
    <w:rsid w:val="002B04D8"/>
    <w:rsid w:val="002C7BA4"/>
    <w:rsid w:val="002E2729"/>
    <w:rsid w:val="002E3507"/>
    <w:rsid w:val="002E7828"/>
    <w:rsid w:val="002F07EF"/>
    <w:rsid w:val="002F3B57"/>
    <w:rsid w:val="00316840"/>
    <w:rsid w:val="00325036"/>
    <w:rsid w:val="00325B82"/>
    <w:rsid w:val="00333710"/>
    <w:rsid w:val="00334B43"/>
    <w:rsid w:val="00336FE6"/>
    <w:rsid w:val="00340BDC"/>
    <w:rsid w:val="00343056"/>
    <w:rsid w:val="003459D8"/>
    <w:rsid w:val="0034645A"/>
    <w:rsid w:val="003468A7"/>
    <w:rsid w:val="00360C8F"/>
    <w:rsid w:val="00375959"/>
    <w:rsid w:val="0038124F"/>
    <w:rsid w:val="0038592B"/>
    <w:rsid w:val="00395F2B"/>
    <w:rsid w:val="003A5CAA"/>
    <w:rsid w:val="003B6F0B"/>
    <w:rsid w:val="003D0A3C"/>
    <w:rsid w:val="003E3522"/>
    <w:rsid w:val="003E5A12"/>
    <w:rsid w:val="003E66BB"/>
    <w:rsid w:val="003F2B9C"/>
    <w:rsid w:val="00414D7E"/>
    <w:rsid w:val="00416CA8"/>
    <w:rsid w:val="0042227F"/>
    <w:rsid w:val="00422D77"/>
    <w:rsid w:val="00435268"/>
    <w:rsid w:val="00440EF8"/>
    <w:rsid w:val="00441922"/>
    <w:rsid w:val="00441A0D"/>
    <w:rsid w:val="00450C57"/>
    <w:rsid w:val="00451480"/>
    <w:rsid w:val="00457DA6"/>
    <w:rsid w:val="00463E63"/>
    <w:rsid w:val="00466A6A"/>
    <w:rsid w:val="004711A7"/>
    <w:rsid w:val="00471C85"/>
    <w:rsid w:val="00473146"/>
    <w:rsid w:val="00473B69"/>
    <w:rsid w:val="00480908"/>
    <w:rsid w:val="00491DAE"/>
    <w:rsid w:val="004929A5"/>
    <w:rsid w:val="00493BC8"/>
    <w:rsid w:val="004A0CF1"/>
    <w:rsid w:val="004A510B"/>
    <w:rsid w:val="004A5632"/>
    <w:rsid w:val="004A5F7E"/>
    <w:rsid w:val="004B1BFD"/>
    <w:rsid w:val="004B38B0"/>
    <w:rsid w:val="004B4D9B"/>
    <w:rsid w:val="004B65BC"/>
    <w:rsid w:val="004C5CC4"/>
    <w:rsid w:val="004D005F"/>
    <w:rsid w:val="004D0A4C"/>
    <w:rsid w:val="004E0C2B"/>
    <w:rsid w:val="004F5D43"/>
    <w:rsid w:val="00501ECF"/>
    <w:rsid w:val="005023AC"/>
    <w:rsid w:val="005027D2"/>
    <w:rsid w:val="00512A2A"/>
    <w:rsid w:val="00525A6E"/>
    <w:rsid w:val="005367DA"/>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E7E09"/>
    <w:rsid w:val="00606F52"/>
    <w:rsid w:val="0062384A"/>
    <w:rsid w:val="00624C7C"/>
    <w:rsid w:val="00631B6A"/>
    <w:rsid w:val="00651999"/>
    <w:rsid w:val="00656BA2"/>
    <w:rsid w:val="00656C38"/>
    <w:rsid w:val="00660121"/>
    <w:rsid w:val="00662B17"/>
    <w:rsid w:val="0068347E"/>
    <w:rsid w:val="006841B7"/>
    <w:rsid w:val="006944BA"/>
    <w:rsid w:val="006A0A23"/>
    <w:rsid w:val="006B589E"/>
    <w:rsid w:val="006C09C1"/>
    <w:rsid w:val="006D27D3"/>
    <w:rsid w:val="006D45C8"/>
    <w:rsid w:val="006D4F01"/>
    <w:rsid w:val="006D63FD"/>
    <w:rsid w:val="006E4E73"/>
    <w:rsid w:val="006E73CA"/>
    <w:rsid w:val="0073120A"/>
    <w:rsid w:val="007425AF"/>
    <w:rsid w:val="00742C28"/>
    <w:rsid w:val="00743690"/>
    <w:rsid w:val="0074468C"/>
    <w:rsid w:val="007541C6"/>
    <w:rsid w:val="00754384"/>
    <w:rsid w:val="00761210"/>
    <w:rsid w:val="00765C9F"/>
    <w:rsid w:val="00777504"/>
    <w:rsid w:val="007821C2"/>
    <w:rsid w:val="00793B93"/>
    <w:rsid w:val="007B08DA"/>
    <w:rsid w:val="007B10F9"/>
    <w:rsid w:val="007D7800"/>
    <w:rsid w:val="007F6706"/>
    <w:rsid w:val="007F7748"/>
    <w:rsid w:val="00804322"/>
    <w:rsid w:val="0080523B"/>
    <w:rsid w:val="00823681"/>
    <w:rsid w:val="0082640F"/>
    <w:rsid w:val="00830F70"/>
    <w:rsid w:val="008360E8"/>
    <w:rsid w:val="00841033"/>
    <w:rsid w:val="00846D21"/>
    <w:rsid w:val="008507A9"/>
    <w:rsid w:val="00865BDD"/>
    <w:rsid w:val="00880C79"/>
    <w:rsid w:val="008A2311"/>
    <w:rsid w:val="008B11EF"/>
    <w:rsid w:val="008C14A0"/>
    <w:rsid w:val="008C1C3A"/>
    <w:rsid w:val="008E79C2"/>
    <w:rsid w:val="008F561B"/>
    <w:rsid w:val="008F58D4"/>
    <w:rsid w:val="0090050F"/>
    <w:rsid w:val="009006D3"/>
    <w:rsid w:val="00923FF4"/>
    <w:rsid w:val="00926B11"/>
    <w:rsid w:val="00932914"/>
    <w:rsid w:val="00943752"/>
    <w:rsid w:val="00951ECA"/>
    <w:rsid w:val="00957AF1"/>
    <w:rsid w:val="009717A9"/>
    <w:rsid w:val="00975DC4"/>
    <w:rsid w:val="009764BF"/>
    <w:rsid w:val="009812BD"/>
    <w:rsid w:val="0098276F"/>
    <w:rsid w:val="00987CF9"/>
    <w:rsid w:val="009908BA"/>
    <w:rsid w:val="009A0305"/>
    <w:rsid w:val="009A425F"/>
    <w:rsid w:val="009A6D03"/>
    <w:rsid w:val="009B40B0"/>
    <w:rsid w:val="009B4A7A"/>
    <w:rsid w:val="009C634A"/>
    <w:rsid w:val="009C6355"/>
    <w:rsid w:val="009C7FA8"/>
    <w:rsid w:val="009E1DD1"/>
    <w:rsid w:val="009E2CA5"/>
    <w:rsid w:val="009F0AF2"/>
    <w:rsid w:val="009F7C62"/>
    <w:rsid w:val="00A009D5"/>
    <w:rsid w:val="00A04037"/>
    <w:rsid w:val="00A04DD2"/>
    <w:rsid w:val="00A0561C"/>
    <w:rsid w:val="00A059E8"/>
    <w:rsid w:val="00A06565"/>
    <w:rsid w:val="00A20DAB"/>
    <w:rsid w:val="00A217D9"/>
    <w:rsid w:val="00A414D8"/>
    <w:rsid w:val="00A45F7A"/>
    <w:rsid w:val="00A5564D"/>
    <w:rsid w:val="00A61944"/>
    <w:rsid w:val="00A64E0E"/>
    <w:rsid w:val="00A652CB"/>
    <w:rsid w:val="00A66DB8"/>
    <w:rsid w:val="00A76EF1"/>
    <w:rsid w:val="00A85D35"/>
    <w:rsid w:val="00A97A31"/>
    <w:rsid w:val="00AB0CCE"/>
    <w:rsid w:val="00AD100A"/>
    <w:rsid w:val="00AD72C8"/>
    <w:rsid w:val="00AF0316"/>
    <w:rsid w:val="00AF44A4"/>
    <w:rsid w:val="00AF71A3"/>
    <w:rsid w:val="00B054EF"/>
    <w:rsid w:val="00B431F6"/>
    <w:rsid w:val="00B43E8C"/>
    <w:rsid w:val="00B45D89"/>
    <w:rsid w:val="00B51553"/>
    <w:rsid w:val="00B539CF"/>
    <w:rsid w:val="00B553DD"/>
    <w:rsid w:val="00B56E6C"/>
    <w:rsid w:val="00B608AF"/>
    <w:rsid w:val="00B60993"/>
    <w:rsid w:val="00B66150"/>
    <w:rsid w:val="00B75422"/>
    <w:rsid w:val="00B80F0B"/>
    <w:rsid w:val="00B817E7"/>
    <w:rsid w:val="00B86EDE"/>
    <w:rsid w:val="00B91F5F"/>
    <w:rsid w:val="00B97F8F"/>
    <w:rsid w:val="00BA12EF"/>
    <w:rsid w:val="00BA577D"/>
    <w:rsid w:val="00BB0D78"/>
    <w:rsid w:val="00BB4253"/>
    <w:rsid w:val="00BC093C"/>
    <w:rsid w:val="00BD07F8"/>
    <w:rsid w:val="00BD6DDA"/>
    <w:rsid w:val="00BE4057"/>
    <w:rsid w:val="00BE5C14"/>
    <w:rsid w:val="00BF14B6"/>
    <w:rsid w:val="00BF59FB"/>
    <w:rsid w:val="00BF6300"/>
    <w:rsid w:val="00BF6FDE"/>
    <w:rsid w:val="00BF7F46"/>
    <w:rsid w:val="00C1034D"/>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66FB"/>
    <w:rsid w:val="00CD6E25"/>
    <w:rsid w:val="00CD7850"/>
    <w:rsid w:val="00CE2329"/>
    <w:rsid w:val="00CF2200"/>
    <w:rsid w:val="00D00C45"/>
    <w:rsid w:val="00D06300"/>
    <w:rsid w:val="00D079C6"/>
    <w:rsid w:val="00D14B98"/>
    <w:rsid w:val="00D23903"/>
    <w:rsid w:val="00D36CF7"/>
    <w:rsid w:val="00D46B88"/>
    <w:rsid w:val="00D47ECC"/>
    <w:rsid w:val="00D623CA"/>
    <w:rsid w:val="00D65102"/>
    <w:rsid w:val="00D67431"/>
    <w:rsid w:val="00D73D1C"/>
    <w:rsid w:val="00D77895"/>
    <w:rsid w:val="00D82C33"/>
    <w:rsid w:val="00D85A99"/>
    <w:rsid w:val="00D860E9"/>
    <w:rsid w:val="00D86E93"/>
    <w:rsid w:val="00D96096"/>
    <w:rsid w:val="00DB513F"/>
    <w:rsid w:val="00DC3AA4"/>
    <w:rsid w:val="00DC3C85"/>
    <w:rsid w:val="00DC3EB2"/>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2BB2"/>
    <w:rsid w:val="00E70DFB"/>
    <w:rsid w:val="00E720BB"/>
    <w:rsid w:val="00E80541"/>
    <w:rsid w:val="00E85D8B"/>
    <w:rsid w:val="00EA6439"/>
    <w:rsid w:val="00ED5F67"/>
    <w:rsid w:val="00EE5E9F"/>
    <w:rsid w:val="00EF21DB"/>
    <w:rsid w:val="00F00740"/>
    <w:rsid w:val="00F119E8"/>
    <w:rsid w:val="00F17498"/>
    <w:rsid w:val="00F305E7"/>
    <w:rsid w:val="00F33274"/>
    <w:rsid w:val="00F415C5"/>
    <w:rsid w:val="00F5099C"/>
    <w:rsid w:val="00F5373E"/>
    <w:rsid w:val="00F54254"/>
    <w:rsid w:val="00F5438F"/>
    <w:rsid w:val="00F6108B"/>
    <w:rsid w:val="00F65068"/>
    <w:rsid w:val="00F6564C"/>
    <w:rsid w:val="00F72E0D"/>
    <w:rsid w:val="00F902E6"/>
    <w:rsid w:val="00F93AC4"/>
    <w:rsid w:val="00FA1FE1"/>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5AF78DC"/>
  <w15:docId w15:val="{EFC80A5F-B1C1-469A-9425-79D2A979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591426"/>
    <w:pPr>
      <w:keepNext w:val="0"/>
      <w:numPr>
        <w:numId w:val="1"/>
      </w:numPr>
      <w:spacing w:before="0" w:after="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styleId="Hyperlink">
    <w:name w:val="Hyperlink"/>
    <w:basedOn w:val="DefaultParagraphFont"/>
    <w:unhideWhenUsed/>
    <w:rsid w:val="009F7C62"/>
    <w:rPr>
      <w:color w:val="0000FF" w:themeColor="hyperlink"/>
      <w:u w:val="single"/>
    </w:rPr>
  </w:style>
  <w:style w:type="character" w:customStyle="1" w:styleId="FooterChar">
    <w:name w:val="Footer Char"/>
    <w:basedOn w:val="DefaultParagraphFont"/>
    <w:link w:val="Footer"/>
    <w:uiPriority w:val="99"/>
    <w:rsid w:val="00FA1FE1"/>
    <w:rPr>
      <w:sz w:val="24"/>
      <w:szCs w:val="24"/>
      <w:lang w:val="en-GB" w:eastAsia="en-GB"/>
    </w:rPr>
  </w:style>
  <w:style w:type="character" w:customStyle="1" w:styleId="PlainTextChar">
    <w:name w:val="Plain Text Char"/>
    <w:basedOn w:val="DefaultParagraphFont"/>
    <w:link w:val="PlainText"/>
    <w:rsid w:val="003E3522"/>
    <w:rPr>
      <w:rFonts w:ascii="Courier New" w:hAnsi="Courier New" w:cs="Courier New"/>
      <w:lang w:val="en-GB" w:eastAsia="en-GB"/>
    </w:rPr>
  </w:style>
  <w:style w:type="paragraph" w:styleId="ListParagraph">
    <w:name w:val="List Paragraph"/>
    <w:basedOn w:val="Normal"/>
    <w:uiPriority w:val="34"/>
    <w:qFormat/>
    <w:rsid w:val="003E3522"/>
    <w:pPr>
      <w:ind w:left="720"/>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0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strRef>
              <c:f>Sheet1!$A$1:$A$7</c:f>
              <c:strCache>
                <c:ptCount val="7"/>
                <c:pt idx="0">
                  <c:v>2008 - 09</c:v>
                </c:pt>
                <c:pt idx="1">
                  <c:v>2009 – 10</c:v>
                </c:pt>
                <c:pt idx="2">
                  <c:v>2010 – 11</c:v>
                </c:pt>
                <c:pt idx="3">
                  <c:v>2011- 12</c:v>
                </c:pt>
                <c:pt idx="4">
                  <c:v>2012 – 13</c:v>
                </c:pt>
                <c:pt idx="5">
                  <c:v>2013 – 14 </c:v>
                </c:pt>
                <c:pt idx="6">
                  <c:v>2014 – 15</c:v>
                </c:pt>
              </c:strCache>
            </c:strRef>
          </c:cat>
          <c:val>
            <c:numRef>
              <c:f>Sheet1!$B$1:$B$7</c:f>
              <c:numCache>
                <c:formatCode>0.00</c:formatCode>
                <c:ptCount val="7"/>
                <c:pt idx="0">
                  <c:v>555.62</c:v>
                </c:pt>
                <c:pt idx="1">
                  <c:v>3146.3300000000022</c:v>
                </c:pt>
                <c:pt idx="2">
                  <c:v>5528.6900000000014</c:v>
                </c:pt>
                <c:pt idx="3">
                  <c:v>6612.94</c:v>
                </c:pt>
                <c:pt idx="4">
                  <c:v>7984.64</c:v>
                </c:pt>
                <c:pt idx="5">
                  <c:v>9088.7300000000068</c:v>
                </c:pt>
                <c:pt idx="6">
                  <c:v>12254.5</c:v>
                </c:pt>
              </c:numCache>
            </c:numRef>
          </c:val>
          <c:smooth val="0"/>
        </c:ser>
        <c:dLbls>
          <c:showLegendKey val="0"/>
          <c:showVal val="0"/>
          <c:showCatName val="0"/>
          <c:showSerName val="0"/>
          <c:showPercent val="0"/>
          <c:showBubbleSize val="0"/>
        </c:dLbls>
        <c:smooth val="0"/>
        <c:axId val="566982232"/>
        <c:axId val="566982624"/>
      </c:lineChart>
      <c:catAx>
        <c:axId val="566982232"/>
        <c:scaling>
          <c:orientation val="minMax"/>
        </c:scaling>
        <c:delete val="0"/>
        <c:axPos val="b"/>
        <c:numFmt formatCode="General" sourceLinked="0"/>
        <c:majorTickMark val="out"/>
        <c:minorTickMark val="none"/>
        <c:tickLblPos val="nextTo"/>
        <c:crossAx val="566982624"/>
        <c:crosses val="autoZero"/>
        <c:auto val="1"/>
        <c:lblAlgn val="ctr"/>
        <c:lblOffset val="100"/>
        <c:noMultiLvlLbl val="0"/>
      </c:catAx>
      <c:valAx>
        <c:axId val="566982624"/>
        <c:scaling>
          <c:orientation val="minMax"/>
        </c:scaling>
        <c:delete val="0"/>
        <c:axPos val="l"/>
        <c:majorGridlines/>
        <c:numFmt formatCode="0.00" sourceLinked="1"/>
        <c:majorTickMark val="out"/>
        <c:minorTickMark val="none"/>
        <c:tickLblPos val="nextTo"/>
        <c:crossAx val="56698223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15cec8fd-eede-43ea-a7f7-e4f4e18d2a8d" ContentTypeId="0x010100E1CC3F4493E0FC4D8466E5A019837875" PreviousValue="true"/>
</file>

<file path=customXml/item4.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_dlc_DocId xmlns="a74abe98-04d6-4650-a86d-b684cd679024" xsi:nil="true"/>
    <TaxKeywordTaxHTField xmlns="a74abe98-04d6-4650-a86d-b684cd679024">
      <Terms xmlns="http://schemas.microsoft.com/office/infopath/2007/PartnerControls"/>
    </TaxKeywordTaxHTField>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103" ma:contentTypeDescription="" ma:contentTypeScope="" ma:versionID="da437dec0e2115092d4ceb8d5cff6c2d">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5b692477d7ec0c3bdb82370a6d25c094" ns1:_="" ns2:_="">
    <xsd:import namespace="http://schemas.microsoft.com/sharepoint/v3"/>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B0333-F53B-4429-BB81-BB81E7DBD584}">
  <ds:schemaRefs>
    <ds:schemaRef ds:uri="http://schemas.microsoft.com/sharepoint/v3/contenttype/forms"/>
  </ds:schemaRefs>
</ds:datastoreItem>
</file>

<file path=customXml/itemProps2.xml><?xml version="1.0" encoding="utf-8"?>
<ds:datastoreItem xmlns:ds="http://schemas.openxmlformats.org/officeDocument/2006/customXml" ds:itemID="{334DEA3B-FC1B-4AAD-BF46-708440B19255}">
  <ds:schemaRefs>
    <ds:schemaRef ds:uri="http://schemas.microsoft.com/sharepoint/events"/>
  </ds:schemaRefs>
</ds:datastoreItem>
</file>

<file path=customXml/itemProps3.xml><?xml version="1.0" encoding="utf-8"?>
<ds:datastoreItem xmlns:ds="http://schemas.openxmlformats.org/officeDocument/2006/customXml" ds:itemID="{D5D18EA0-E796-42F3-9C2F-38EF72E0C064}">
  <ds:schemaRefs>
    <ds:schemaRef ds:uri="Microsoft.SharePoint.Taxonomy.ContentTypeSync"/>
  </ds:schemaRefs>
</ds:datastoreItem>
</file>

<file path=customXml/itemProps4.xml><?xml version="1.0" encoding="utf-8"?>
<ds:datastoreItem xmlns:ds="http://schemas.openxmlformats.org/officeDocument/2006/customXml" ds:itemID="{88605570-2F45-42D3-A9A7-250A595EB1CF}">
  <ds:schemaRefs>
    <ds:schemaRef ds:uri="http://schemas.microsoft.com/sharepoint/v3"/>
    <ds:schemaRef ds:uri="http://purl.org/dc/terms/"/>
    <ds:schemaRef ds:uri="http://schemas.openxmlformats.org/package/2006/metadata/core-properties"/>
    <ds:schemaRef ds:uri="a74abe98-04d6-4650-a86d-b684cd67902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4625A58-779B-493A-A658-1D34C6EF5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SFRS\SYHINCRO</dc:creator>
  <cp:lastModifiedBy>Sharon Lloyd</cp:lastModifiedBy>
  <cp:revision>5</cp:revision>
  <cp:lastPrinted>2007-01-08T16:47:00Z</cp:lastPrinted>
  <dcterms:created xsi:type="dcterms:W3CDTF">2015-03-03T12:34:00Z</dcterms:created>
  <dcterms:modified xsi:type="dcterms:W3CDTF">2015-03-09T12:59:00Z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TaxKeywordTaxHTField">
    <vt:lpwstr/>
  </property>
  <property fmtid="{D5CDD505-2E9C-101B-9397-08002B2CF9AE}" pid="20" name="dd508dcd65614eb7858bdc86079138f3">
    <vt:lpwstr/>
  </property>
  <property fmtid="{D5CDD505-2E9C-101B-9397-08002B2CF9AE}" pid="21" name="JobTitle">
    <vt:lpwstr/>
  </property>
  <property fmtid="{D5CDD505-2E9C-101B-9397-08002B2CF9AE}" pid="22" name="f5ff180c3ba04a4d81ceaf8930271173">
    <vt:lpwstr/>
  </property>
  <property fmtid="{D5CDD505-2E9C-101B-9397-08002B2CF9AE}" pid="23" name="SFRS_ReportAudience">
    <vt:lpwstr/>
  </property>
  <property fmtid="{D5CDD505-2E9C-101B-9397-08002B2CF9AE}" pid="24" name="PublishingContactName">
    <vt:lpwstr/>
  </property>
  <property fmtid="{D5CDD505-2E9C-101B-9397-08002B2CF9AE}" pid="25" name="SFRS_Salutation">
    <vt:lpwstr/>
  </property>
</Properties>
</file>